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64135</wp:posOffset>
            </wp:positionV>
            <wp:extent cx="145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83820</wp:posOffset>
            </wp:positionV>
            <wp:extent cx="1456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14" w:right="239" w:bottom="1440" w:gutter="0" w:footer="0" w:header="0"/>
        </w:sectPr>
      </w:pPr>
    </w:p>
    <w:p>
      <w:pPr>
        <w:spacing w:after="0" w:line="56"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For the fiscal year ended February 2, 2019</w:t>
      </w:r>
    </w:p>
    <w:p>
      <w:pPr>
        <w:spacing w:after="0" w:line="5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(Fiscal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65405</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 01-34219</w:t>
      </w:r>
    </w:p>
    <w:p>
      <w:pPr>
        <w:spacing w:after="0" w:line="402" w:lineRule="exact"/>
        <w:rPr>
          <w:sz w:val="24"/>
          <w:szCs w:val="24"/>
          <w:color w:val="auto"/>
        </w:rPr>
      </w:pPr>
    </w:p>
    <w:p>
      <w:pPr>
        <w:sectPr>
          <w:pgSz w:w="11900" w:h="16838" w:orient="portrait"/>
          <w:cols w:equalWidth="0" w:num="2">
            <w:col w:w="6560" w:space="720"/>
            <w:col w:w="414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81915</wp:posOffset>
            </wp:positionV>
            <wp:extent cx="145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85"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6180" w:type="dxa"/>
            <w:vAlign w:val="bottom"/>
          </w:tcPr>
          <w:p>
            <w:pPr>
              <w:jc w:val="center"/>
              <w:ind w:right="354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04-2623104</w:t>
            </w:r>
          </w:p>
        </w:tc>
      </w:tr>
      <w:tr>
        <w:trPr>
          <w:trHeight w:val="148"/>
        </w:trPr>
        <w:tc>
          <w:tcPr>
            <w:tcW w:w="6180" w:type="dxa"/>
            <w:vAlign w:val="bottom"/>
          </w:tcPr>
          <w:p>
            <w:pPr>
              <w:jc w:val="center"/>
              <w:ind w:right="35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80" w:type="dxa"/>
            <w:vAlign w:val="bottom"/>
          </w:tcPr>
          <w:p>
            <w:pPr>
              <w:jc w:val="center"/>
              <w:ind w:right="354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286"/>
        </w:trPr>
        <w:tc>
          <w:tcPr>
            <w:tcW w:w="618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555 Turnpike Street, Canton, MA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618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6180" w:type="dxa"/>
            <w:vAlign w:val="bottom"/>
          </w:tcPr>
          <w:p>
            <w:pPr>
              <w:jc w:val="right"/>
              <w:ind w:right="1340"/>
              <w:spacing w:after="0"/>
              <w:rPr>
                <w:sz w:val="20"/>
                <w:szCs w:val="20"/>
                <w:color w:val="auto"/>
              </w:rPr>
            </w:pPr>
            <w:r>
              <w:rPr>
                <w:rFonts w:ascii="Arial" w:cs="Arial" w:eastAsia="Arial" w:hAnsi="Arial"/>
                <w:sz w:val="18"/>
                <w:szCs w:val="18"/>
                <w:b w:val="1"/>
                <w:bCs w:val="1"/>
                <w:color w:val="auto"/>
              </w:rPr>
              <w:t>(781) 828-9300</w:t>
            </w:r>
          </w:p>
        </w:tc>
        <w:tc>
          <w:tcPr>
            <w:tcW w:w="1500" w:type="dxa"/>
            <w:vAlign w:val="bottom"/>
          </w:tcPr>
          <w:p>
            <w:pPr>
              <w:spacing w:after="0"/>
              <w:rPr>
                <w:sz w:val="21"/>
                <w:szCs w:val="21"/>
                <w:color w:val="auto"/>
              </w:rPr>
            </w:pPr>
          </w:p>
        </w:tc>
      </w:tr>
      <w:tr>
        <w:trPr>
          <w:trHeight w:val="186"/>
        </w:trPr>
        <w:tc>
          <w:tcPr>
            <w:tcW w:w="6180" w:type="dxa"/>
            <w:vAlign w:val="bottom"/>
          </w:tcPr>
          <w:p>
            <w:pPr>
              <w:jc w:val="center"/>
              <w:ind w:left="2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342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Title of each class</w:t>
            </w: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1160" w:type="dxa"/>
            <w:vAlign w:val="bottom"/>
          </w:tcPr>
          <w:p>
            <w:pPr>
              <w:spacing w:after="0"/>
              <w:rPr>
                <w:sz w:val="19"/>
                <w:szCs w:val="19"/>
                <w:color w:val="auto"/>
              </w:rPr>
            </w:pPr>
          </w:p>
        </w:tc>
        <w:tc>
          <w:tcPr>
            <w:tcW w:w="3420" w:type="dxa"/>
            <w:vAlign w:val="bottom"/>
            <w:gridSpan w:val="2"/>
          </w:tcPr>
          <w:p>
            <w:pPr>
              <w:ind w:left="440"/>
              <w:spacing w:after="0"/>
              <w:rPr>
                <w:sz w:val="20"/>
                <w:szCs w:val="20"/>
                <w:color w:val="auto"/>
              </w:rPr>
            </w:pPr>
            <w:r>
              <w:rPr>
                <w:rFonts w:ascii="Arial" w:cs="Arial" w:eastAsia="Arial" w:hAnsi="Arial"/>
                <w:sz w:val="18"/>
                <w:szCs w:val="18"/>
                <w:b w:val="1"/>
                <w:bCs w:val="1"/>
                <w:color w:val="auto"/>
              </w:rPr>
              <w:t>Common Stock, $0.01 par value</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3"/>
          </w:tcPr>
          <w:p>
            <w:pPr>
              <w:ind w:left="440"/>
              <w:spacing w:after="0"/>
              <w:rPr>
                <w:sz w:val="20"/>
                <w:szCs w:val="20"/>
                <w:color w:val="auto"/>
              </w:rPr>
            </w:pPr>
            <w:r>
              <w:rPr>
                <w:rFonts w:ascii="Arial" w:cs="Arial" w:eastAsia="Arial" w:hAnsi="Arial"/>
                <w:sz w:val="18"/>
                <w:szCs w:val="18"/>
                <w:b w:val="1"/>
                <w:bCs w:val="1"/>
                <w:color w:val="auto"/>
              </w:rPr>
              <w:t>The NASDAQ Stock Market LLC</w:t>
            </w:r>
          </w:p>
        </w:tc>
      </w:tr>
      <w:tr>
        <w:trPr>
          <w:trHeight w:val="251"/>
        </w:trPr>
        <w:tc>
          <w:tcPr>
            <w:tcW w:w="1160" w:type="dxa"/>
            <w:vAlign w:val="bottom"/>
          </w:tcPr>
          <w:p>
            <w:pPr>
              <w:spacing w:after="0"/>
              <w:rPr>
                <w:sz w:val="21"/>
                <w:szCs w:val="21"/>
                <w:color w:val="auto"/>
              </w:rPr>
            </w:pPr>
          </w:p>
        </w:tc>
        <w:tc>
          <w:tcPr>
            <w:tcW w:w="7220" w:type="dxa"/>
            <w:vAlign w:val="bottom"/>
            <w:gridSpan w:val="6"/>
          </w:tcPr>
          <w:p>
            <w:pPr>
              <w:jc w:val="center"/>
              <w:ind w:left="1796"/>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1900" w:type="dxa"/>
            <w:vAlign w:val="bottom"/>
          </w:tcPr>
          <w:p>
            <w:pPr>
              <w:spacing w:after="0"/>
              <w:rPr>
                <w:sz w:val="21"/>
                <w:szCs w:val="21"/>
                <w:color w:val="auto"/>
              </w:rPr>
            </w:pPr>
          </w:p>
        </w:tc>
      </w:tr>
      <w:tr>
        <w:trPr>
          <w:trHeight w:val="169"/>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None</w:t>
            </w:r>
          </w:p>
        </w:tc>
        <w:tc>
          <w:tcPr>
            <w:tcW w:w="9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82"/>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900" w:type="dxa"/>
            <w:vAlign w:val="bottom"/>
          </w:tcPr>
          <w:p>
            <w:pPr>
              <w:jc w:val="center"/>
              <w:ind w:right="137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3"/>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9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ind w:right="20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6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ind w:right="60"/>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S-K(§229.405 of this chapter)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140" w:lineRule="exact"/>
        <w:rPr>
          <w:sz w:val="24"/>
          <w:szCs w:val="24"/>
          <w:color w:val="auto"/>
        </w:rPr>
      </w:pPr>
    </w:p>
    <w:tbl>
      <w:tblPr>
        <w:tblLayout w:type="fixed"/>
        <w:tblInd w:w="860" w:type="dxa"/>
        <w:tblCellMar>
          <w:top w:w="0" w:type="dxa"/>
          <w:left w:w="0" w:type="dxa"/>
          <w:bottom w:w="0" w:type="dxa"/>
          <w:right w:w="0" w:type="dxa"/>
        </w:tblCellMar>
      </w:tblPr>
      <w:tr>
        <w:trPr>
          <w:trHeight w:val="20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17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4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0"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6820" w:val="left"/>
          <w:tab w:leader="none" w:pos="7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40"/>
        <w:spacing w:after="0" w:line="335" w:lineRule="auto"/>
        <w:rPr>
          <w:sz w:val="20"/>
          <w:szCs w:val="20"/>
          <w:color w:val="auto"/>
        </w:rPr>
      </w:pPr>
      <w:r>
        <w:rPr>
          <w:rFonts w:ascii="Arial" w:cs="Arial" w:eastAsia="Arial" w:hAnsi="Arial"/>
          <w:sz w:val="14"/>
          <w:szCs w:val="14"/>
          <w:color w:val="auto"/>
        </w:rPr>
        <w:t>As of August 3, 2018, the aggregate market value of the Common Stock held by non-affiliates of the registrant was approximately $71.2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49,522,233 shares of Common Stock, $0.01 par value, outstanding as of March 15, 2019.</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Portions of the Proxy Statement for the 2019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262255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0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rPr>
              <w:t>DESTINATION XL GROUP, INC.</w:t>
            </w:r>
          </w:p>
        </w:tc>
        <w:tc>
          <w:tcPr>
            <w:tcW w:w="560" w:type="dxa"/>
            <w:vAlign w:val="bottom"/>
          </w:tcPr>
          <w:p>
            <w:pPr>
              <w:spacing w:after="0"/>
              <w:rPr>
                <w:sz w:val="20"/>
                <w:szCs w:val="20"/>
                <w:color w:val="auto"/>
              </w:rPr>
            </w:pPr>
          </w:p>
        </w:tc>
      </w:tr>
      <w:tr>
        <w:trPr>
          <w:trHeight w:val="202"/>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9"/>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0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w w:val="92"/>
              </w:rPr>
              <w:t>Index to Annual Report on Form 10-K</w:t>
            </w:r>
          </w:p>
        </w:tc>
        <w:tc>
          <w:tcPr>
            <w:tcW w:w="5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80" w:type="dxa"/>
            <w:vAlign w:val="bottom"/>
            <w:gridSpan w:val="10"/>
          </w:tcPr>
          <w:p>
            <w:pPr>
              <w:jc w:val="center"/>
              <w:ind w:right="3820"/>
              <w:spacing w:after="0"/>
              <w:rPr>
                <w:sz w:val="20"/>
                <w:szCs w:val="20"/>
                <w:color w:val="auto"/>
              </w:rPr>
            </w:pPr>
            <w:r>
              <w:rPr>
                <w:rFonts w:ascii="Arial" w:cs="Arial" w:eastAsia="Arial" w:hAnsi="Arial"/>
                <w:sz w:val="18"/>
                <w:szCs w:val="18"/>
                <w:b w:val="1"/>
                <w:bCs w:val="1"/>
                <w:color w:val="auto"/>
                <w:w w:val="91"/>
              </w:rPr>
              <w:t>Year Ended February 2, 2019</w:t>
            </w:r>
          </w:p>
        </w:tc>
        <w:tc>
          <w:tcPr>
            <w:tcW w:w="560" w:type="dxa"/>
            <w:vAlign w:val="bottom"/>
          </w:tcPr>
          <w:p>
            <w:pPr>
              <w:spacing w:after="0"/>
              <w:rPr>
                <w:sz w:val="20"/>
                <w:szCs w:val="20"/>
                <w:color w:val="auto"/>
              </w:rPr>
            </w:pPr>
          </w:p>
        </w:tc>
      </w:tr>
      <w:tr>
        <w:trPr>
          <w:trHeight w:val="391"/>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317"/>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160" w:type="dxa"/>
            <w:vAlign w:val="bottom"/>
            <w:gridSpan w:val="2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2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77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0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846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2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1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5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9800" w:type="dxa"/>
            <w:vAlign w:val="bottom"/>
            <w:gridSpan w:val="2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Changes in and Disagreements with Accountants on Accounting and Financial Disclosure</w:t>
              </w:r>
            </w:hyperlink>
          </w:p>
        </w:tc>
        <w:tc>
          <w:tcPr>
            <w:tcW w:w="33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9800" w:type="dxa"/>
            <w:vAlign w:val="bottom"/>
            <w:gridSpan w:val="2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804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5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Directors, Executive Officers and Corporate Governance</w:t>
              </w:r>
            </w:hyperlink>
          </w:p>
        </w:tc>
        <w:tc>
          <w:tcPr>
            <w:tcW w:w="570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9800" w:type="dxa"/>
            <w:vAlign w:val="bottom"/>
            <w:gridSpan w:val="2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25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7"/>
        </w:trPr>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436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5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Exhibits, Financial Statement Schedules</w:t>
              </w:r>
            </w:hyperlink>
          </w:p>
        </w:tc>
        <w:tc>
          <w:tcPr>
            <w:tcW w:w="690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980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Form 10-K Summary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7"/>
        </w:trPr>
        <w:tc>
          <w:tcPr>
            <w:tcW w:w="106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780" w:type="dxa"/>
            <w:vAlign w:val="bottom"/>
            <w:tcBorders>
              <w:top w:val="single" w:sz="8" w:color="0000EE"/>
            </w:tcBorders>
            <w:gridSpan w:val="4"/>
          </w:tcPr>
          <w:p>
            <w:pPr>
              <w:spacing w:after="0"/>
              <w:rPr>
                <w:sz w:val="24"/>
                <w:szCs w:val="24"/>
                <w:color w:val="auto"/>
              </w:rPr>
            </w:pPr>
          </w:p>
        </w:tc>
        <w:tc>
          <w:tcPr>
            <w:tcW w:w="826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the impact of strategic initiatives on our future growth and profitability; expected annualized savings from our 2018 restructuring; store counts, comparable sales growth and free cash flow expectations for fiscal 2019; and objective of achieving 10% EBITDA margin over time.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Readers are encouraged to review these risks and uncertainties carefully.</w:t>
      </w:r>
    </w:p>
    <w:p>
      <w:pPr>
        <w:spacing w:after="0" w:line="16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Destination XL Group, Inc., together with its subsidiaries (the “Company”), is the largest specialty retailer of big &amp; tall men’s apparel with retail locations in the United States, London, England and Toronto, Canada. We operate under the trade names of Destination XL</w:t>
      </w:r>
      <w:r>
        <w:rPr>
          <w:rFonts w:ascii="Arial" w:cs="Arial" w:eastAsia="Arial" w:hAnsi="Arial"/>
          <w:sz w:val="13"/>
          <w:szCs w:val="13"/>
          <w:color w:val="auto"/>
        </w:rPr>
        <w:t>®</w:t>
      </w:r>
      <w:r>
        <w:rPr>
          <w:rFonts w:ascii="Arial" w:cs="Arial" w:eastAsia="Arial" w:hAnsi="Arial"/>
          <w:sz w:val="16"/>
          <w:szCs w:val="16"/>
          <w:color w:val="auto"/>
        </w:rPr>
        <w:t>, DXL</w:t>
      </w:r>
      <w:r>
        <w:rPr>
          <w:rFonts w:ascii="Arial" w:cs="Arial" w:eastAsia="Arial" w:hAnsi="Arial"/>
          <w:sz w:val="13"/>
          <w:szCs w:val="13"/>
          <w:color w:val="auto"/>
        </w:rPr>
        <w:t>®</w:t>
      </w:r>
      <w:r>
        <w:rPr>
          <w:rFonts w:ascii="Arial" w:cs="Arial" w:eastAsia="Arial" w:hAnsi="Arial"/>
          <w:sz w:val="16"/>
          <w:szCs w:val="16"/>
          <w:color w:val="auto"/>
        </w:rPr>
        <w:t>, DXL Men’s Apparel, DXL outlets, Casual Male XL</w:t>
      </w:r>
      <w:r>
        <w:rPr>
          <w:rFonts w:ascii="Arial" w:cs="Arial" w:eastAsia="Arial" w:hAnsi="Arial"/>
          <w:sz w:val="13"/>
          <w:szCs w:val="13"/>
          <w:color w:val="auto"/>
        </w:rPr>
        <w:t>®</w:t>
      </w:r>
      <w:r>
        <w:rPr>
          <w:rFonts w:ascii="Arial" w:cs="Arial" w:eastAsia="Arial" w:hAnsi="Arial"/>
          <w:sz w:val="16"/>
          <w:szCs w:val="16"/>
          <w:color w:val="auto"/>
        </w:rPr>
        <w:t>, Casual Male XL outlets and Rochester Clothing. We currently operate 216 DXL retail stores, 15 DXL outlet stores, 66 Casual Male XL retail stores, 30 Casual Male XL outlet stores and 5 Rochester Clothing stores and a direct business at www.dxl.com. In fiscal 2018, we launched a wholesale business unit focused on product development and distribution relationships with key retailers offering both private label and co-branded men’s big &amp; tall apparel lines. Unless the context indicates otherwise, all references to “we,” “our,” “ours,” “us” and “the Company” refer to Destination XL Group, Inc. and our consolidated subsidiaries. We refer to our fiscal years ended February 2, 2019, February 3, 2018 and January 28, 2017 as “fiscal 2018”, “fiscal 2017” and “fiscal 2016,” respectively. Fiscal 2017 was a 53-week year and fiscal 2018 and fiscal 2016 were 52-week years.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big &amp; tall men’s apparel market includes pants with a waist size of 42” and greater, as well as tops sized 1XL and greater. Growth in this segment has historically been driven by rapidly changing market demographics. We believe that we can increase our market share by catering to the broader target market, attracting customers from various income, age and lifestyle segments and offering the widest selection of sizes and styles that fit well. An opportunity also exists for market share growth from the lower-size range of our market, that is, men with a 38” to 46” waist size, which we define as our “end-of-rack” customers. These sizes are usually at the high end of the size range for most men’s apparel retailers and, as a result, the selection is usually limited at such retailers.</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8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Through fiscal 2010, we primarily operated Casual Male XL retail stores, Casual Male XL outlet stores and Rochester Clothing stores, along with the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an extensive assortment of products and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everything from larger fitting rooms to professional,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 w:name="page4"/>
    <w:bookmarkEnd w:id="3"/>
    <w:p>
      <w:pPr>
        <w:ind w:right="60"/>
        <w:spacing w:after="0" w:line="277" w:lineRule="auto"/>
        <w:rPr>
          <w:sz w:val="20"/>
          <w:szCs w:val="20"/>
          <w:color w:val="auto"/>
        </w:rPr>
      </w:pPr>
      <w:r>
        <w:rPr>
          <w:rFonts w:ascii="Arial" w:cs="Arial" w:eastAsia="Arial" w:hAnsi="Arial"/>
          <w:sz w:val="18"/>
          <w:szCs w:val="18"/>
          <w:color w:val="auto"/>
        </w:rPr>
        <w:t>trained associates providing both personal attention and on-site tailoring. With the initial success of this store format, we then made a similar change to our e-commerce business in fiscal 2011 when we launched our DestinationXL.com website (now dxl.com).</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operate as an omni-channel retailer of big &amp; tall men’s apparel. Through our multiple brands, which include both branded apparel and private-label, we aim to provide a premium, personalized shopping experience, whether in-store or online, with a broad range of merchandise at varying price points, catering from the value-oriented customer to the luxury-oriented customer. Our objective is to appeal to all of our customers by providing a good, better, best array of product assortments in all primary lifestyles with multiple and convenient ways to shop.</w:t>
      </w:r>
    </w:p>
    <w:p>
      <w:pPr>
        <w:spacing w:after="0" w:line="18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DXL retail stores and e-commerce site, dxl.com, cater to all income demographics and offer our customers merchandise to fit a variety of lifestyles from casual to business, young to mature, in all price ranges and in all large sizes from XL and up. In addition, a complete offering of shoes in sizes 10W to 18W is available at dxl.com. Our Casual Male XL stores primarily carry moderate-priced branded and private label casual sportswear and dresswear, while our Rochester Clothing stores carry fine quality, designer and branded menswear. We also operate Casual Male XL outlets and DXL outlets for our value-oriented customer. Through online marketplaces, we are able to extend our reach, by providing a select offering of our merchandise to new customers who may not be current DXL customers. In addition to our retail channels, in fiscal 2018, we also launched a wholesale channel of our business, working with key retailers.</w:t>
      </w:r>
    </w:p>
    <w:p>
      <w:pPr>
        <w:spacing w:after="0" w:line="1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What is so unique about our business is managing the number of sizes offered to our customers to ensure proper fit and optimizing our in-stock position throughout each season. Our best-selling pant has 49 size combinations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we head into fiscal 2019, our business strategy is a continuation of the objectives that we identified at the start of fiscal 2018: customer acquisition, customer retention and customer re-activation leading to top line growth (while managing margins) and increased market share. We are currently working on several key initiatives and strategies that we believe will drive this growth, while at the same time continually looking at opportunities where we can further improve the efficiency and productivity of our business.</w:t>
      </w:r>
    </w:p>
    <w:p>
      <w:pPr>
        <w:spacing w:after="0" w:line="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Grow top-line sales and market share</w:t>
      </w:r>
      <w:r>
        <w:rPr>
          <w:rFonts w:ascii="Arial" w:cs="Arial" w:eastAsia="Arial" w:hAnsi="Arial"/>
          <w:sz w:val="18"/>
          <w:szCs w:val="18"/>
          <w:color w:val="auto"/>
        </w:rPr>
        <w:t>. This growth will be driven by new marketing initiatives, new merchandise initiatives, store innovation and continued branding of our DXL name:</w:t>
      </w:r>
    </w:p>
    <w:p>
      <w:pPr>
        <w:spacing w:after="0" w:line="62" w:lineRule="exact"/>
        <w:rPr>
          <w:sz w:val="20"/>
          <w:szCs w:val="20"/>
          <w:color w:val="auto"/>
        </w:rPr>
      </w:pPr>
    </w:p>
    <w:p>
      <w:pPr>
        <w:ind w:left="760" w:right="380" w:hanging="374"/>
        <w:spacing w:after="0" w:line="311"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Customer segmentation</w:t>
      </w:r>
      <w:r>
        <w:rPr>
          <w:rFonts w:ascii="Arial" w:cs="Arial" w:eastAsia="Arial" w:hAnsi="Arial"/>
          <w:sz w:val="16"/>
          <w:szCs w:val="16"/>
          <w:color w:val="auto"/>
        </w:rPr>
        <w:t>. A significant accomplishment in fiscal 2018 was the completion of our customer segmentation study. We identified a</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which we are calling the “Fit and Style” customer which we believe makes up a significant portion of the big &amp; tall market, and represents a high-value customer target market. We will be using this consumer data to drive our marketing and merchandising decisions.</w:t>
      </w:r>
    </w:p>
    <w:p>
      <w:pPr>
        <w:spacing w:after="0" w:line="40" w:lineRule="exact"/>
        <w:rPr>
          <w:rFonts w:ascii="Arial" w:cs="Arial" w:eastAsia="Arial" w:hAnsi="Arial"/>
          <w:sz w:val="16"/>
          <w:szCs w:val="16"/>
          <w:color w:val="auto"/>
        </w:rPr>
      </w:pPr>
    </w:p>
    <w:p>
      <w:pPr>
        <w:ind w:left="760" w:right="760" w:hanging="374"/>
        <w:spacing w:after="0" w:line="26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New marketing approach. </w:t>
      </w:r>
      <w:r>
        <w:rPr>
          <w:rFonts w:ascii="Arial" w:cs="Arial" w:eastAsia="Arial" w:hAnsi="Arial"/>
          <w:sz w:val="18"/>
          <w:szCs w:val="18"/>
          <w:color w:val="auto"/>
        </w:rPr>
        <w:t>Our marketing is pivoting to a more targeted, personalized, data-driven model with updated creative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models. We aim to use our marketing dollars more efficiently, specifically targeting our customer segments with a combination of digital advertising, radio, catalogs, loyalty program and, to a lesser extent, television.</w:t>
      </w:r>
    </w:p>
    <w:p>
      <w:pPr>
        <w:spacing w:after="0" w:line="74" w:lineRule="exact"/>
        <w:rPr>
          <w:rFonts w:ascii="Arial" w:cs="Arial" w:eastAsia="Arial" w:hAnsi="Arial"/>
          <w:sz w:val="18"/>
          <w:szCs w:val="18"/>
          <w:color w:val="auto"/>
        </w:rPr>
      </w:pPr>
    </w:p>
    <w:p>
      <w:pPr>
        <w:ind w:left="760" w:right="620" w:hanging="374"/>
        <w:spacing w:after="0" w:line="26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New merchandising initiatives. </w:t>
      </w:r>
      <w:r>
        <w:rPr>
          <w:rFonts w:ascii="Arial" w:cs="Arial" w:eastAsia="Arial" w:hAnsi="Arial"/>
          <w:sz w:val="18"/>
          <w:szCs w:val="18"/>
          <w:color w:val="auto"/>
        </w:rPr>
        <w:t>Our new merchandising strategies are catering to our “Fit &amp; Style” customer, with everyday basics now</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complemented with a growing percentage of “fashion” styles. Our assortments now consist of over 100 national brands and 9 private-label brands. In fiscal 2018, we added The North Face and Vineyard Vines to our list of national brands.</w:t>
      </w:r>
    </w:p>
    <w:p>
      <w:pPr>
        <w:spacing w:after="0" w:line="74" w:lineRule="exact"/>
        <w:rPr>
          <w:rFonts w:ascii="Arial" w:cs="Arial" w:eastAsia="Arial" w:hAnsi="Arial"/>
          <w:sz w:val="18"/>
          <w:szCs w:val="18"/>
          <w:color w:val="auto"/>
        </w:rPr>
      </w:pPr>
    </w:p>
    <w:p>
      <w:pPr>
        <w:ind w:left="760" w:right="60" w:hanging="374"/>
        <w:spacing w:after="0" w:line="279"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Customer experience innovation</w:t>
      </w:r>
      <w:r>
        <w:rPr>
          <w:rFonts w:ascii="Arial" w:cs="Arial" w:eastAsia="Arial" w:hAnsi="Arial"/>
          <w:sz w:val="17"/>
          <w:szCs w:val="17"/>
          <w:color w:val="auto"/>
        </w:rPr>
        <w:t>. We are very proud of our in-store customer experience. In fiscal 2019, our key objective is to provide our store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associates with better tools to enhance the customer experience even further. We have launched a clienteling program, which allows our associates to “look into a guest’s closet” and see past purchases. Our in-store “Save-the-Sale” program provides our store associates the ability to access our full merchandise assortment online and add items to the sale in a complete, single seamless transaction.</w:t>
      </w:r>
    </w:p>
    <w:p>
      <w:pPr>
        <w:spacing w:after="0" w:line="62" w:lineRule="exact"/>
        <w:rPr>
          <w:rFonts w:ascii="Arial" w:cs="Arial" w:eastAsia="Arial" w:hAnsi="Arial"/>
          <w:sz w:val="17"/>
          <w:szCs w:val="17"/>
          <w:color w:val="auto"/>
        </w:rPr>
      </w:pPr>
    </w:p>
    <w:p>
      <w:pPr>
        <w:jc w:val="both"/>
        <w:ind w:left="760" w:hanging="374"/>
        <w:spacing w:after="0" w:line="287"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Rebranding of Casual Male XL stores to the DXL store format</w:t>
      </w:r>
      <w:r>
        <w:rPr>
          <w:rFonts w:ascii="Arial" w:cs="Arial" w:eastAsia="Arial" w:hAnsi="Arial"/>
          <w:sz w:val="16"/>
          <w:szCs w:val="16"/>
          <w:color w:val="auto"/>
        </w:rPr>
        <w:t>. In fiscal 2018, we re-branded three Casual Male stores to the DXL format.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the results and return on investment is sufficient to expand this test to a broader store base. We believe this approach will enable us to convert the majority of the remaining Casual Male XL stores to the DXL format, in cases where relocating to a full DXL store is not</w:t>
      </w:r>
    </w:p>
    <w:p>
      <w:pPr>
        <w:spacing w:after="0" w:line="1" w:lineRule="exact"/>
        <w:rPr>
          <w:rFonts w:ascii="Arial" w:cs="Arial" w:eastAsia="Arial" w:hAnsi="Arial"/>
          <w:sz w:val="16"/>
          <w:szCs w:val="16"/>
          <w:color w:val="auto"/>
        </w:rPr>
      </w:pPr>
    </w:p>
    <w:p>
      <w:pPr>
        <w:ind w:left="760" w:right="40"/>
        <w:spacing w:after="0" w:line="260" w:lineRule="auto"/>
        <w:rPr>
          <w:rFonts w:ascii="Arial" w:cs="Arial" w:eastAsia="Arial" w:hAnsi="Arial"/>
          <w:sz w:val="16"/>
          <w:szCs w:val="16"/>
          <w:color w:val="auto"/>
        </w:rPr>
      </w:pPr>
      <w:r>
        <w:rPr>
          <w:rFonts w:ascii="Arial" w:cs="Arial" w:eastAsia="Arial" w:hAnsi="Arial"/>
          <w:sz w:val="18"/>
          <w:szCs w:val="18"/>
          <w:color w:val="auto"/>
        </w:rPr>
        <w:t>feasible. By converting our Casual Male XL stores, we can leverage the brand awareness and marketing investment in DXL. In fiscal 2019, we are planning to convert 12 Casual Males XL retail stores and 1 Casual Male XL outlet, with 10-15 stores annually after that.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4" w:name="page5"/>
    <w:bookmarkEnd w:id="4"/>
    <w:p>
      <w:pPr>
        <w:ind w:right="100"/>
        <w:spacing w:after="0" w:line="273" w:lineRule="auto"/>
        <w:rPr>
          <w:sz w:val="20"/>
          <w:szCs w:val="20"/>
          <w:color w:val="auto"/>
        </w:rPr>
      </w:pPr>
      <w:r>
        <w:rPr>
          <w:rFonts w:ascii="Arial" w:cs="Arial" w:eastAsia="Arial" w:hAnsi="Arial"/>
          <w:sz w:val="17"/>
          <w:szCs w:val="17"/>
          <w:u w:val="single" w:color="auto"/>
          <w:color w:val="auto"/>
        </w:rPr>
        <w:t>Improve operating efficiency and productivity.</w:t>
      </w:r>
      <w:r>
        <w:rPr>
          <w:rFonts w:ascii="Arial" w:cs="Arial" w:eastAsia="Arial" w:hAnsi="Arial"/>
          <w:sz w:val="17"/>
          <w:szCs w:val="17"/>
          <w:color w:val="auto"/>
        </w:rPr>
        <w:t xml:space="preserve"> In fiscal 2018, as part of a corporate restructuring, we eliminated 56 positions in our corporate office and also targeted other corporate overhead costs in an effort to accelerate our path to profitability. On an annualized basis, this restructuring will save approximately $10.0 million. We have also evaluated our store portfolio and committed to a plan to close our five remaining Rochester Clothing stores in fiscal 2019 as the lease term in each store expires. These prime real estate stores are located in high-rent, metropolitan areas. As DXL has grown over the past 8 years, Rochester stores have struggled to remain profitable. With the exception of London, each Rochester store is located in close proximity to one or more DXL stores. In fiscal 2019, we will be focused on using appropriate strategies to direct these Rochester customers to DXL.</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Wholesale Channel.</w:t>
      </w:r>
      <w:r>
        <w:rPr>
          <w:rFonts w:ascii="Arial" w:cs="Arial" w:eastAsia="Arial" w:hAnsi="Arial"/>
          <w:sz w:val="18"/>
          <w:szCs w:val="18"/>
          <w:color w:val="auto"/>
        </w:rPr>
        <w:t xml:space="preserve"> We are excited about the recent launch of our wholesale channel and believe it will be a strong complement to our retail channel. We will be able to leverage our existing infrastructure, including DXL design, product development and sourcing capabilities. The wholesale business affords us the opportunity to access new customers who do not currently shop at DXL, and increase our market share of certain female shoppers, gift givers, budget/convenience shoppers, and customers who do not have the convenience of a local DXL store.</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offer our customers a broad assortment of apparel that is appropriate to our diverse customer base. Regardless of our customers’ age, socioeconomic status, or lifestyle preference, we are able to assemble a wardrobe to fit their apparel needs. We offer such assortments in both private-label product and a wide array of brand name labels. With over 5,000 styles available, we carry tops in sizes up to 8XL and 8XLT, bottoms with waist sizes 38” to 70”, and shoes in sizes 10W to 18W.</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stores are merchandised to showcase entire outfits by lifestyle, including traditional, active, denim, young men’s, dress wear and contemporary. This format allows us to merchandise key items and seasonal goods in prominent displays and makes coordinating outfits easier for the customer while encouraging multi-item purchases. This lifestyle layout also allows us to manage store space and product assortment more effectively in each market to target local demographics. The key item strategy is also fully integrated by lifestyle, allowing us to focus on merchandise presentation and offer our customers a compelling value proposition.</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Merchandise assortments in our DXL stores are organized not only by lifestyle, but also within each lifestyle, the assortments are shown in a “good,” “better,” “best” and “luxury” visual presentation, again to benefit our customers’ ease of shopping. With the “best” merchandise assortments featured most prominently in the DXL store, our customers are able to visualize current fashion trends and select their wardrobes within their desired price points in a convenient manner.</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carry over 100 well-known national brands (“branded apparel”) as well as a number of our own private-label lines within our “good,” “better” and “best” price points. The penetration of branded apparel in a specific DXL stores can range from 15% to 80%, depending on several factors, but on average, our DXL stores carry approximately 51% branded merchandise.</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Higher-End Luxury Fashion Apparel -“Best” and “Luxury” Merchandise</w:t>
      </w:r>
    </w:p>
    <w:p>
      <w:pPr>
        <w:spacing w:after="0" w:line="11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Within this higher-end price range, we carry a broad selection of quality apparel from well-known branded manufacturers, such as, Brooks Brothers</w:t>
      </w:r>
      <w:r>
        <w:rPr>
          <w:rFonts w:ascii="Arial" w:cs="Arial" w:eastAsia="Arial" w:hAnsi="Arial"/>
          <w:sz w:val="15"/>
          <w:szCs w:val="15"/>
          <w:color w:val="auto"/>
        </w:rPr>
        <w:t>®</w:t>
      </w:r>
      <w:r>
        <w:rPr>
          <w:rFonts w:ascii="Arial" w:cs="Arial" w:eastAsia="Arial" w:hAnsi="Arial"/>
          <w:sz w:val="18"/>
          <w:szCs w:val="18"/>
          <w:color w:val="auto"/>
        </w:rPr>
        <w:t>, The North Face</w:t>
      </w:r>
      <w:r>
        <w:rPr>
          <w:rFonts w:ascii="Arial" w:cs="Arial" w:eastAsia="Arial" w:hAnsi="Arial"/>
          <w:sz w:val="15"/>
          <w:szCs w:val="15"/>
          <w:color w:val="auto"/>
        </w:rPr>
        <w:t>®</w:t>
      </w:r>
      <w:r>
        <w:rPr>
          <w:rFonts w:ascii="Arial" w:cs="Arial" w:eastAsia="Arial" w:hAnsi="Arial"/>
          <w:sz w:val="18"/>
          <w:szCs w:val="18"/>
          <w:color w:val="auto"/>
        </w:rPr>
        <w:t>, Gran Sasso</w:t>
      </w:r>
      <w:r>
        <w:rPr>
          <w:rFonts w:ascii="Arial" w:cs="Arial" w:eastAsia="Arial" w:hAnsi="Arial"/>
          <w:sz w:val="15"/>
          <w:szCs w:val="15"/>
          <w:color w:val="auto"/>
        </w:rPr>
        <w:t>®</w:t>
      </w:r>
      <w:r>
        <w:rPr>
          <w:rFonts w:ascii="Arial" w:cs="Arial" w:eastAsia="Arial" w:hAnsi="Arial"/>
          <w:sz w:val="18"/>
          <w:szCs w:val="18"/>
          <w:color w:val="auto"/>
        </w:rPr>
        <w:t>, John Laing</w:t>
      </w:r>
      <w:r>
        <w:rPr>
          <w:rFonts w:ascii="Arial" w:cs="Arial" w:eastAsia="Arial" w:hAnsi="Arial"/>
          <w:sz w:val="15"/>
          <w:szCs w:val="15"/>
          <w:color w:val="auto"/>
        </w:rPr>
        <w:t>®,</w:t>
      </w:r>
      <w:r>
        <w:rPr>
          <w:rFonts w:ascii="Arial" w:cs="Arial" w:eastAsia="Arial" w:hAnsi="Arial"/>
          <w:sz w:val="18"/>
          <w:szCs w:val="18"/>
          <w:color w:val="auto"/>
        </w:rPr>
        <w:t xml:space="preserve"> Remy, Psycho Bunny</w:t>
      </w:r>
      <w:r>
        <w:rPr>
          <w:rFonts w:ascii="Arial" w:cs="Arial" w:eastAsia="Arial" w:hAnsi="Arial"/>
          <w:sz w:val="15"/>
          <w:szCs w:val="15"/>
          <w:color w:val="auto"/>
        </w:rPr>
        <w:t>®</w:t>
      </w:r>
      <w:r>
        <w:rPr>
          <w:rFonts w:ascii="Arial" w:cs="Arial" w:eastAsia="Arial" w:hAnsi="Arial"/>
          <w:sz w:val="18"/>
          <w:szCs w:val="18"/>
          <w:color w:val="auto"/>
        </w:rPr>
        <w:t>, Derek Rose, Brioni</w:t>
      </w:r>
      <w:r>
        <w:rPr>
          <w:rFonts w:ascii="Arial" w:cs="Arial" w:eastAsia="Arial" w:hAnsi="Arial"/>
          <w:sz w:val="15"/>
          <w:szCs w:val="15"/>
          <w:color w:val="auto"/>
        </w:rPr>
        <w:t>®</w:t>
      </w:r>
      <w:r>
        <w:rPr>
          <w:rFonts w:ascii="Arial" w:cs="Arial" w:eastAsia="Arial" w:hAnsi="Arial"/>
          <w:sz w:val="18"/>
          <w:szCs w:val="18"/>
          <w:color w:val="auto"/>
        </w:rPr>
        <w:t>, Coppley, Eton</w:t>
      </w:r>
      <w:r>
        <w:rPr>
          <w:rFonts w:ascii="Arial" w:cs="Arial" w:eastAsia="Arial" w:hAnsi="Arial"/>
          <w:sz w:val="15"/>
          <w:szCs w:val="15"/>
          <w:color w:val="auto"/>
        </w:rPr>
        <w:t>®</w:t>
      </w:r>
      <w:r>
        <w:rPr>
          <w:rFonts w:ascii="Arial" w:cs="Arial" w:eastAsia="Arial" w:hAnsi="Arial"/>
          <w:sz w:val="18"/>
          <w:szCs w:val="18"/>
          <w:color w:val="auto"/>
        </w:rPr>
        <w:t>, Hickey Freeman</w:t>
      </w:r>
      <w:r>
        <w:rPr>
          <w:rFonts w:ascii="Arial" w:cs="Arial" w:eastAsia="Arial" w:hAnsi="Arial"/>
          <w:sz w:val="15"/>
          <w:szCs w:val="15"/>
          <w:color w:val="auto"/>
        </w:rPr>
        <w:t>®</w:t>
      </w:r>
      <w:r>
        <w:rPr>
          <w:rFonts w:ascii="Arial" w:cs="Arial" w:eastAsia="Arial" w:hAnsi="Arial"/>
          <w:sz w:val="18"/>
          <w:szCs w:val="18"/>
          <w:color w:val="auto"/>
        </w:rPr>
        <w:t>, Jack Victor</w:t>
      </w:r>
      <w:r>
        <w:rPr>
          <w:rFonts w:ascii="Arial" w:cs="Arial" w:eastAsia="Arial" w:hAnsi="Arial"/>
          <w:sz w:val="15"/>
          <w:szCs w:val="15"/>
          <w:color w:val="auto"/>
        </w:rPr>
        <w:t>®</w:t>
      </w:r>
      <w:r>
        <w:rPr>
          <w:rFonts w:ascii="Arial" w:cs="Arial" w:eastAsia="Arial" w:hAnsi="Arial"/>
          <w:sz w:val="18"/>
          <w:szCs w:val="18"/>
          <w:color w:val="auto"/>
        </w:rPr>
        <w:t>, Lucky, Michael Kors</w:t>
      </w:r>
      <w:r>
        <w:rPr>
          <w:rFonts w:ascii="Arial" w:cs="Arial" w:eastAsia="Arial" w:hAnsi="Arial"/>
          <w:sz w:val="15"/>
          <w:szCs w:val="15"/>
          <w:color w:val="auto"/>
        </w:rPr>
        <w:t>®</w:t>
      </w:r>
      <w:r>
        <w:rPr>
          <w:rFonts w:ascii="Arial" w:cs="Arial" w:eastAsia="Arial" w:hAnsi="Arial"/>
          <w:sz w:val="18"/>
          <w:szCs w:val="18"/>
          <w:color w:val="auto"/>
        </w:rPr>
        <w:t>, Pantherella</w:t>
      </w:r>
      <w:r>
        <w:rPr>
          <w:rFonts w:ascii="Arial" w:cs="Arial" w:eastAsia="Arial" w:hAnsi="Arial"/>
          <w:sz w:val="15"/>
          <w:szCs w:val="15"/>
          <w:color w:val="auto"/>
        </w:rPr>
        <w:t>®</w:t>
      </w:r>
      <w:r>
        <w:rPr>
          <w:rFonts w:ascii="Arial" w:cs="Arial" w:eastAsia="Arial" w:hAnsi="Arial"/>
          <w:sz w:val="18"/>
          <w:szCs w:val="18"/>
          <w:color w:val="auto"/>
        </w:rPr>
        <w:t>, Paul &amp; Shark, JOE’S</w:t>
      </w:r>
      <w:r>
        <w:rPr>
          <w:rFonts w:ascii="Arial" w:cs="Arial" w:eastAsia="Arial" w:hAnsi="Arial"/>
          <w:sz w:val="15"/>
          <w:szCs w:val="15"/>
          <w:color w:val="auto"/>
        </w:rPr>
        <w:t>®</w:t>
      </w:r>
      <w:r>
        <w:rPr>
          <w:rFonts w:ascii="Arial" w:cs="Arial" w:eastAsia="Arial" w:hAnsi="Arial"/>
          <w:sz w:val="18"/>
          <w:szCs w:val="18"/>
          <w:color w:val="auto"/>
        </w:rPr>
        <w:t xml:space="preserve"> Jeans, Robert Graham</w:t>
      </w:r>
      <w:r>
        <w:rPr>
          <w:rFonts w:ascii="Arial" w:cs="Arial" w:eastAsia="Arial" w:hAnsi="Arial"/>
          <w:sz w:val="15"/>
          <w:szCs w:val="15"/>
          <w:color w:val="auto"/>
        </w:rPr>
        <w:t>®</w:t>
      </w:r>
      <w:r>
        <w:rPr>
          <w:rFonts w:ascii="Arial" w:cs="Arial" w:eastAsia="Arial" w:hAnsi="Arial"/>
          <w:sz w:val="18"/>
          <w:szCs w:val="18"/>
          <w:color w:val="auto"/>
        </w:rPr>
        <w:t>, Robert Talbot, St. Hillaire, Ted Baker</w:t>
      </w:r>
      <w:r>
        <w:rPr>
          <w:rFonts w:ascii="Arial" w:cs="Arial" w:eastAsia="Arial" w:hAnsi="Arial"/>
          <w:sz w:val="15"/>
          <w:szCs w:val="15"/>
          <w:color w:val="auto"/>
        </w:rPr>
        <w:t>®</w:t>
      </w:r>
      <w:r>
        <w:rPr>
          <w:rFonts w:ascii="Arial" w:cs="Arial" w:eastAsia="Arial" w:hAnsi="Arial"/>
          <w:sz w:val="18"/>
          <w:szCs w:val="18"/>
          <w:color w:val="auto"/>
        </w:rPr>
        <w:t>, True Religion</w:t>
      </w:r>
      <w:r>
        <w:rPr>
          <w:rFonts w:ascii="Arial" w:cs="Arial" w:eastAsia="Arial" w:hAnsi="Arial"/>
          <w:sz w:val="15"/>
          <w:szCs w:val="15"/>
          <w:color w:val="auto"/>
        </w:rPr>
        <w:t>®</w:t>
      </w:r>
      <w:r>
        <w:rPr>
          <w:rFonts w:ascii="Arial" w:cs="Arial" w:eastAsia="Arial" w:hAnsi="Arial"/>
          <w:sz w:val="18"/>
          <w:szCs w:val="18"/>
          <w:color w:val="auto"/>
        </w:rPr>
        <w:t>, Turnbull &amp; Asser</w:t>
      </w:r>
      <w:r>
        <w:rPr>
          <w:rFonts w:ascii="Arial" w:cs="Arial" w:eastAsia="Arial" w:hAnsi="Arial"/>
          <w:sz w:val="15"/>
          <w:szCs w:val="15"/>
          <w:color w:val="auto"/>
        </w:rPr>
        <w:t>®</w:t>
      </w:r>
      <w:r>
        <w:rPr>
          <w:rFonts w:ascii="Arial" w:cs="Arial" w:eastAsia="Arial" w:hAnsi="Arial"/>
          <w:sz w:val="18"/>
          <w:szCs w:val="18"/>
          <w:color w:val="auto"/>
        </w:rPr>
        <w:t>, Robert Barakett</w:t>
      </w:r>
      <w:r>
        <w:rPr>
          <w:rFonts w:ascii="Arial" w:cs="Arial" w:eastAsia="Arial" w:hAnsi="Arial"/>
          <w:sz w:val="15"/>
          <w:szCs w:val="15"/>
          <w:color w:val="auto"/>
        </w:rPr>
        <w:t>®</w:t>
      </w:r>
      <w:r>
        <w:rPr>
          <w:rFonts w:ascii="Arial" w:cs="Arial" w:eastAsia="Arial" w:hAnsi="Arial"/>
          <w:sz w:val="18"/>
          <w:szCs w:val="18"/>
          <w:color w:val="auto"/>
        </w:rPr>
        <w:t>, MVP</w:t>
      </w:r>
      <w:r>
        <w:rPr>
          <w:rFonts w:ascii="Arial" w:cs="Arial" w:eastAsia="Arial" w:hAnsi="Arial"/>
          <w:sz w:val="15"/>
          <w:szCs w:val="15"/>
          <w:color w:val="auto"/>
        </w:rPr>
        <w:t>®</w:t>
      </w:r>
      <w:r>
        <w:rPr>
          <w:rFonts w:ascii="Arial" w:cs="Arial" w:eastAsia="Arial" w:hAnsi="Arial"/>
          <w:sz w:val="18"/>
          <w:szCs w:val="18"/>
          <w:color w:val="auto"/>
        </w:rPr>
        <w:t>, and David Donahue</w:t>
      </w:r>
      <w:r>
        <w:rPr>
          <w:rFonts w:ascii="Arial" w:cs="Arial" w:eastAsia="Arial" w:hAnsi="Arial"/>
          <w:sz w:val="15"/>
          <w:szCs w:val="15"/>
          <w:color w:val="auto"/>
        </w:rPr>
        <w:t>®</w:t>
      </w:r>
      <w:r>
        <w:rPr>
          <w:rFonts w:ascii="Arial" w:cs="Arial" w:eastAsia="Arial" w:hAnsi="Arial"/>
          <w:sz w:val="18"/>
          <w:szCs w:val="18"/>
          <w:color w:val="auto"/>
        </w:rPr>
        <w:t>.</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offer our customer an extensive selection of quality sportswear and dress clothing at moderate prices carrying well-known brands such as: Buffalo Jeans</w:t>
      </w:r>
      <w:r>
        <w:rPr>
          <w:rFonts w:ascii="Arial" w:cs="Arial" w:eastAsia="Arial" w:hAnsi="Arial"/>
          <w:sz w:val="14"/>
          <w:szCs w:val="14"/>
          <w:color w:val="auto"/>
        </w:rPr>
        <w:t>®</w:t>
      </w:r>
      <w:r>
        <w:rPr>
          <w:rFonts w:ascii="Arial" w:cs="Arial" w:eastAsia="Arial" w:hAnsi="Arial"/>
          <w:sz w:val="17"/>
          <w:szCs w:val="17"/>
          <w:color w:val="auto"/>
        </w:rPr>
        <w:t>, Rainforest, Brooks Brothers</w:t>
      </w:r>
      <w:r>
        <w:rPr>
          <w:rFonts w:ascii="Arial" w:cs="Arial" w:eastAsia="Arial" w:hAnsi="Arial"/>
          <w:sz w:val="14"/>
          <w:szCs w:val="14"/>
          <w:color w:val="auto"/>
        </w:rPr>
        <w:t>®</w:t>
      </w:r>
      <w:r>
        <w:rPr>
          <w:rFonts w:ascii="Arial" w:cs="Arial" w:eastAsia="Arial" w:hAnsi="Arial"/>
          <w:sz w:val="17"/>
          <w:szCs w:val="17"/>
          <w:color w:val="auto"/>
        </w:rPr>
        <w:t>, O’Neill</w:t>
      </w:r>
      <w:r>
        <w:rPr>
          <w:rFonts w:ascii="Arial" w:cs="Arial" w:eastAsia="Arial" w:hAnsi="Arial"/>
          <w:sz w:val="14"/>
          <w:szCs w:val="14"/>
          <w:color w:val="auto"/>
        </w:rPr>
        <w:t>®</w:t>
      </w:r>
      <w:r>
        <w:rPr>
          <w:rFonts w:ascii="Arial" w:cs="Arial" w:eastAsia="Arial" w:hAnsi="Arial"/>
          <w:sz w:val="17"/>
          <w:szCs w:val="17"/>
          <w:color w:val="auto"/>
        </w:rPr>
        <w:t>, Retro Brand, Cutter &amp; Buck</w:t>
      </w:r>
      <w:r>
        <w:rPr>
          <w:rFonts w:ascii="Arial" w:cs="Arial" w:eastAsia="Arial" w:hAnsi="Arial"/>
          <w:sz w:val="14"/>
          <w:szCs w:val="14"/>
          <w:color w:val="auto"/>
        </w:rPr>
        <w:t>®</w:t>
      </w:r>
      <w:r>
        <w:rPr>
          <w:rFonts w:ascii="Arial" w:cs="Arial" w:eastAsia="Arial" w:hAnsi="Arial"/>
          <w:sz w:val="17"/>
          <w:szCs w:val="17"/>
          <w:color w:val="auto"/>
        </w:rPr>
        <w:t>, Levis</w:t>
      </w:r>
      <w:r>
        <w:rPr>
          <w:rFonts w:ascii="Arial" w:cs="Arial" w:eastAsia="Arial" w:hAnsi="Arial"/>
          <w:sz w:val="14"/>
          <w:szCs w:val="14"/>
          <w:color w:val="auto"/>
        </w:rPr>
        <w:t>®</w:t>
      </w:r>
      <w:r>
        <w:rPr>
          <w:rFonts w:ascii="Arial" w:cs="Arial" w:eastAsia="Arial" w:hAnsi="Arial"/>
          <w:sz w:val="17"/>
          <w:szCs w:val="17"/>
          <w:color w:val="auto"/>
        </w:rPr>
        <w:t>, Adidas</w:t>
      </w:r>
      <w:r>
        <w:rPr>
          <w:rFonts w:ascii="Arial" w:cs="Arial" w:eastAsia="Arial" w:hAnsi="Arial"/>
          <w:sz w:val="14"/>
          <w:szCs w:val="14"/>
          <w:color w:val="auto"/>
        </w:rPr>
        <w:t>®</w:t>
      </w:r>
      <w:r>
        <w:rPr>
          <w:rFonts w:ascii="Arial" w:cs="Arial" w:eastAsia="Arial" w:hAnsi="Arial"/>
          <w:sz w:val="17"/>
          <w:szCs w:val="17"/>
          <w:color w:val="auto"/>
        </w:rPr>
        <w:t xml:space="preserve"> Golf, Columbia, Berne</w:t>
      </w:r>
      <w:r>
        <w:rPr>
          <w:rFonts w:ascii="Arial" w:cs="Arial" w:eastAsia="Arial" w:hAnsi="Arial"/>
          <w:sz w:val="14"/>
          <w:szCs w:val="14"/>
          <w:color w:val="auto"/>
        </w:rPr>
        <w:t>®</w:t>
      </w:r>
      <w:r>
        <w:rPr>
          <w:rFonts w:ascii="Arial" w:cs="Arial" w:eastAsia="Arial" w:hAnsi="Arial"/>
          <w:sz w:val="17"/>
          <w:szCs w:val="17"/>
          <w:color w:val="auto"/>
        </w:rPr>
        <w:t>, Carhartt</w:t>
      </w:r>
      <w:r>
        <w:rPr>
          <w:rFonts w:ascii="Arial" w:cs="Arial" w:eastAsia="Arial" w:hAnsi="Arial"/>
          <w:sz w:val="14"/>
          <w:szCs w:val="14"/>
          <w:color w:val="auto"/>
        </w:rPr>
        <w:t>®</w:t>
      </w:r>
      <w:r>
        <w:rPr>
          <w:rFonts w:ascii="Arial" w:cs="Arial" w:eastAsia="Arial" w:hAnsi="Arial"/>
          <w:sz w:val="17"/>
          <w:szCs w:val="17"/>
          <w:color w:val="auto"/>
        </w:rPr>
        <w:t>, Callaway</w:t>
      </w:r>
      <w:r>
        <w:rPr>
          <w:rFonts w:ascii="Arial" w:cs="Arial" w:eastAsia="Arial" w:hAnsi="Arial"/>
          <w:sz w:val="14"/>
          <w:szCs w:val="14"/>
          <w:color w:val="auto"/>
        </w:rPr>
        <w:t>®</w:t>
      </w:r>
      <w:r>
        <w:rPr>
          <w:rFonts w:ascii="Arial" w:cs="Arial" w:eastAsia="Arial" w:hAnsi="Arial"/>
          <w:sz w:val="17"/>
          <w:szCs w:val="17"/>
          <w:color w:val="auto"/>
        </w:rPr>
        <w:t>, CK Jeans</w:t>
      </w:r>
      <w:r>
        <w:rPr>
          <w:rFonts w:ascii="Arial" w:cs="Arial" w:eastAsia="Arial" w:hAnsi="Arial"/>
          <w:sz w:val="14"/>
          <w:szCs w:val="14"/>
          <w:color w:val="auto"/>
        </w:rPr>
        <w:t>®</w:t>
      </w:r>
      <w:r>
        <w:rPr>
          <w:rFonts w:ascii="Arial" w:cs="Arial" w:eastAsia="Arial" w:hAnsi="Arial"/>
          <w:sz w:val="17"/>
          <w:szCs w:val="17"/>
          <w:color w:val="auto"/>
        </w:rPr>
        <w:t>, CK Sport</w:t>
      </w:r>
      <w:r>
        <w:rPr>
          <w:rFonts w:ascii="Arial" w:cs="Arial" w:eastAsia="Arial" w:hAnsi="Arial"/>
          <w:sz w:val="14"/>
          <w:szCs w:val="14"/>
          <w:color w:val="auto"/>
        </w:rPr>
        <w:t>®</w:t>
      </w:r>
      <w:r>
        <w:rPr>
          <w:rFonts w:ascii="Arial" w:cs="Arial" w:eastAsia="Arial" w:hAnsi="Arial"/>
          <w:sz w:val="17"/>
          <w:szCs w:val="17"/>
          <w:color w:val="auto"/>
        </w:rPr>
        <w:t>, Jockey</w:t>
      </w:r>
      <w:r>
        <w:rPr>
          <w:rFonts w:ascii="Arial" w:cs="Arial" w:eastAsia="Arial" w:hAnsi="Arial"/>
          <w:sz w:val="14"/>
          <w:szCs w:val="14"/>
          <w:color w:val="auto"/>
        </w:rPr>
        <w:t>®</w:t>
      </w:r>
      <w:r>
        <w:rPr>
          <w:rFonts w:ascii="Arial" w:cs="Arial" w:eastAsia="Arial" w:hAnsi="Arial"/>
          <w:sz w:val="17"/>
          <w:szCs w:val="17"/>
          <w:color w:val="auto"/>
        </w:rPr>
        <w:t>, Lacoste</w:t>
      </w:r>
      <w:r>
        <w:rPr>
          <w:rFonts w:ascii="Arial" w:cs="Arial" w:eastAsia="Arial" w:hAnsi="Arial"/>
          <w:sz w:val="14"/>
          <w:szCs w:val="14"/>
          <w:color w:val="auto"/>
        </w:rPr>
        <w:t>®</w:t>
      </w:r>
      <w:r>
        <w:rPr>
          <w:rFonts w:ascii="Arial" w:cs="Arial" w:eastAsia="Arial" w:hAnsi="Arial"/>
          <w:sz w:val="17"/>
          <w:szCs w:val="17"/>
          <w:color w:val="auto"/>
        </w:rPr>
        <w:t>, Majestic, Polo Ralph Lauren</w:t>
      </w:r>
      <w:r>
        <w:rPr>
          <w:rFonts w:ascii="Arial" w:cs="Arial" w:eastAsia="Arial" w:hAnsi="Arial"/>
          <w:sz w:val="14"/>
          <w:szCs w:val="14"/>
          <w:color w:val="auto"/>
        </w:rPr>
        <w:t>®</w:t>
      </w:r>
      <w:r>
        <w:rPr>
          <w:rFonts w:ascii="Arial" w:cs="Arial" w:eastAsia="Arial" w:hAnsi="Arial"/>
          <w:sz w:val="17"/>
          <w:szCs w:val="17"/>
          <w:color w:val="auto"/>
        </w:rPr>
        <w:t>, Tommy Bahama</w:t>
      </w:r>
      <w:r>
        <w:rPr>
          <w:rFonts w:ascii="Arial" w:cs="Arial" w:eastAsia="Arial" w:hAnsi="Arial"/>
          <w:sz w:val="14"/>
          <w:szCs w:val="14"/>
          <w:color w:val="auto"/>
        </w:rPr>
        <w:t>®</w:t>
      </w:r>
      <w:r>
        <w:rPr>
          <w:rFonts w:ascii="Arial" w:cs="Arial" w:eastAsia="Arial" w:hAnsi="Arial"/>
          <w:sz w:val="17"/>
          <w:szCs w:val="17"/>
          <w:color w:val="auto"/>
        </w:rPr>
        <w:t>, Tommy Hilfiger</w:t>
      </w:r>
      <w:r>
        <w:rPr>
          <w:rFonts w:ascii="Arial" w:cs="Arial" w:eastAsia="Arial" w:hAnsi="Arial"/>
          <w:sz w:val="14"/>
          <w:szCs w:val="14"/>
          <w:color w:val="auto"/>
        </w:rPr>
        <w:t>®</w:t>
      </w:r>
      <w:r>
        <w:rPr>
          <w:rFonts w:ascii="Arial" w:cs="Arial" w:eastAsia="Arial" w:hAnsi="Arial"/>
          <w:sz w:val="17"/>
          <w:szCs w:val="17"/>
          <w:color w:val="auto"/>
        </w:rPr>
        <w:t>, Vineyard Vines</w:t>
      </w:r>
      <w:r>
        <w:rPr>
          <w:rFonts w:ascii="Arial" w:cs="Arial" w:eastAsia="Arial" w:hAnsi="Arial"/>
          <w:sz w:val="14"/>
          <w:szCs w:val="14"/>
          <w:color w:val="auto"/>
        </w:rPr>
        <w:t>®</w:t>
      </w:r>
      <w:r>
        <w:rPr>
          <w:rFonts w:ascii="Arial" w:cs="Arial" w:eastAsia="Arial" w:hAnsi="Arial"/>
          <w:sz w:val="17"/>
          <w:szCs w:val="17"/>
          <w:color w:val="auto"/>
        </w:rPr>
        <w:t xml:space="preserve"> and Tallia</w:t>
      </w:r>
      <w:r>
        <w:rPr>
          <w:rFonts w:ascii="Arial" w:cs="Arial" w:eastAsia="Arial" w:hAnsi="Arial"/>
          <w:sz w:val="14"/>
          <w:szCs w:val="14"/>
          <w:color w:val="auto"/>
        </w:rPr>
        <w:t>®</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carry three moderate-priced private-label lines:</w:t>
      </w:r>
    </w:p>
    <w:p>
      <w:pPr>
        <w:spacing w:after="0" w:line="117" w:lineRule="exact"/>
        <w:rPr>
          <w:sz w:val="20"/>
          <w:szCs w:val="20"/>
          <w:color w:val="auto"/>
        </w:rPr>
      </w:pPr>
    </w:p>
    <w:p>
      <w:pPr>
        <w:ind w:left="780" w:hanging="25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Twenty Eight Degrees™ </w:t>
      </w:r>
      <w:r>
        <w:rPr>
          <w:rFonts w:ascii="Arial" w:cs="Arial" w:eastAsia="Arial" w:hAnsi="Arial"/>
          <w:sz w:val="18"/>
          <w:szCs w:val="18"/>
          <w:color w:val="auto"/>
        </w:rPr>
        <w:t>is targeted as a contemporary/modern line offering sportswear and loungewear.</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Society of One </w:t>
      </w:r>
      <w:r>
        <w:rPr>
          <w:rFonts w:ascii="Arial" w:cs="Arial" w:eastAsia="Arial" w:hAnsi="Arial"/>
          <w:sz w:val="18"/>
          <w:szCs w:val="18"/>
          <w:color w:val="auto"/>
        </w:rPr>
        <w:t>is a jeanswear brand catering to the needs of the fashion denim customer.</w:t>
      </w:r>
    </w:p>
    <w:p>
      <w:pPr>
        <w:spacing w:after="0" w:line="116" w:lineRule="exact"/>
        <w:rPr>
          <w:rFonts w:ascii="Arial" w:cs="Arial" w:eastAsia="Arial" w:hAnsi="Arial"/>
          <w:sz w:val="18"/>
          <w:szCs w:val="18"/>
          <w:color w:val="auto"/>
        </w:rPr>
      </w:pPr>
    </w:p>
    <w:p>
      <w:pPr>
        <w:ind w:left="780" w:right="520" w:hanging="259"/>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is a line that targets traditional luxury styles. We also offer a complete selection of sportcoats,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5" w:name="page6"/>
    <w:bookmarkEnd w:id="5"/>
    <w:p>
      <w:pPr>
        <w:ind w:right="100"/>
        <w:spacing w:after="0" w:line="277" w:lineRule="auto"/>
        <w:rPr>
          <w:sz w:val="20"/>
          <w:szCs w:val="20"/>
          <w:color w:val="auto"/>
        </w:rPr>
      </w:pPr>
      <w:r>
        <w:rPr>
          <w:rFonts w:ascii="Arial" w:cs="Arial" w:eastAsia="Arial" w:hAnsi="Arial"/>
          <w:sz w:val="18"/>
          <w:szCs w:val="18"/>
          <w:color w:val="auto"/>
        </w:rPr>
        <w:t>For our value-oriented customers, we carry Geoffrey Beene</w:t>
      </w:r>
      <w:r>
        <w:rPr>
          <w:rFonts w:ascii="Arial" w:cs="Arial" w:eastAsia="Arial" w:hAnsi="Arial"/>
          <w:sz w:val="15"/>
          <w:szCs w:val="15"/>
          <w:color w:val="auto"/>
        </w:rPr>
        <w:t>®</w:t>
      </w:r>
      <w:r>
        <w:rPr>
          <w:rFonts w:ascii="Arial" w:cs="Arial" w:eastAsia="Arial" w:hAnsi="Arial"/>
          <w:sz w:val="18"/>
          <w:szCs w:val="18"/>
          <w:color w:val="auto"/>
        </w:rPr>
        <w:t>, Cubavera, Nautica</w:t>
      </w:r>
      <w:r>
        <w:rPr>
          <w:rFonts w:ascii="Arial" w:cs="Arial" w:eastAsia="Arial" w:hAnsi="Arial"/>
          <w:sz w:val="15"/>
          <w:szCs w:val="15"/>
          <w:color w:val="auto"/>
        </w:rPr>
        <w:t>®</w:t>
      </w:r>
      <w:r>
        <w:rPr>
          <w:rFonts w:ascii="Arial" w:cs="Arial" w:eastAsia="Arial" w:hAnsi="Arial"/>
          <w:sz w:val="18"/>
          <w:szCs w:val="18"/>
          <w:color w:val="auto"/>
        </w:rPr>
        <w:t xml:space="preserve"> and Nautica Jeans</w:t>
      </w:r>
      <w:r>
        <w:rPr>
          <w:rFonts w:ascii="Arial" w:cs="Arial" w:eastAsia="Arial" w:hAnsi="Arial"/>
          <w:sz w:val="15"/>
          <w:szCs w:val="15"/>
          <w:color w:val="auto"/>
        </w:rPr>
        <w:t>®</w:t>
      </w:r>
      <w:r>
        <w:rPr>
          <w:rFonts w:ascii="Arial" w:cs="Arial" w:eastAsia="Arial" w:hAnsi="Arial"/>
          <w:sz w:val="18"/>
          <w:szCs w:val="18"/>
          <w:color w:val="auto"/>
        </w:rPr>
        <w:t>, Dockers, Lee, Perry Ellis, Wrangler, Reebok and PX Clothing. In addition, we carry several value-priced private label lines:</w:t>
      </w:r>
    </w:p>
    <w:p>
      <w:pPr>
        <w:spacing w:after="0" w:line="62" w:lineRule="exact"/>
        <w:rPr>
          <w:sz w:val="20"/>
          <w:szCs w:val="20"/>
          <w:color w:val="auto"/>
        </w:rPr>
      </w:pPr>
    </w:p>
    <w:p>
      <w:pPr>
        <w:ind w:left="780" w:right="8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is a traditional line that continues to represent a significant portion of our business,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in terms of our core basic merchandise.</w:t>
      </w:r>
    </w:p>
    <w:p>
      <w:pPr>
        <w:spacing w:after="0" w:line="61" w:lineRule="exact"/>
        <w:rPr>
          <w:rFonts w:ascii="Arial" w:cs="Arial" w:eastAsia="Arial" w:hAnsi="Arial"/>
          <w:sz w:val="18"/>
          <w:szCs w:val="18"/>
          <w:color w:val="auto"/>
        </w:rPr>
      </w:pPr>
    </w:p>
    <w:p>
      <w:pPr>
        <w:ind w:left="780" w:right="26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fabrics with basic wardrobe essentials.</w:t>
      </w:r>
    </w:p>
    <w:p>
      <w:pPr>
        <w:spacing w:after="0" w:line="61"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16" w:lineRule="exact"/>
        <w:rPr>
          <w:rFonts w:ascii="Arial" w:cs="Arial" w:eastAsia="Arial" w:hAnsi="Arial"/>
          <w:sz w:val="18"/>
          <w:szCs w:val="18"/>
          <w:color w:val="auto"/>
        </w:rPr>
      </w:pPr>
    </w:p>
    <w:p>
      <w:pPr>
        <w:ind w:left="780" w:right="4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line 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61"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Island Passport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island-inspired line of camp shirts, printed woven shirts and relaxed island-inspired pants.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 CHANNEL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February 2, 2019, we operated 216 DXL retail stores. Our DXL store concept brings all of our brands together in one format. Within this format, we cater to our diverse customer base, with merchandise representing all price points, from our luxury brands to value-oriented brands, and all lifestyles, from business to denim. The size of our current DXL stores averages 7,800 square feet. In recent years, we opened smaller (5,000-6,500 square feet) DXL stores. Because of the smaller size of these stores, they carry a smaller product offering than our other DXL stores but are representative of the “good, better, best” merchandise variety. We seek to locate our DXL stores in places that are highly visible, preferably adjacent to regional malls or other high-traffic shopping areas.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DXL stores provide our customers a spacious store with up to three times the product offering of a Casual Male XL store. The merchandise in our DXL stores is organized by lifestyle: active, traditional, modern and denim with a representation of all of our brands and price points, utilizing a “good, better, best” pricing structure. Depending on the customers in each respective market, we can adjust the appropriate mix of merchandise, with varying selections from each of our price points, to cater to each demographic market. This larger store format also provides us the footprint necessary to carry a complete offering of dress wear, including tailored and “made-to-measure” custom clothing, as well as a selection of shoes in extended sizes and a broad assortment of accessories such as belts, ties, and socks.</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2018, we opened two new DXL stores and rebranded three of our Casual Male XL retail stores to the DXL store concept. Based on the positive results from the rebranding, we expect to rebrand 12 Casual Male XL retail stores and 1 Casual Male XL outlet store in fiscal 2019. In many markets, rebranding a Casual Male XL store to a DXL stores provides a viable alternative to the more costly endeavor of relocating a Casual Male XL store to new DXL real estate. In addition, the converted stores benefit from DXL advertising.</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February 2, 2019, we operated 66 Casual Male XL full-price retail stores, located primarily in strip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private label collections. The average Casual Male XL retail store is approximately 3,300 square feet.</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Outlet /Casual Male XL Outlet Stores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February 2, 2019, we operated 15 DXL outlet stores and 30 Casual Male XL outlet stores designed to offer a wide range of casual clothing for the big &amp; tall customer at prices that are generally 20-25% lower than our moderate-priced merchandise. Much of the merchandise in our outlet stores is offered with the purchasing interests of the value-oriented customer in mind. In addition to private-label and branded merchandise at our “good” price tier, our outlets also carry clearance product obtained from DXL, Casual Male XL and Rochester Clothing stores, offering the outlet customer the ability to purchase branded and fashion product for a reduced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average DXL outlet is approximately 5,200 square feet and the average Casual Male XL outlet store is approximately 3,000 square feet.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6" w:name="page7"/>
    <w:bookmarkEnd w:id="6"/>
    <w:p>
      <w:pPr>
        <w:ind w:left="26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February 2, 2019, we operated five Rochester Clothing stores, located in major cities in the United States and one store in London, England. The Rochester Clothing stores have a wide selection of our “best” and “luxury” merchandise, which consists primarily of high-end merchandise from well-recognized brands. In addition, these stores also carry a few private-label lines that are specifically designed for our high-end customer. The average Rochester Clothing store is approximately 10,000 square feet.</w:t>
      </w:r>
    </w:p>
    <w:p>
      <w:pPr>
        <w:spacing w:after="0" w:line="7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During the fourth quarter of fiscal 2018, the Company made the decision to close its five Rochester Clothing stores during fiscal 2019 as our lease term in each store expires. This was a store productivity and efficiency decision that was driven by the high occupancy costs associated with these prime locations. The Company will continue to sell its Rochester-branded merchandise in its DXL stores and on its website.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International</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to our Rochester Clothing store located in London, England, we also have one franchised DXL store in the Middle East at the Symphony Mall in Kuwait City, Kuwait, which was opened in fiscal 2014 pursuant to a franchise agreement with The Standard Arabian Business &amp; Enterprises Company (SABECO).</w:t>
      </w:r>
    </w:p>
    <w:p>
      <w:pPr>
        <w:spacing w:after="0" w:line="1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the spring of fiscal 2017, we opened two DXL stores in Toronto, Canada. These are the first DXL brand stores operated by the Company outside of the United States. We believe that Canada provides a strategic growth opportunity for our DXL brand. We believe that the international big &amp; tall men’s apparel market is currently underserved and we will continue to consider and evaluate opportunities for international growth in the future.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DIRECT CHANNEL</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direct business is a critical channel for growing sales and market share. We define our direct business (which we also refer to as e-commerce) as sales that originate online, whether through our website, those initiated online at the store level, or through a third-party marketplace. We have the ability to service our customers in-person at a store, over the telephone, or online via a computer, smartphone or tablet.</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With the ability to showcase all of our store inventories online, we are seeing an increase in the number of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Website</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are focused on providing an outstanding guest experience wherever our customer decides to shop with us, whether in our stores or online. To further support our growing direct business, in the third quarter of fiscal 2018, we launched our updated website. Our new website enhances our digital presence and provides our customers with improved functionality with fewer clicks and faster speed. More importantly, our updated website allows us to showcase our merchandise by showing a complete outfit in addition to showing the traditional individual product pages. We believe that this approach allows us to emulate the in-store experience. We want to provide our online customers with the tools necessary to construct a complete wardrobe.</w:t>
      </w:r>
    </w:p>
    <w:p>
      <w:pPr>
        <w:spacing w:after="0" w:line="160"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From our website, customers can shop merchandise from value-oriented to luxury price points, and they can tailor their search using our “size profile.” In addition, our DXL website also offers a complete line of men’s footwear in extended sizes. Although our DXL stores carry a limited selection of footwear, we are able to offer a full assortment of sizes and styles through our website. The shoe assortment is a reflection of our apparel, with a broad selection from moderate to luxury and from casual to formal. We currently have a selection of more than 600 styles of shoes, ranging in sizes from 10W to 18W, including designer brands such as Cole Haan®, Allen Edmonds®, Timberland®, Calvin Klein®, Lacoste®, Donald J. Pliner and Bruno Magli®.</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fiscal 2018, we purchased the domain name “dxl.com” for $1.2 million, including fees, and it now serves as the landing page for our e-commerce business. Acquiring this domain name, which mirrors our stores’ signage, was a significant acquisition for our brand and we believe it will increase traffic to our site.</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Online Sales at Store Level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omni-channel approach encourages our store associates to use our website to help fulfill our in-store customers’ clothing needs. If a wider selection of a lifestyle, color or size of an item is not available in our store, then our store associates can order the item for our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customer online through our direct channel and have it shipped to the store or directly to the customer. Our customers also have the ability to order online and pick-up in store on the same day.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Online Marketplaces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Broadening our reach through online, third-party marketplaces continues to be a growth initiative for our direct business. A large portion of our assortment is available on Amazon, with Amazon Prime shipping. Online marketplaces provide us an opportunity to grow our customer base and introduce new customers to our brand.</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WHOLESALE CHANNEL</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part of our strategic growth plan, in fiscal 2018, we launched a wholesale channel that we believe will be a strong complement to our retail channel, focused on product development and distribution relationships with key retailers. We intend to develop and distribute both private label and co-branded big &amp; tall men’s apparel lines. We believe that this model will allow us to leverage our existing infrastructure, including DXL technical and fashion design, product development and sourcing capabilities and provide us an opportunity to access new customers who do not currently shop at DXL.</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for the direct channel, and pre-season planning for product assortments for each store and the direct channel. Additionally, in-season reporting identifies opportunities and challenges in inventory performance. Over the past several years, we have made and will continue to make investments in implementing best practice tools and processes for our merchandise planning and allocation.</w:t>
      </w:r>
    </w:p>
    <w:p>
      <w:pPr>
        <w:spacing w:after="0" w:line="1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core merchandise makes up approximately 38% of our merchandise assortment.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1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store associates are the key to creating the highest quality experience for our customers. Beginning with the advent of our initial testing of DXL stores, we committed to change the culture in our stores from an operationally-driven organization to a sales-driven, customer-centric organization. Our overall goal was to assist our associates in becoming less task-oriented and more focused on serving the customer. We want our associates to help our customer meet his apparel needs through building his wardrobe, not just selling our customer a single item. In order to accomplish this, we invested in educating our associates. Our associates are trained to be clothing experts, capable of accommodating our customer’s style and fit needs with ready-to-wear clothing. Our associates are well versed in not only the product selection carried in their specific store, but also the product selection carried online. With a point-of-sale system that can access items online for the customer who is physically in the store, our associates are able to fulfill all of their customers’ needs. Our stores also offer on-site tailoring in order to assist customers in receiving a perfect fit. In addition to product knowledge, our training approach includes behavioral training as well. A key component to the success of this program is finding the right caliber of store associates. Our multi-unit, field management team receives extensive training on recruiting associates who are the correct fit for our stores. Our new DXL store management team hires are enrolled in “The DXL Experience Training Program,” with time spent in one of our two Regional Training Centers. The culture has been created over the last eight years to promote from our internal associates, starting at the Assistant Store Manager level up to, and including, the Vice President of Store Operations and Guest Engagement level. Our Regional Vice Presidents give us touch-points in the field in addition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8" w:name="page9"/>
    <w:bookmarkEnd w:id="8"/>
    <w:p>
      <w:pPr>
        <w:ind w:right="700"/>
        <w:spacing w:after="0" w:line="277" w:lineRule="auto"/>
        <w:rPr>
          <w:sz w:val="20"/>
          <w:szCs w:val="20"/>
          <w:color w:val="auto"/>
        </w:rPr>
      </w:pPr>
      <w:r>
        <w:rPr>
          <w:rFonts w:ascii="Arial" w:cs="Arial" w:eastAsia="Arial" w:hAnsi="Arial"/>
          <w:sz w:val="18"/>
          <w:szCs w:val="18"/>
          <w:color w:val="auto"/>
        </w:rPr>
        <w:t>to the Regional Sales Managers and the store management to ensure consistency in executing our standards and all programs and processes we deem important to our success.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new member of the store management team spends time in a DXL store, working with certified training managers to solidify his or her training before being released to the respective “home” store. This allows the new store management team members to apply the skills learned during “The DXL Experience Training Program” so they in turn will have the tools to manage their respective stores successfully. We are able to gauge the effectiveness of our training through measuring sales productivity at each level of the field organization, including individual sales associates. We believe these educational programs, together with monitoring sales metrics to help identify opportunities for further training, will improve sales productivity and strengthen our customer’s brand loyalty.</w:t>
      </w:r>
    </w:p>
    <w:p>
      <w:pPr>
        <w:spacing w:after="0" w:line="19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Each DXL, Casual Male XL and Rochester Clothing store is staffed with a store manager, assistant managers and associates. The store manager is responsible for achieving certain sales and operational targets. Our stores have an incentive-based commission plan for managers and selling staff to encourage associates to focus on our customer’s wardrobing needs and sales productivity. Our field organization strives to promote from within - a culture that has been building for eight years, with approximately 90% of the field organization’s multi-unit managers having managed one of our retail stores.</w:t>
      </w:r>
    </w:p>
    <w:p>
      <w:pPr>
        <w:spacing w:after="0" w:line="15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field organization is overseen by our Senior Vice President of Store Sales and Operations, Vice President of Store Operations and Guest Engagement, Regional Vice Presidents and Regional Sales Managers,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30"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color w:val="auto"/>
        </w:rPr>
        <w:t>We believe that our marketing initiatives are key to driving our top-line growth by driving traffic to our stores and website. Our focus is on increasing the awareness of our DXL brand, so shoppers will think of us when they decide to purchase big &amp; tall men’s apparel or accessories.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2018, our marketing expenses were $24.4 million, which was a decrease from $29.5 million in fiscal 2017. The 2018 “</w:t>
      </w:r>
      <w:r>
        <w:rPr>
          <w:rFonts w:ascii="Arial" w:cs="Arial" w:eastAsia="Arial" w:hAnsi="Arial"/>
          <w:sz w:val="18"/>
          <w:szCs w:val="18"/>
          <w:i w:val="1"/>
          <w:iCs w:val="1"/>
          <w:color w:val="auto"/>
        </w:rPr>
        <w:t>Built XL</w:t>
      </w:r>
      <w:r>
        <w:rPr>
          <w:rFonts w:ascii="Arial" w:cs="Arial" w:eastAsia="Arial" w:hAnsi="Arial"/>
          <w:sz w:val="18"/>
          <w:szCs w:val="18"/>
          <w:color w:val="auto"/>
        </w:rPr>
        <w:t>” marketing campaign was broad-reaching and included two media campaigns: a Spring campaign and a Fall/Holiday campaign that each ran for six weeks. The campaign emphasized fit, expertise, clothing brands, in-store experience, and one-stop shopping. Our objective was to highlight our key differentiators and to make an emotional connection with our core consumer. In addition to the media campaign, we also increased the circulation of our direct mail campaign and strengthened offers under our loyalty program. During the holiday season, we tested, with positive results, a holiday catalog to a select group of our top customers, which highlighted current fashion and product offerings.</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fiscal 2018, we completed a six-month customer segmentation study where we surveyed over 4,000 target customers to help us further understand their shopping habits, style choices, preferred brands and other retailers they shop. Because of this study, we have segmented our target customers into six distinct categories, with the largest segment being our “Fit &amp; Style” customer. This customer is not only interested in fit, but also in style. This “Fit &amp; Style” customer represents approximately 28% of the big &amp; tall market according to our analysis, and we believe that he represents approximately 55% of the buying power. Based on the results of this study, in fiscal 2019, we plan to pivot our marketing to a more targeted, personalized, data-driven model where we can create personalization and ultimately engage differently with customers in each of these six distinct categories. As such, we expect to redirect some of our broad-reach marketing costs to direct marketing initiatives, such as catalogs, digital advertising and loyalty incentives. In addition, during fiscal 2019, we will also be implementing a new CRM system to support our customer segmentation marketing.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strong experience in sourcing internationally. We manufacture a significant percentage of our private-label merchandise primarily in Southeast Asian countries consisting of Vietnam, Bangladesh, Cambodia and India. While we do source some merchandise from China, we are diversifying our global penetration outside of China and starting to move into additional countries with duty-free opportunities in Jordan and Mexico. We have strong-established relationships with many of the leading factories and mills on the globe. Our sourcing network consists of over 28 factories in 6 countries. Currently, approximately 50% of all our product needs are sourced directly.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global sourcing strategy is a balanced approach, which considers quality, cost and lead-time, depending on the requirements of the program. We believe our current sourcing structure is sufficient to meet our operating requirements and provide capacity for growth. The growth and effectiveness of our global direct sourcing program is a key component to the strength of merchandise margins.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All of our distribution operations are centralized at our headquarters located in Canton, Massachusetts. However, if merchandise is available at the store level but not available at the distribution center, many of our stores are capable of completing the order and shipping it directly to a customer.</w:t>
      </w:r>
    </w:p>
    <w:p>
      <w:pPr>
        <w:spacing w:after="0" w:line="14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business.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2003, we have utilized United Parcel Services (“UPS”) for all of our store shipments as well as our domestic customer deliveries. By utilizing UPS, we are able to track all deliveries from the warehouse to our individual stores, including the status of in-transit shipments. In addition, we are able to provide our direct customers with Authorized Return Service and Web labels, making returns more convenient for them. Our current contract with UPS is set to expire on January 5, 2020.</w:t>
      </w:r>
    </w:p>
    <w:p>
      <w:pPr>
        <w:spacing w:after="0" w:line="18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18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warehousing application for our distribution center systems streamlines our distribution processes, enhances our in-transit times, and reduces our distribution costs substantially. We continually work to make improvements and upgrades to our software, such as automated packing for single-piece orders, barcode scanning technologies and scanning technologies for our sortation systems, in order to improve productivity and to lower packing costs.</w:t>
      </w:r>
    </w:p>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In-bound calls for our direct business are currently handled at our Canton facility and are primarily fulfilled by our distribution center. If an order cannot be fulfilled by our distribution center, the order is completed at the store level.</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infrastructure of our management information systems is a priority to us. We believe that the investments we have made in this regard have improved our overall efficiency and, most importantly have enabled us to manage our inventory more effectively.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Using a retail business intelligence solution, we are able to integrate data from several sources and provide enterprise-wide analytics reporting. Over the past few years, we have developed a custom Assortment Suite application that leverages business intelligence and predictive analytics to provide high impact insights into core merchandising tasks. In an effort to improve our inventory management, we have created a standardized set of “best practices” for both our merchandise planning and allocation groups.</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direct and retail channels maintain a shared inventory system and we operate a single system platform for DXL, Casual Male XL and Rochester Clothing to deliver improved efficiencies.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fiscal 2019, we will be continuing to upgrade our order management systems, which will improve our warehouse management and logistics capabilities for enhanced inventory visibility and order fulfillment, and we will be implementing a new CRM platform. We continually work to improve our web environment and the security of our systems. Our mobile and tablet optimized sites capitalize on the growing use of mobile devices to look up store information, review product offerings, and complete purchases. In addition, our current website is fully integrated with a global e-commerce company to accommodate international customers by providing multi-currency pricing, payment processing, and international shipping.</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faces competition from a variety of sources, including department stores such as J.C. Penney and Dillard’s, mass merchandisers such as Kohl’s, other specialty stores and discount and off-price retailers that sell big &amp; tall men’s apparel. While we have successfully competed on the basis of merchandise selection, comfort and fit, customer service and desirable store locations, there can be no assurances that other retailers, including e-commerce retailers, will not adopt purchasing and marketing concepts similar to ours. Discount retailers with significant buying power, such as Wal-Mart and J.C. Penney, represent a source of competition for us. The direct business has several competitors, including the King Size catalog and website as well as online marketplaces, such as Amazon.</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United States big &amp; tall men’s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men’s apparel stores focused on the men’s big &amp; tall market.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own several service marks and trademarks relating to our businesses, including, among others,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Mens Apparel</w:t>
      </w:r>
      <w:r>
        <w:rPr>
          <w:rFonts w:ascii="Arial" w:cs="Arial" w:eastAsia="Arial" w:hAnsi="Arial"/>
          <w:sz w:val="15"/>
          <w:szCs w:val="15"/>
          <w:color w:val="auto"/>
        </w:rPr>
        <w:t>®</w:t>
      </w:r>
      <w:r>
        <w:rPr>
          <w:rFonts w:ascii="Arial" w:cs="Arial" w:eastAsia="Arial" w:hAnsi="Arial"/>
          <w:sz w:val="18"/>
          <w:szCs w:val="18"/>
          <w:color w:val="auto"/>
        </w:rPr>
        <w:t>”, “Big on Being Better</w:t>
      </w:r>
      <w:r>
        <w:rPr>
          <w:rFonts w:ascii="Arial" w:cs="Arial" w:eastAsia="Arial" w:hAnsi="Arial"/>
          <w:sz w:val="15"/>
          <w:szCs w:val="15"/>
          <w:color w:val="auto"/>
        </w:rPr>
        <w:t>®</w:t>
      </w:r>
      <w:r>
        <w:rPr>
          <w:rFonts w:ascii="Arial" w:cs="Arial" w:eastAsia="Arial" w:hAnsi="Arial"/>
          <w:sz w:val="18"/>
          <w:szCs w:val="18"/>
          <w:color w:val="auto"/>
        </w:rPr>
        <w:t>”, “Casual Male</w:t>
      </w:r>
      <w:r>
        <w:rPr>
          <w:rFonts w:ascii="Arial" w:cs="Arial" w:eastAsia="Arial" w:hAnsi="Arial"/>
          <w:sz w:val="15"/>
          <w:szCs w:val="15"/>
          <w:color w:val="auto"/>
        </w:rPr>
        <w:t>®</w:t>
      </w:r>
      <w:r>
        <w:rPr>
          <w:rFonts w:ascii="Arial" w:cs="Arial" w:eastAsia="Arial" w:hAnsi="Arial"/>
          <w:sz w:val="18"/>
          <w:szCs w:val="18"/>
          <w:color w:val="auto"/>
        </w:rPr>
        <w:t>”, “Casual Male XL</w:t>
      </w:r>
      <w:r>
        <w:rPr>
          <w:rFonts w:ascii="Arial" w:cs="Arial" w:eastAsia="Arial" w:hAnsi="Arial"/>
          <w:sz w:val="15"/>
          <w:szCs w:val="15"/>
          <w:color w:val="auto"/>
        </w:rPr>
        <w:t>®</w:t>
      </w:r>
      <w:r>
        <w:rPr>
          <w:rFonts w:ascii="Arial" w:cs="Arial" w:eastAsia="Arial" w:hAnsi="Arial"/>
          <w:sz w:val="18"/>
          <w:szCs w:val="18"/>
          <w:color w:val="auto"/>
        </w:rPr>
        <w:t>”, “Rochester Clothing</w:t>
      </w:r>
      <w:r>
        <w:rPr>
          <w:rFonts w:ascii="Arial" w:cs="Arial" w:eastAsia="Arial" w:hAnsi="Arial"/>
          <w:sz w:val="15"/>
          <w:szCs w:val="15"/>
          <w:color w:val="auto"/>
        </w:rPr>
        <w:t>®</w:t>
      </w:r>
      <w:r>
        <w:rPr>
          <w:rFonts w:ascii="Arial" w:cs="Arial" w:eastAsia="Arial" w:hAnsi="Arial"/>
          <w:sz w:val="18"/>
          <w:szCs w:val="18"/>
          <w:color w:val="auto"/>
        </w:rPr>
        <w:t>”, “Rochester Big &amp; Tall</w:t>
      </w:r>
      <w:r>
        <w:rPr>
          <w:rFonts w:ascii="Arial" w:cs="Arial" w:eastAsia="Arial" w:hAnsi="Arial"/>
          <w:sz w:val="15"/>
          <w:szCs w:val="15"/>
          <w:color w:val="auto"/>
        </w:rPr>
        <w:t>®</w:t>
      </w:r>
      <w:r>
        <w:rPr>
          <w:rFonts w:ascii="Arial" w:cs="Arial" w:eastAsia="Arial" w:hAnsi="Arial"/>
          <w:sz w:val="18"/>
          <w:szCs w:val="18"/>
          <w:color w:val="auto"/>
        </w:rPr>
        <w:t>”, “Harbor Bay</w:t>
      </w:r>
      <w:r>
        <w:rPr>
          <w:rFonts w:ascii="Arial" w:cs="Arial" w:eastAsia="Arial" w:hAnsi="Arial"/>
          <w:sz w:val="15"/>
          <w:szCs w:val="15"/>
          <w:color w:val="auto"/>
        </w:rPr>
        <w:t>®</w:t>
      </w:r>
      <w:r>
        <w:rPr>
          <w:rFonts w:ascii="Arial" w:cs="Arial" w:eastAsia="Arial" w:hAnsi="Arial"/>
          <w:sz w:val="18"/>
          <w:szCs w:val="18"/>
          <w:color w:val="auto"/>
        </w:rPr>
        <w:t>”, “Oak Hill</w:t>
      </w:r>
      <w:r>
        <w:rPr>
          <w:rFonts w:ascii="Arial" w:cs="Arial" w:eastAsia="Arial" w:hAnsi="Arial"/>
          <w:sz w:val="15"/>
          <w:szCs w:val="15"/>
          <w:color w:val="auto"/>
        </w:rPr>
        <w:t>®</w:t>
      </w:r>
      <w:r>
        <w:rPr>
          <w:rFonts w:ascii="Arial" w:cs="Arial" w:eastAsia="Arial" w:hAnsi="Arial"/>
          <w:sz w:val="18"/>
          <w:szCs w:val="18"/>
          <w:color w:val="auto"/>
        </w:rPr>
        <w:t>”, “Comfort Zone</w:t>
      </w:r>
      <w:r>
        <w:rPr>
          <w:rFonts w:ascii="Arial" w:cs="Arial" w:eastAsia="Arial" w:hAnsi="Arial"/>
          <w:sz w:val="15"/>
          <w:szCs w:val="15"/>
          <w:color w:val="auto"/>
        </w:rPr>
        <w:t>®</w:t>
      </w:r>
      <w:r>
        <w:rPr>
          <w:rFonts w:ascii="Arial" w:cs="Arial" w:eastAsia="Arial" w:hAnsi="Arial"/>
          <w:sz w:val="18"/>
          <w:szCs w:val="18"/>
          <w:color w:val="auto"/>
        </w:rPr>
        <w:t>”, “Synrgy™”, “Twenty-Eight Degrees™”, “Society of One</w:t>
      </w:r>
      <w:r>
        <w:rPr>
          <w:rFonts w:ascii="Arial" w:cs="Arial" w:eastAsia="Arial" w:hAnsi="Arial"/>
          <w:sz w:val="15"/>
          <w:szCs w:val="15"/>
          <w:color w:val="auto"/>
        </w:rPr>
        <w:t>®</w:t>
      </w:r>
      <w:r>
        <w:rPr>
          <w:rFonts w:ascii="Arial" w:cs="Arial" w:eastAsia="Arial" w:hAnsi="Arial"/>
          <w:sz w:val="18"/>
          <w:szCs w:val="18"/>
          <w:color w:val="auto"/>
        </w:rPr>
        <w:t>” and “True Nation</w:t>
      </w:r>
      <w:r>
        <w:rPr>
          <w:rFonts w:ascii="Arial" w:cs="Arial" w:eastAsia="Arial" w:hAnsi="Arial"/>
          <w:sz w:val="15"/>
          <w:szCs w:val="15"/>
          <w:color w:val="auto"/>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15"/>
          <w:szCs w:val="15"/>
          <w:color w:val="auto"/>
        </w:rPr>
        <w:t>®</w:t>
      </w:r>
      <w:r>
        <w:rPr>
          <w:rFonts w:ascii="Arial" w:cs="Arial" w:eastAsia="Arial" w:hAnsi="Arial"/>
          <w:sz w:val="18"/>
          <w:szCs w:val="18"/>
          <w:color w:val="auto"/>
        </w:rPr>
        <w:t>” and a U.S. copyright for a no-iron hang tag.</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February 2, 2019, we had approximately 2,543 employees. We hire additional temporary employees during the peak Fall and Holiday seasons. None of our employees is represented by any collective bargaining agreement.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www.dxl.com.</w:t>
      </w:r>
      <w:r>
        <w:rPr>
          <w:rFonts w:ascii="Arial" w:cs="Arial" w:eastAsia="Arial" w:hAnsi="Arial"/>
          <w:sz w:val="17"/>
          <w:szCs w:val="17"/>
          <w:color w:val="auto"/>
        </w:rPr>
        <w:t xml:space="preserve"> Our investor relations site is </w:t>
      </w:r>
      <w:r>
        <w:rPr>
          <w:rFonts w:ascii="Arial" w:cs="Arial" w:eastAsia="Arial" w:hAnsi="Arial"/>
          <w:sz w:val="17"/>
          <w:szCs w:val="17"/>
          <w:u w:val="single" w:color="auto"/>
          <w:color w:val="auto"/>
        </w:rPr>
        <w:t>http://investor.destinationxl.com.</w:t>
      </w:r>
      <w:r>
        <w:rPr>
          <w:rFonts w:ascii="Arial" w:cs="Arial" w:eastAsia="Arial" w:hAnsi="Arial"/>
          <w:sz w:val="17"/>
          <w:szCs w:val="17"/>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DXL strategy and growing our market share.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Through the end of fiscal 2018, we have opened 231 DXL retail and outlet stores in the United States and Canada while closing many of our Casual Male XL and Rochester Clothing stores. The pace of our store openings has slowed over the past two fiscal years with an increased focus on growing our direct business, developing a wholesale business and improving the overall efficiency and profitability of the Company. For us to be successful in the future and maintain growth, we must be able to continue increasing our share of the big &amp; tall men’s apparel market. Our growth is dependent on our ability to continue to build upon our DXL brand, maintain and convert our existing Casual Male XL and Rochester Clothing customers to DXL, and to continue to attract new customers. Our failure to execute successfully our strategy could prevent us from growing our market share, which could have a material adverse effect on our results of operations, cash flows and financial position, including if we were unable to:</w:t>
      </w:r>
    </w:p>
    <w:p>
      <w:pPr>
        <w:spacing w:after="0" w:line="68" w:lineRule="exact"/>
        <w:rPr>
          <w:sz w:val="20"/>
          <w:szCs w:val="20"/>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our DXL e-commerce business;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28" w:lineRule="exact"/>
        <w:rPr>
          <w:rFonts w:ascii="Arial" w:cs="Arial" w:eastAsia="Arial" w:hAnsi="Arial"/>
          <w:sz w:val="17"/>
          <w:szCs w:val="17"/>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an effective marketing program to build brand, store and digital awareness as well as increase store traffic;</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our existing customer base;</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and retain new customers;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 especially in light of low unemployment rates;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effectively open and close stores within established cost parameters;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grow and then sustain number of transactions, units-per-transaction and share of wallet; and</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at appropriate operating margins.</w:t>
      </w:r>
    </w:p>
    <w:p>
      <w:pPr>
        <w:spacing w:after="0" w:line="333" w:lineRule="exact"/>
        <w:rPr>
          <w:sz w:val="20"/>
          <w:szCs w:val="20"/>
          <w:color w:val="auto"/>
        </w:rPr>
      </w:pPr>
    </w:p>
    <w:p>
      <w:pPr>
        <w:ind w:right="260" w:firstLine="259"/>
        <w:spacing w:after="0" w:line="341" w:lineRule="auto"/>
        <w:rPr>
          <w:sz w:val="20"/>
          <w:szCs w:val="20"/>
          <w:color w:val="auto"/>
        </w:rPr>
      </w:pPr>
      <w:r>
        <w:rPr>
          <w:rFonts w:ascii="Arial" w:cs="Arial" w:eastAsia="Arial" w:hAnsi="Arial"/>
          <w:sz w:val="16"/>
          <w:szCs w:val="16"/>
          <w:b w:val="1"/>
          <w:bCs w:val="1"/>
          <w:i w:val="1"/>
          <w:iCs w:val="1"/>
          <w:u w:val="single" w:color="auto"/>
          <w:color w:val="auto"/>
        </w:rPr>
        <w:t>Our marketing programs and efforts in maintaining and building our brand awareness, driving traffic and converting that traffic into an increased loyal customer base are critical to achieving market share growth within the big &amp; tall men’s apparel market and may not be successful.</w:t>
      </w:r>
    </w:p>
    <w:p>
      <w:pPr>
        <w:spacing w:after="0" w:line="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ability to increase our share of the big &amp; tall men’s apparel market is largely dependent on building and maintaining favorable brand recognition for our DXL stores and digital channels and effectively marketing our merchandise to all of our target customers in several diverse market segments so that they will become loyal shoppers who spend a greater portion of their wallet on our product offerings. In order to grow our brand recognition and our market share, we depend on the successful development of our brand through marketing and advertising in a variety of ways, including television and radio advertising, advertising events, loyalty programs, catalogs, digital marketing, including social media, e-commerce and customer prospecting. Our business is directly impacted by the success of these efforts and those of our vendors. Future marketing efforts by us, our vendors or our other licensors, may be costly and, if not successful, may negatively affect our ability to meet our sales goals and gain market share.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u w:val="single" w:color="auto"/>
          <w:color w:val="auto"/>
        </w:rPr>
        <w:t>The recent launch of our wholesale segment may not be successful.</w:t>
      </w:r>
    </w:p>
    <w:p>
      <w:pPr>
        <w:spacing w:after="0" w:line="11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part of our strategic growth plan, in the fourth quarter of fiscal 2018, we announced the launch of a wholesale segment focused on product development and distribution relationships with key retailers. We intend to develop and distribute both private label and co-branded big &amp; tall men’s apparel lines. The success of this strategic initiative depends on a number of factors, including our ability to grow our wholesale customer base, develop a cost-effective infrastructure, and sustain adequate liquidity to meet the longer lead times associated with the wholesale business. In addition, because our wholesale customers order merchandise on a “purchase order” basis, as our wholesale business grows, any decision by one of our customers to decrease their order volume or cease purchasing from us could adversely affect our revenues and profitability.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2" w:name="page13"/>
    <w:bookmarkEnd w:id="12"/>
    <w:p>
      <w:pPr>
        <w:ind w:right="560" w:firstLine="285"/>
        <w:spacing w:after="0" w:line="277" w:lineRule="auto"/>
        <w:rPr>
          <w:sz w:val="20"/>
          <w:szCs w:val="20"/>
          <w:color w:val="auto"/>
        </w:rPr>
      </w:pPr>
      <w:r>
        <w:rPr>
          <w:rFonts w:ascii="Arial" w:cs="Arial" w:eastAsia="Arial" w:hAnsi="Arial"/>
          <w:sz w:val="18"/>
          <w:szCs w:val="18"/>
          <w:b w:val="1"/>
          <w:bCs w:val="1"/>
          <w:i w:val="1"/>
          <w:iCs w:val="1"/>
          <w:u w:val="single" w:color="auto"/>
          <w:color w:val="auto"/>
        </w:rPr>
        <w:t>If we are unable to develop and implement our omni-channel initiatives successfully, our market share and financial results could be adversely affected.</w:t>
      </w:r>
    </w:p>
    <w:p>
      <w:pPr>
        <w:spacing w:after="0" w:line="62"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Our customer’s shopping behavior continues to evolve across multiple channels and we are working to meet his needs. While we consider ourselves an omni-channel retailer, we continue to make ongoing investments in our information technology systems to support evolving omni-channel capabilities.</w:t>
      </w:r>
    </w:p>
    <w:p>
      <w:pPr>
        <w:spacing w:after="0" w:line="14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170" w:lineRule="exact"/>
        <w:rPr>
          <w:sz w:val="20"/>
          <w:szCs w:val="20"/>
          <w:color w:val="auto"/>
        </w:rPr>
      </w:pPr>
    </w:p>
    <w:p>
      <w:pPr>
        <w:ind w:right="300" w:firstLine="290"/>
        <w:spacing w:after="0" w:line="277" w:lineRule="auto"/>
        <w:rPr>
          <w:sz w:val="20"/>
          <w:szCs w:val="20"/>
          <w:color w:val="auto"/>
        </w:rPr>
      </w:pPr>
      <w:r>
        <w:rPr>
          <w:rFonts w:ascii="Arial" w:cs="Arial" w:eastAsia="Arial" w:hAnsi="Arial"/>
          <w:sz w:val="18"/>
          <w:szCs w:val="18"/>
          <w:b w:val="1"/>
          <w:bCs w:val="1"/>
          <w:i w:val="1"/>
          <w:iCs w:val="1"/>
          <w:u w:val="single" w:color="auto"/>
          <w:color w:val="auto"/>
        </w:rPr>
        <w:t>Our direct business is a significant component of our growth strategy, and the failure to develop our e-commerce and internet infrastructure could disrupt our business and negatively impact our sales.</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continue to have increasing levels of sales made through online shopping and via mobile devices. We have made significant investments in capital spending and labor to develop these channels and invested in digital media to attract new customers. Growth of our overall sales is dependent on customers’ continuing to expand their online purchases in addition to in-store purchases. We cannot accurately predict the rate at which online purchases will expand.</w:t>
      </w:r>
    </w:p>
    <w:p>
      <w:pPr>
        <w:spacing w:after="0" w:line="14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Our success in growing our direct business will depend in part upon our development of an increasingly sophisticated e-commerce experience and infrastructure. Increasing customer sophistication requires that we provide additional website features and functionality,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successfully could reduce our direct sales, increase our costs and diminish our growth prospects, which could negatively affect our operating results.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business is seasonal. Historically, a significant portion of our operating income has been generated during our fourth quarter (November-January). If, for any reason, we miscalculate the demand for our products during our fourth quarter, our sales in that quarter could decline, resulting in higher labor costs as a percentage of sales, lower margins and excess inventory, which could cause our annual operating results to suffer. In addition, our operations may be negatively affected by local, regional or national economic conditions, such as levels of disposable consumer income, consumer debt, interest rates and consumer confidence. Due to our seasonality, the possible adverse impact from such risks is potentially greater if any such risks occur during our fourth quarter.</w:t>
      </w:r>
    </w:p>
    <w:p>
      <w:pPr>
        <w:spacing w:after="0" w:line="191"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8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assure you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We cannot ensure that we could obtain refinancing or additional financing on favorable terms or at all.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political issues abroad and changes in U.S. economic policies.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affect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6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While current tariffs have not had a material impact on our business, any further enactment of any new legislation in the U.S. that would impact current international trade regulations, exports or imports or tax policy with respect to foreign activities, or executive action affecting international trade agreements, including the uncertainty concerning the trading status of certain countries and/or retaliatory duties, taxes, quotas or other trade sanctions, could increase the cost of merchandise purchased from suppliers in such countries and could adversely affect our business and financial performance.</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for several weeks.</w:t>
      </w:r>
    </w:p>
    <w:p>
      <w:pPr>
        <w:spacing w:after="0" w:line="18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the failure to identify suitable store locations and acceptable lease terms.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lease all of our store locations. Identifying and securing suitable store locations at acceptable lease terms is critical to our store base and positioning. We generally have been able to negotiate acceptable lease rates and extensions, as needed. However, we cannot be certain that desirable locations at acceptable lease rates and preferred lease terms will continue to be available. Once we decide on a prospective new store or new market and find a suitable location, any delays in opening new stores could impact our financial results. In addition, if we need to pay higher occupancy costs in the future to secure ideal locations, the increased cost may adversely impact our financial performance and liquidity. Recent trends toward increased landlord consolidation could also negatively affect our ability to obtain and retain locations.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7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we maintain exclusivity arrangements with several of the brands that we carry. If we were to lose any of these exclusivity arrangements or brands altogether, our revenues may be adversely affected.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b w:val="1"/>
          <w:bCs w:val="1"/>
          <w:i w:val="1"/>
          <w:iCs w:val="1"/>
          <w:u w:val="single" w:color="auto"/>
          <w:color w:val="auto"/>
        </w:rPr>
        <w:t>If our long-lived assets become impaired, we may need to record significant non-cash impairment charges.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assets. In addition, significant negative industry or general economic trends, disruptions to our business and unexpected significant changes or planned changes in our use of the assets (such as store relocations or closures) may also result in impairment charges. Any such impairment charges, if significant, could adversely affect our financial position and results of operations.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recognition and customer satisfaction would likely suffer. These manufacturers may also increase the cost to us of the products we purchase from them.</w:t>
      </w:r>
    </w:p>
    <w:p>
      <w:pPr>
        <w:spacing w:after="0" w:line="18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A significant portion of our merchandise is imported directly from other countries, and U.S. domestic suppliers who source their goods from other countries supply most of our remaining merchandise. While current tariffs have not had a material impact on our business, if the U.S. Government imposes any further tariffs or other restrictions on foreign imports, we may need to increase our prices, which could adversely affect our revenues and merchandise margins.</w:t>
      </w:r>
    </w:p>
    <w:p>
      <w:pPr>
        <w:spacing w:after="0" w:line="14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future success is dependent on the personal efforts, performance and abilities of our key management, which includes our executive officers as well as several significant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175"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be harmed by security risks we face in connection with our electronic processing and transmission of confidential customer information. During fiscal 2018, approximately 86% of our sales were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5" w:name="page16"/>
    <w:bookmarkEnd w:id="15"/>
    <w:p>
      <w:pPr>
        <w:ind w:right="120"/>
        <w:spacing w:after="0" w:line="254" w:lineRule="auto"/>
        <w:rPr>
          <w:sz w:val="20"/>
          <w:szCs w:val="20"/>
          <w:color w:val="auto"/>
        </w:rPr>
      </w:pPr>
      <w:r>
        <w:rPr>
          <w:rFonts w:ascii="Arial" w:cs="Arial" w:eastAsia="Arial" w:hAnsi="Arial"/>
          <w:sz w:val="18"/>
          <w:szCs w:val="18"/>
          <w:color w:val="auto"/>
        </w:rPr>
        <w:t xml:space="preserve">profitability. </w:t>
      </w:r>
      <w:r>
        <w:rPr>
          <w:rFonts w:ascii="Arial" w:cs="Arial" w:eastAsia="Arial" w:hAnsi="Arial"/>
          <w:sz w:val="18"/>
          <w:szCs w:val="18"/>
          <w:color w:val="212121"/>
        </w:rPr>
        <w:t>Like many retailers, we have seen an increase in cyberattack attempts, predominantly through phishing and social engineering scams, and in</w:t>
      </w:r>
      <w:r>
        <w:rPr>
          <w:rFonts w:ascii="Arial" w:cs="Arial" w:eastAsia="Arial" w:hAnsi="Arial"/>
          <w:sz w:val="18"/>
          <w:szCs w:val="18"/>
          <w:color w:val="auto"/>
        </w:rPr>
        <w:t xml:space="preserve"> </w:t>
      </w:r>
      <w:r>
        <w:rPr>
          <w:rFonts w:ascii="Arial" w:cs="Arial" w:eastAsia="Arial" w:hAnsi="Arial"/>
          <w:sz w:val="18"/>
          <w:szCs w:val="18"/>
          <w:color w:val="212121"/>
        </w:rPr>
        <w:t xml:space="preserve">particular, </w:t>
      </w:r>
      <w:r>
        <w:rPr>
          <w:rFonts w:ascii="Arial" w:cs="Arial" w:eastAsia="Arial" w:hAnsi="Arial"/>
          <w:sz w:val="18"/>
          <w:szCs w:val="18"/>
          <w:color w:val="252525"/>
        </w:rPr>
        <w:t>ransomware</w:t>
      </w:r>
      <w:r>
        <w:rPr>
          <w:rFonts w:ascii="Arial" w:cs="Arial" w:eastAsia="Arial" w:hAnsi="Arial"/>
          <w:sz w:val="18"/>
          <w:szCs w:val="18"/>
          <w:color w:val="212121"/>
        </w:rPr>
        <w:t xml:space="preserve">. While none of these attempts has been successful, there can be no assurance that our continued security measures will be effective or sufficient in the future. </w:t>
      </w:r>
      <w:r>
        <w:rPr>
          <w:rFonts w:ascii="Arial" w:cs="Arial" w:eastAsia="Arial" w:hAnsi="Arial"/>
          <w:sz w:val="18"/>
          <w:szCs w:val="18"/>
          <w:color w:val="000000"/>
        </w:rPr>
        <w:t>If third parties are able to penetrate our network security or otherwise misappropriate the personal information or credit card</w:t>
      </w:r>
      <w:r>
        <w:rPr>
          <w:rFonts w:ascii="Arial" w:cs="Arial" w:eastAsia="Arial" w:hAnsi="Arial"/>
          <w:sz w:val="18"/>
          <w:szCs w:val="18"/>
          <w:color w:val="212121"/>
        </w:rPr>
        <w:t xml:space="preserve"> </w:t>
      </w:r>
      <w:r>
        <w:rPr>
          <w:rFonts w:ascii="Arial" w:cs="Arial" w:eastAsia="Arial" w:hAnsi="Arial"/>
          <w:sz w:val="18"/>
          <w:szCs w:val="18"/>
          <w:color w:val="000000"/>
        </w:rPr>
        <w:t>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websites, could have serious longer-term consequences, such as an adverse impact on our brand value and the loss of market share to our competitors.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depends on our ability to meet our labor needs</w:t>
      </w:r>
      <w:r>
        <w:rPr>
          <w:rFonts w:ascii="Arial" w:cs="Arial" w:eastAsia="Arial" w:hAnsi="Arial"/>
          <w:sz w:val="18"/>
          <w:szCs w:val="18"/>
          <w:b w:val="1"/>
          <w:bCs w:val="1"/>
          <w:i w:val="1"/>
          <w:iCs w:val="1"/>
          <w:color w:val="auto"/>
        </w:rPr>
        <w:t>.</w:t>
      </w:r>
    </w:p>
    <w:p>
      <w:pPr>
        <w:spacing w:after="0" w:line="1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success depends in part upon our ability to attract, motivate and retain a sufficient number of qualified employees, including store managers and sales associates, who understand and appreciate our product offerings and are able to represent our products to our customers adequately. Qualified individuals of the requisite caliber and number needed to fill these positions may be in short supply in some areas, and the turnover rate in the retail industry is high. If we are unable to hire and retain sales associates capable of consistently providing a high level of customer service, our business could be materially adversely affected. Although none of our employees is currently covered by collective bargaining agreements, our employees may elect to be represented by labor unions in the future, which could increase our labor costs. Additionally, competition for qualified employees requires us to pay higher wages to attract a sufficient number of adequate employees. An inability to recruit and retain a sufficient number of qualified individuals in the future may cause problems for our stores or outlets. Any such delays, any material increases in employee turnover rates at existing stores or outlets or any increases in labor costs could have a material adverse effect on our business, financial condition or operating results.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business is subject to federal, state, local and international laws,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the U.K. and Canada, we must comply with laws and regulations of those countries,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117"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The following factors, among others, may cause significant fluctuations in our stock price:</w:t>
      </w:r>
    </w:p>
    <w:p>
      <w:pPr>
        <w:spacing w:after="0" w:line="17" w:lineRule="exact"/>
        <w:rPr>
          <w:sz w:val="20"/>
          <w:szCs w:val="20"/>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regulation (such as increased wage and paid benefits laws);</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16"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available for issuance up to 1,000,000 shares of preferred stock, par value $0.01 per share. Our Board of Directors is authorized to issue any or all of these shares of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86"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as amended, could have the effect of making it more difficult for a third party to acquire, or of discouraging a third party from acquiring, a majority of the outstanding voting stock of our Company.</w:t>
      </w:r>
    </w:p>
    <w:p>
      <w:pPr>
        <w:spacing w:after="0" w:line="12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initial annual rent payment of $4.6 million, with periodic increases every fifth anniversary of the lease. In fiscal 2006, we realized a gain of approximately $29.3 million on the sale of this property, which was deferred and, through the end of fiscal 2018, the Company was amortizing the gain over the initial 20 years of the related lease agreement. At February 2, 2019, the balance of the deferred gain was $10.3 million. In the first quarter of fiscal 2019, the Company will be adopting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ASU is a comprehensive new lease accounting standard that amends various aspects of existing guidance for leases and requires additional disclosures about leasing arrangements. In accordance with the guidance under ASU 2016-02, as part of our adoption of ASU 2016-02, the remaining balance of the deferred gain of $10.3 million will be recognized as an adjustment to opening retained earnings for fiscal 2019.</w:t>
      </w:r>
    </w:p>
    <w:p>
      <w:pPr>
        <w:spacing w:after="0" w:line="18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February 2, 2019, we operated 216 Destination XL retail stores, 15 Destination XL outlet stores, 66 Casual Male XL retail stores, 30 Casual Male XL outlet stores and 5 Rochester Clothing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February 2, 2019.</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Sites for new stores are selected based on several factors, including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w:t>
      </w:r>
    </w:p>
    <w:p>
      <w:pPr>
        <w:spacing w:after="0" w:line="186"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u w:val="single" w:color="auto"/>
          <w:color w:val="auto"/>
        </w:rPr>
        <w:t>Store count by state at February 2,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5"/>
              </w:rPr>
              <w:t>Casual Male XL</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12"/>
                <w:szCs w:val="12"/>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United States</w:t>
            </w:r>
          </w:p>
        </w:tc>
        <w:tc>
          <w:tcPr>
            <w:tcW w:w="1940" w:type="dxa"/>
            <w:vAlign w:val="bottom"/>
            <w:gridSpan w:val="2"/>
            <w:vMerge w:val="restart"/>
          </w:tcPr>
          <w:p>
            <w:pPr>
              <w:spacing w:after="0"/>
              <w:rPr>
                <w:sz w:val="12"/>
                <w:szCs w:val="12"/>
                <w:color w:val="auto"/>
              </w:rPr>
            </w:pPr>
          </w:p>
        </w:tc>
        <w:tc>
          <w:tcPr>
            <w:tcW w:w="286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DXL retail and</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and Rochester</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2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860" w:type="dxa"/>
            <w:vAlign w:val="bottom"/>
          </w:tcPr>
          <w:p>
            <w:pPr>
              <w:spacing w:after="0"/>
              <w:rPr>
                <w:sz w:val="15"/>
                <w:szCs w:val="15"/>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DXL outlets</w:t>
            </w:r>
          </w:p>
        </w:tc>
        <w:tc>
          <w:tcPr>
            <w:tcW w:w="1320" w:type="dxa"/>
            <w:vAlign w:val="bottom"/>
            <w:gridSpan w:val="2"/>
          </w:tcPr>
          <w:p>
            <w:pPr>
              <w:jc w:val="center"/>
              <w:spacing w:after="0" w:line="153" w:lineRule="exact"/>
              <w:rPr>
                <w:sz w:val="20"/>
                <w:szCs w:val="20"/>
                <w:color w:val="auto"/>
              </w:rPr>
            </w:pPr>
            <w:r>
              <w:rPr>
                <w:rFonts w:ascii="Arial" w:cs="Arial" w:eastAsia="Arial" w:hAnsi="Arial"/>
                <w:sz w:val="14"/>
                <w:szCs w:val="14"/>
                <w:color w:val="auto"/>
                <w:w w:val="94"/>
              </w:rPr>
              <w:t>Clothing stores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60" w:type="dxa"/>
            <w:vAlign w:val="bottom"/>
            <w:tcBorders>
              <w:top w:val="single" w:sz="8" w:color="CFF0FC"/>
            </w:tcBorders>
            <w:gridSpan w:val="3"/>
            <w:shd w:val="clear" w:color="auto" w:fill="CFF0FC"/>
          </w:tcPr>
          <w:p>
            <w:pPr>
              <w:ind w:left="120"/>
              <w:spacing w:after="0"/>
              <w:rPr>
                <w:sz w:val="20"/>
                <w:szCs w:val="20"/>
                <w:color w:val="auto"/>
              </w:rPr>
            </w:pPr>
            <w:r>
              <w:rPr>
                <w:rFonts w:ascii="Arial" w:cs="Arial" w:eastAsia="Arial" w:hAnsi="Arial"/>
                <w:sz w:val="18"/>
                <w:szCs w:val="18"/>
                <w:color w:val="auto"/>
              </w:rPr>
              <w:t>Alabama</w:t>
            </w:r>
          </w:p>
        </w:tc>
        <w:tc>
          <w:tcPr>
            <w:tcW w:w="28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tcBorders>
              <w:top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Arizona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Arkansas</w:t>
            </w:r>
          </w:p>
        </w:tc>
        <w:tc>
          <w:tcPr>
            <w:tcW w:w="28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California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89"/>
              </w:rPr>
              <w:t>26</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Colorado</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Connecticut</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Delaware</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District of Columbia</w:t>
            </w:r>
          </w:p>
        </w:tc>
        <w:tc>
          <w:tcPr>
            <w:tcW w:w="286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Florida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11</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Georgia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Idaho</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1</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Illinois</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89"/>
              </w:rPr>
              <w:t>12</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Indiana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6</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Iowa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Kansas</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Kentucky</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Louisiana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Maine</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Maryland</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5</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Massachusetts</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Michigan</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13</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Minnesota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Mississippi</w:t>
            </w:r>
          </w:p>
        </w:tc>
        <w:tc>
          <w:tcPr>
            <w:tcW w:w="28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Missouri</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Montana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1</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Nebraska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Nevada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New Hampshire</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New Jersey</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7</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New Mexico</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New York</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15</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North Carolina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North Dakota</w:t>
            </w:r>
          </w:p>
        </w:tc>
        <w:tc>
          <w:tcPr>
            <w:tcW w:w="28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Oklahoma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Oregon</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Pennsylvania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Rhode Island</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South Carolina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4</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South Dakota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Tennessee</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7</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Texas</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89"/>
              </w:rPr>
              <w:t>24</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Utah</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Vermont</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9"/>
                <w:szCs w:val="19"/>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Virginia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5</w:t>
            </w: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West Virginia</w:t>
            </w:r>
          </w:p>
        </w:tc>
        <w:tc>
          <w:tcPr>
            <w:tcW w:w="28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Wisconsin</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9"/>
                <w:szCs w:val="19"/>
                <w:color w:val="auto"/>
              </w:rPr>
            </w:pP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vMerge w:val="restart"/>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vMerge w:val="continue"/>
          </w:tcPr>
          <w:p>
            <w:pPr>
              <w:spacing w:after="0"/>
              <w:rPr>
                <w:sz w:val="16"/>
                <w:szCs w:val="16"/>
                <w:color w:val="auto"/>
              </w:rPr>
            </w:pPr>
          </w:p>
        </w:tc>
        <w:tc>
          <w:tcPr>
            <w:tcW w:w="27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International</w:t>
            </w:r>
          </w:p>
        </w:tc>
        <w:tc>
          <w:tcPr>
            <w:tcW w:w="2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Toronto, Canada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London, England</w:t>
            </w:r>
          </w:p>
        </w:tc>
        <w:tc>
          <w:tcPr>
            <w:tcW w:w="2860" w:type="dxa"/>
            <w:vAlign w:val="bottom"/>
          </w:tcPr>
          <w:p>
            <w:pPr>
              <w:spacing w:after="0"/>
              <w:rPr>
                <w:sz w:val="20"/>
                <w:szCs w:val="20"/>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11"/>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60" w:type="dxa"/>
            <w:vAlign w:val="bottom"/>
          </w:tcPr>
          <w:p>
            <w:pPr>
              <w:jc w:val="right"/>
              <w:ind w:right="1450"/>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20"/>
          </w:cols>
          <w:pgMar w:left="240" w:top="607" w:right="9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60" w:right="2520" w:hanging="258"/>
        <w:spacing w:after="0" w:line="37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“DXLG”.</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March 15, 2019, based upon data provided by the transfer agent for our common stock, there were approximately 86 holders of record of our common stock. The number of holders does not include individuals or entities who beneficially own shares but whose shares are held of record by a broker or clearing agent.</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repurchases during fiscal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2014.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267335</wp:posOffset>
            </wp:positionV>
            <wp:extent cx="6158865" cy="2201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8865" cy="220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8"/>
                <w:szCs w:val="18"/>
                <w:color w:val="auto"/>
                <w:w w:val="90"/>
              </w:rPr>
              <w:t>Company/Index</w:t>
            </w:r>
          </w:p>
        </w:tc>
        <w:tc>
          <w:tcPr>
            <w:tcW w:w="4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Year ended</w:t>
            </w: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tcBorders>
              <w:bottom w:val="single" w:sz="8" w:color="auto"/>
            </w:tcBorders>
            <w:vMerge w:val="continue"/>
          </w:tcPr>
          <w:p>
            <w:pPr>
              <w:spacing w:after="0"/>
              <w:rPr>
                <w:sz w:val="15"/>
                <w:szCs w:val="15"/>
                <w:color w:val="auto"/>
              </w:rPr>
            </w:pPr>
          </w:p>
        </w:tc>
        <w:tc>
          <w:tcPr>
            <w:tcW w:w="4340" w:type="dxa"/>
            <w:vAlign w:val="bottom"/>
          </w:tcPr>
          <w:p>
            <w:pPr>
              <w:spacing w:after="0"/>
              <w:rPr>
                <w:sz w:val="15"/>
                <w:szCs w:val="15"/>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color w:val="auto"/>
              </w:rPr>
              <w:t>Jan 15</w:t>
            </w:r>
          </w:p>
        </w:tc>
        <w:tc>
          <w:tcPr>
            <w:tcW w:w="1200" w:type="dxa"/>
            <w:vAlign w:val="bottom"/>
            <w:gridSpan w:val="2"/>
          </w:tcPr>
          <w:p>
            <w:pPr>
              <w:jc w:val="right"/>
              <w:ind w:right="600"/>
              <w:spacing w:after="0"/>
              <w:rPr>
                <w:sz w:val="20"/>
                <w:szCs w:val="20"/>
                <w:color w:val="auto"/>
              </w:rPr>
            </w:pPr>
            <w:r>
              <w:rPr>
                <w:rFonts w:ascii="Arial" w:cs="Arial" w:eastAsia="Arial" w:hAnsi="Arial"/>
                <w:sz w:val="14"/>
                <w:szCs w:val="14"/>
                <w:color w:val="auto"/>
              </w:rPr>
              <w:t>Jan 16</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Jan 17</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Jan 18</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Jan 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FF0FC"/>
            </w:tcBorders>
          </w:tcPr>
          <w:p>
            <w:pPr>
              <w:spacing w:after="0" w:line="20" w:lineRule="exact"/>
              <w:rPr>
                <w:sz w:val="1"/>
                <w:szCs w:val="1"/>
                <w:color w:val="auto"/>
              </w:rPr>
            </w:pPr>
          </w:p>
        </w:tc>
        <w:tc>
          <w:tcPr>
            <w:tcW w:w="434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DXLG</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(21.8%)</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Dow Jones U.S. Apparel Retailers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60" w:type="dxa"/>
            <w:vAlign w:val="bottom"/>
          </w:tcPr>
          <w:p>
            <w:pPr>
              <w:jc w:val="right"/>
              <w:ind w:right="474"/>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Indexed Returns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color w:val="auto"/>
                <w:w w:val="89"/>
              </w:rPr>
              <w:t>Base Period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color w:val="auto"/>
              </w:rPr>
              <w:t>Jan 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color w:val="auto"/>
              </w:rPr>
              <w:t>Jan 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Jan 16</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Jan 17</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Jan 18</w:t>
            </w:r>
          </w:p>
        </w:tc>
        <w:tc>
          <w:tcPr>
            <w:tcW w:w="18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Jan 19</w:t>
            </w:r>
          </w:p>
        </w:tc>
      </w:tr>
      <w:tr>
        <w:trPr>
          <w:trHeight w:val="203"/>
        </w:trPr>
        <w:tc>
          <w:tcPr>
            <w:tcW w:w="480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Company/Index</w:t>
            </w: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9"/>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DXLG</w:t>
            </w:r>
          </w:p>
        </w:tc>
        <w:tc>
          <w:tcPr>
            <w:tcW w:w="36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94.42</w:t>
            </w:r>
          </w:p>
        </w:tc>
        <w:tc>
          <w:tcPr>
            <w:tcW w:w="40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79.93</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61.34</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47.96</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46.84</w:t>
            </w:r>
          </w:p>
        </w:tc>
        <w:tc>
          <w:tcPr>
            <w:tcW w:w="100" w:type="dxa"/>
            <w:vAlign w:val="bottom"/>
            <w:tcBorders>
              <w:top w:val="single" w:sz="8" w:color="CFF0FC"/>
            </w:tcBorders>
          </w:tcPr>
          <w:p>
            <w:pPr>
              <w:spacing w:after="0"/>
              <w:rPr>
                <w:sz w:val="19"/>
                <w:szCs w:val="19"/>
                <w:color w:val="auto"/>
              </w:rPr>
            </w:pPr>
          </w:p>
        </w:tc>
      </w:tr>
      <w:tr>
        <w:trPr>
          <w:trHeight w:val="229"/>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S&amp;P 500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111.92</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Dow Jones U.S. Apparel Retailers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119.30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115.89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110.65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121.07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131.24</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February 2, 2019 and should be read in conjunction with “Management’s Discussion and Analysis of Financial Condition and Results of Operations” and our accompanying Consolidated Financial Statements and Notes thereto.</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derived the selected financial data presented below for the periods or dates indicated from our consolidated financial statements. Our consolidated financial statements as of and for the five-year period ended February 2, 2019 were audited by KPMG LLP, an independent registered public accounting firm. Our consolidated financial statements as of and for the years ended February 2, 2019, February 3, 2018 and January 28, 2017 are included in this Annual Report.</w:t>
      </w:r>
    </w:p>
    <w:p>
      <w:pPr>
        <w:spacing w:after="0" w:line="18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310"/>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w w:val="90"/>
              </w:rPr>
              <w:t xml:space="preserve">Fiscal Years Ended </w:t>
            </w:r>
            <w:r>
              <w:rPr>
                <w:rFonts w:ascii="Arial" w:cs="Arial" w:eastAsia="Arial" w:hAnsi="Arial"/>
                <w:sz w:val="27"/>
                <w:szCs w:val="27"/>
                <w:color w:val="auto"/>
                <w:w w:val="90"/>
                <w:vertAlign w:val="superscript"/>
              </w:rPr>
              <w:t>(1)</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color w:val="auto"/>
                <w:w w:val="90"/>
              </w:rPr>
              <w:t>February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419"/>
              <w:spacing w:after="0"/>
              <w:rPr>
                <w:sz w:val="20"/>
                <w:szCs w:val="20"/>
                <w:color w:val="auto"/>
              </w:rPr>
            </w:pPr>
            <w:r>
              <w:rPr>
                <w:rFonts w:ascii="Arial" w:cs="Arial" w:eastAsia="Arial" w:hAnsi="Arial"/>
                <w:sz w:val="16"/>
                <w:szCs w:val="16"/>
                <w:color w:val="auto"/>
                <w:w w:val="93"/>
              </w:rPr>
              <w:t>February</w:t>
            </w:r>
          </w:p>
        </w:tc>
        <w:tc>
          <w:tcPr>
            <w:tcW w:w="160" w:type="dxa"/>
            <w:vAlign w:val="bottom"/>
          </w:tcPr>
          <w:p>
            <w:pPr>
              <w:spacing w:after="0"/>
              <w:rPr>
                <w:sz w:val="17"/>
                <w:szCs w:val="17"/>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January</w:t>
            </w:r>
          </w:p>
        </w:tc>
        <w:tc>
          <w:tcPr>
            <w:tcW w:w="14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color w:val="auto"/>
                <w:w w:val="87"/>
              </w:rPr>
              <w:t>January</w:t>
            </w:r>
          </w:p>
        </w:tc>
        <w:tc>
          <w:tcPr>
            <w:tcW w:w="140" w:type="dxa"/>
            <w:vAlign w:val="bottom"/>
          </w:tcPr>
          <w:p>
            <w:pPr>
              <w:spacing w:after="0"/>
              <w:rPr>
                <w:sz w:val="17"/>
                <w:szCs w:val="17"/>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6"/>
                <w:szCs w:val="16"/>
                <w:color w:val="auto"/>
                <w:w w:val="87"/>
              </w:rPr>
              <w:t>January</w:t>
            </w:r>
          </w:p>
        </w:tc>
      </w:tr>
      <w:tr>
        <w:trPr>
          <w:trHeight w:val="202"/>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color w:val="auto"/>
                <w:w w:val="89"/>
              </w:rPr>
              <w:t>2, 2019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3, 2018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color w:val="auto"/>
                <w:w w:val="89"/>
              </w:rPr>
              <w:t>28, 2017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30, 2016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color w:val="auto"/>
                <w:w w:val="89"/>
              </w:rPr>
              <w:t>31, 2015</w:t>
            </w:r>
          </w:p>
        </w:tc>
        <w:tc>
          <w:tcPr>
            <w:tcW w:w="320" w:type="dxa"/>
            <w:vAlign w:val="bottom"/>
          </w:tcPr>
          <w:p>
            <w:pPr>
              <w:spacing w:after="0"/>
              <w:rPr>
                <w:sz w:val="17"/>
                <w:szCs w:val="17"/>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(Fiscal 2018)</w:t>
            </w:r>
          </w:p>
        </w:tc>
        <w:tc>
          <w:tcPr>
            <w:tcW w:w="80" w:type="dxa"/>
            <w:vAlign w:val="bottom"/>
          </w:tcPr>
          <w:p>
            <w:pPr>
              <w:spacing w:after="0"/>
              <w:rPr>
                <w:sz w:val="18"/>
                <w:szCs w:val="18"/>
                <w:color w:val="auto"/>
              </w:rPr>
            </w:pPr>
          </w:p>
        </w:tc>
        <w:tc>
          <w:tcPr>
            <w:tcW w:w="1340" w:type="dxa"/>
            <w:vAlign w:val="bottom"/>
            <w:gridSpan w:val="3"/>
          </w:tcPr>
          <w:p>
            <w:pPr>
              <w:jc w:val="center"/>
              <w:ind w:right="319"/>
              <w:spacing w:after="0"/>
              <w:rPr>
                <w:sz w:val="20"/>
                <w:szCs w:val="20"/>
                <w:color w:val="auto"/>
              </w:rPr>
            </w:pPr>
            <w:r>
              <w:rPr>
                <w:rFonts w:ascii="Arial" w:cs="Arial" w:eastAsia="Arial" w:hAnsi="Arial"/>
                <w:sz w:val="16"/>
                <w:szCs w:val="16"/>
                <w:color w:val="auto"/>
                <w:w w:val="92"/>
              </w:rPr>
              <w:t>(Fiscal 2017)</w:t>
            </w: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(Fiscal 2016)</w:t>
            </w: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(Fiscal 2015)</w:t>
            </w:r>
          </w:p>
        </w:tc>
        <w:tc>
          <w:tcPr>
            <w:tcW w:w="1300" w:type="dxa"/>
            <w:vAlign w:val="bottom"/>
            <w:gridSpan w:val="3"/>
          </w:tcPr>
          <w:p>
            <w:pPr>
              <w:jc w:val="center"/>
              <w:ind w:right="320"/>
              <w:spacing w:after="0"/>
              <w:rPr>
                <w:sz w:val="20"/>
                <w:szCs w:val="20"/>
                <w:color w:val="auto"/>
              </w:rPr>
            </w:pPr>
            <w:r>
              <w:rPr>
                <w:rFonts w:ascii="Arial" w:cs="Arial" w:eastAsia="Arial" w:hAnsi="Arial"/>
                <w:sz w:val="16"/>
                <w:szCs w:val="16"/>
                <w:color w:val="auto"/>
                <w:w w:val="92"/>
              </w:rPr>
              <w:t>(Fiscal 2014)</w:t>
            </w: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8"/>
          </w:tcPr>
          <w:p>
            <w:pPr>
              <w:jc w:val="right"/>
              <w:ind w:right="540"/>
              <w:spacing w:after="0"/>
              <w:rPr>
                <w:sz w:val="20"/>
                <w:szCs w:val="20"/>
                <w:color w:val="auto"/>
              </w:rPr>
            </w:pPr>
            <w:r>
              <w:rPr>
                <w:rFonts w:ascii="Arial" w:cs="Arial" w:eastAsia="Arial" w:hAnsi="Arial"/>
                <w:sz w:val="16"/>
                <w:szCs w:val="16"/>
                <w:i w:val="1"/>
                <w:iCs w:val="1"/>
                <w:color w:val="auto"/>
                <w:w w:val="93"/>
              </w:rPr>
              <w:t>(In millions, except per share and operating data)</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STATEMENT DATA: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Sales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473.8</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468.0</w:t>
            </w:r>
          </w:p>
        </w:tc>
        <w:tc>
          <w:tcPr>
            <w:tcW w:w="3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450.3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442.2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414.0</w:t>
            </w: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Gross profit, net of occupancy costs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w:t>
            </w: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174.8</w:t>
            </w: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Corporate restructuring and CEO transition costs </w:t>
            </w:r>
            <w:r>
              <w:rPr>
                <w:rFonts w:ascii="Arial" w:cs="Arial" w:eastAsia="Arial" w:hAnsi="Arial"/>
                <w:sz w:val="25"/>
                <w:szCs w:val="25"/>
                <w:color w:val="auto"/>
                <w:vertAlign w:val="superscript"/>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5"/>
                <w:szCs w:val="15"/>
                <w:color w:val="auto"/>
              </w:rPr>
              <w:t xml:space="preserve">Impairment of assets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3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3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320" w:type="dxa"/>
            <w:vAlign w:val="bottom"/>
            <w:shd w:val="clear" w:color="auto" w:fill="CFF0FC"/>
          </w:tcPr>
          <w:p>
            <w:pPr>
              <w:spacing w:after="0"/>
              <w:rPr>
                <w:sz w:val="18"/>
                <w:szCs w:val="18"/>
                <w:color w:val="auto"/>
              </w:rPr>
            </w:pPr>
          </w:p>
        </w:tc>
      </w:tr>
      <w:tr>
        <w:trPr>
          <w:trHeight w:val="207"/>
        </w:trPr>
        <w:tc>
          <w:tcPr>
            <w:tcW w:w="474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(18.0)</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(5.1)</w:t>
            </w:r>
          </w:p>
        </w:tc>
        <w:tc>
          <w:tcPr>
            <w:tcW w:w="1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(8.8)</w:t>
            </w:r>
          </w:p>
        </w:tc>
      </w:tr>
      <w:tr>
        <w:trPr>
          <w:trHeight w:val="219"/>
        </w:trPr>
        <w:tc>
          <w:tcPr>
            <w:tcW w:w="4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spacing w:after="0" w:line="242" w:lineRule="exact"/>
              <w:rPr>
                <w:sz w:val="20"/>
                <w:szCs w:val="20"/>
                <w:color w:val="auto"/>
              </w:rPr>
            </w:pPr>
            <w:r>
              <w:rPr>
                <w:rFonts w:ascii="Arial" w:cs="Arial" w:eastAsia="Arial" w:hAnsi="Arial"/>
                <w:sz w:val="16"/>
                <w:szCs w:val="16"/>
                <w:color w:val="auto"/>
              </w:rPr>
              <w:t xml:space="preserve">(2.6)  </w:t>
            </w:r>
            <w:r>
              <w:rPr>
                <w:rFonts w:ascii="Arial" w:cs="Arial" w:eastAsia="Arial" w:hAnsi="Arial"/>
                <w:sz w:val="27"/>
                <w:szCs w:val="27"/>
                <w:color w:val="auto"/>
                <w:vertAlign w:val="subscript"/>
              </w:rPr>
              <w:t>(5)</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320" w:type="dxa"/>
            <w:vAlign w:val="bottom"/>
          </w:tcPr>
          <w:p>
            <w:pPr>
              <w:spacing w:after="0"/>
              <w:rPr>
                <w:sz w:val="21"/>
                <w:szCs w:val="2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(18.8)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(11.2)</w:t>
            </w: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Loss from discontinued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w:t>
            </w: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b w:val="1"/>
                <w:bCs w:val="1"/>
                <w:color w:val="auto"/>
              </w:rPr>
              <w:t>(18.8)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(8.4)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(12.3)</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 per share - diluted</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(0.39)</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(0.17)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(0.23)</w:t>
            </w:r>
          </w:p>
        </w:tc>
      </w:tr>
      <w:tr>
        <w:trPr>
          <w:trHeight w:val="213"/>
        </w:trPr>
        <w:tc>
          <w:tcPr>
            <w:tcW w:w="4740" w:type="dxa"/>
            <w:vAlign w:val="bottom"/>
          </w:tcPr>
          <w:p>
            <w:pPr>
              <w:spacing w:after="0"/>
              <w:rPr>
                <w:sz w:val="20"/>
                <w:szCs w:val="20"/>
                <w:color w:val="auto"/>
              </w:rPr>
            </w:pPr>
            <w:r>
              <w:rPr>
                <w:rFonts w:ascii="Arial" w:cs="Arial" w:eastAsia="Arial" w:hAnsi="Arial"/>
                <w:sz w:val="16"/>
                <w:szCs w:val="16"/>
                <w:b w:val="1"/>
                <w:bCs w:val="1"/>
                <w:color w:val="auto"/>
              </w:rPr>
              <w:t>Net loss per share - diluted</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(0.28)</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(0.39)</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(0.05)</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(0.17)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(0.25)</w:t>
            </w:r>
          </w:p>
        </w:tc>
      </w:tr>
      <w:tr>
        <w:trPr>
          <w:trHeight w:val="219"/>
        </w:trPr>
        <w:tc>
          <w:tcPr>
            <w:tcW w:w="4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115.2</w:t>
            </w: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w:t>
            </w: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259.9</w:t>
            </w: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Long term debt, net of current portion</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92.4</w:t>
            </w: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Cash flow provided by operating activities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32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less: capital expenditures, infrastructure projects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39"/>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(10.5)</w:t>
            </w: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less: capital expenditures for DXL stores and acquisition of DXL</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(12.9)</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(19.6)</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(30.4)</w:t>
            </w:r>
          </w:p>
        </w:tc>
      </w:tr>
      <w:tr>
        <w:trPr>
          <w:trHeight w:val="212"/>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domain name</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09"/>
        </w:trPr>
        <w:tc>
          <w:tcPr>
            <w:tcW w:w="4740" w:type="dxa"/>
            <w:vAlign w:val="bottom"/>
          </w:tcPr>
          <w:p>
            <w:pPr>
              <w:spacing w:after="0" w:line="210" w:lineRule="exact"/>
              <w:rPr>
                <w:sz w:val="20"/>
                <w:szCs w:val="20"/>
                <w:color w:val="auto"/>
              </w:rPr>
            </w:pPr>
            <w:r>
              <w:rPr>
                <w:rFonts w:ascii="Arial" w:cs="Arial" w:eastAsia="Arial" w:hAnsi="Arial"/>
                <w:sz w:val="15"/>
                <w:szCs w:val="15"/>
                <w:color w:val="auto"/>
              </w:rPr>
              <w:t>Free cash flow (Non-GAAP measure)</w:t>
            </w:r>
            <w:r>
              <w:rPr>
                <w:rFonts w:ascii="Arial" w:cs="Arial" w:eastAsia="Arial" w:hAnsi="Arial"/>
                <w:sz w:val="24"/>
                <w:szCs w:val="24"/>
                <w:color w:val="auto"/>
                <w:vertAlign w:val="superscript"/>
              </w:rPr>
              <w:t>(4)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3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(15.0)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(27.1)</w:t>
            </w:r>
          </w:p>
        </w:tc>
      </w:tr>
      <w:tr>
        <w:trPr>
          <w:trHeight w:val="216"/>
        </w:trPr>
        <w:tc>
          <w:tcPr>
            <w:tcW w:w="4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3"/>
        </w:trPr>
        <w:tc>
          <w:tcPr>
            <w:tcW w:w="4740" w:type="dxa"/>
            <w:vAlign w:val="bottom"/>
          </w:tcPr>
          <w:p>
            <w:pPr>
              <w:spacing w:after="0"/>
              <w:rPr>
                <w:sz w:val="20"/>
                <w:szCs w:val="20"/>
                <w:color w:val="auto"/>
              </w:rPr>
            </w:pPr>
            <w:r>
              <w:rPr>
                <w:rFonts w:ascii="Arial" w:cs="Arial" w:eastAsia="Arial" w:hAnsi="Arial"/>
                <w:sz w:val="16"/>
                <w:szCs w:val="16"/>
                <w:b w:val="1"/>
                <w:bCs w:val="1"/>
                <w:color w:val="auto"/>
              </w:rPr>
              <w:t>OPERATING DATA: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Comparable sales percentage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0.9%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w:t>
            </w:r>
          </w:p>
        </w:tc>
      </w:tr>
      <w:tr>
        <w:trPr>
          <w:trHeight w:val="213"/>
        </w:trPr>
        <w:tc>
          <w:tcPr>
            <w:tcW w:w="4740" w:type="dxa"/>
            <w:vAlign w:val="bottom"/>
          </w:tcPr>
          <w:p>
            <w:pPr>
              <w:spacing w:after="0"/>
              <w:rPr>
                <w:sz w:val="20"/>
                <w:szCs w:val="20"/>
                <w:color w:val="auto"/>
              </w:rPr>
            </w:pPr>
            <w:r>
              <w:rPr>
                <w:rFonts w:ascii="Arial" w:cs="Arial" w:eastAsia="Arial" w:hAnsi="Arial"/>
                <w:sz w:val="16"/>
                <w:szCs w:val="16"/>
                <w:color w:val="auto"/>
              </w:rPr>
              <w:t>Gross profit margins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45.0%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46.1%</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45.9%</w:t>
            </w:r>
          </w:p>
        </w:tc>
      </w:tr>
      <w:tr>
        <w:trPr>
          <w:trHeight w:val="219"/>
        </w:trPr>
        <w:tc>
          <w:tcPr>
            <w:tcW w:w="47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EBITDA (Non-GAAP measure)</w:t>
            </w:r>
            <w:r>
              <w:rPr>
                <w:rFonts w:ascii="Arial" w:cs="Arial" w:eastAsia="Arial" w:hAnsi="Arial"/>
                <w:sz w:val="25"/>
                <w:szCs w:val="25"/>
                <w:color w:val="auto"/>
                <w:vertAlign w:val="superscript"/>
              </w:rPr>
              <w:t>(4)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20" w:type="dxa"/>
            <w:vAlign w:val="bottom"/>
            <w:shd w:val="clear" w:color="auto" w:fill="CFF0FC"/>
          </w:tcPr>
          <w:p>
            <w:pPr>
              <w:spacing w:after="0"/>
              <w:rPr>
                <w:sz w:val="19"/>
                <w:szCs w:val="19"/>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w w:val="94"/>
              </w:rPr>
              <w:t>EBITDA, adjusted for impairment of assets and CEO and restructuring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5"/>
                <w:szCs w:val="15"/>
                <w:color w:val="auto"/>
              </w:rPr>
              <w:t>charges ("Adjusted EBITDA") (Non-GAAP)</w:t>
            </w:r>
            <w:r>
              <w:rPr>
                <w:rFonts w:ascii="Arial" w:cs="Arial" w:eastAsia="Arial" w:hAnsi="Arial"/>
                <w:sz w:val="24"/>
                <w:szCs w:val="24"/>
                <w:color w:val="auto"/>
                <w:vertAlign w:val="superscript"/>
              </w:rPr>
              <w:t>(4)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c>
          <w:tcPr>
            <w:tcW w:w="3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Adjusted EBITDA margin (Non-GAAP measure) </w:t>
            </w:r>
            <w:r>
              <w:rPr>
                <w:rFonts w:ascii="Arial" w:cs="Arial" w:eastAsia="Arial" w:hAnsi="Arial"/>
                <w:sz w:val="25"/>
                <w:szCs w:val="25"/>
                <w:color w:val="auto"/>
                <w:vertAlign w:val="superscript"/>
              </w:rPr>
              <w:t>(4)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w:t>
            </w:r>
          </w:p>
        </w:tc>
      </w:tr>
      <w:tr>
        <w:trPr>
          <w:trHeight w:val="210"/>
        </w:trPr>
        <w:tc>
          <w:tcPr>
            <w:tcW w:w="4740" w:type="dxa"/>
            <w:vAlign w:val="bottom"/>
          </w:tcPr>
          <w:p>
            <w:pPr>
              <w:spacing w:after="0"/>
              <w:rPr>
                <w:sz w:val="20"/>
                <w:szCs w:val="20"/>
                <w:color w:val="auto"/>
              </w:rPr>
            </w:pPr>
            <w:r>
              <w:rPr>
                <w:rFonts w:ascii="Arial" w:cs="Arial" w:eastAsia="Arial" w:hAnsi="Arial"/>
                <w:sz w:val="16"/>
                <w:szCs w:val="16"/>
                <w:color w:val="auto"/>
              </w:rPr>
              <w:t>Operating margin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r>
      <w:tr>
        <w:trPr>
          <w:trHeight w:val="216"/>
        </w:trPr>
        <w:tc>
          <w:tcPr>
            <w:tcW w:w="4740" w:type="dxa"/>
            <w:vAlign w:val="bottom"/>
          </w:tcPr>
          <w:p>
            <w:pPr>
              <w:spacing w:after="0"/>
              <w:rPr>
                <w:sz w:val="20"/>
                <w:szCs w:val="20"/>
                <w:color w:val="auto"/>
              </w:rPr>
            </w:pPr>
            <w:r>
              <w:rPr>
                <w:rFonts w:ascii="Arial" w:cs="Arial" w:eastAsia="Arial" w:hAnsi="Arial"/>
                <w:sz w:val="16"/>
                <w:szCs w:val="16"/>
                <w:color w:val="auto"/>
              </w:rPr>
              <w:t>Number of stores open at fiscal year end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rPr>
                <w:sz w:val="18"/>
                <w:szCs w:val="18"/>
                <w:color w:val="auto"/>
              </w:rPr>
            </w:pPr>
          </w:p>
        </w:tc>
      </w:tr>
    </w:tbl>
    <w:p>
      <w:pPr>
        <w:spacing w:after="0" w:line="200" w:lineRule="exact"/>
        <w:rPr>
          <w:sz w:val="20"/>
          <w:szCs w:val="20"/>
          <w:color w:val="auto"/>
        </w:rPr>
      </w:pPr>
    </w:p>
    <w:p>
      <w:pPr>
        <w:spacing w:after="0" w:line="223" w:lineRule="exact"/>
        <w:rPr>
          <w:sz w:val="20"/>
          <w:szCs w:val="20"/>
          <w:color w:val="auto"/>
        </w:rPr>
      </w:pPr>
    </w:p>
    <w:p>
      <w:pPr>
        <w:ind w:left="760" w:right="260" w:hanging="374"/>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Fiscal 2017 was a 53-week period; all other fiscal years were 52-weeks. Certain columns may not foot due to rounding.</w:t>
      </w:r>
    </w:p>
    <w:p>
      <w:pPr>
        <w:spacing w:after="0" w:line="169" w:lineRule="exact"/>
        <w:rPr>
          <w:rFonts w:ascii="Arial" w:cs="Arial" w:eastAsia="Arial" w:hAnsi="Arial"/>
          <w:sz w:val="18"/>
          <w:szCs w:val="18"/>
          <w:color w:val="auto"/>
        </w:rPr>
      </w:pPr>
    </w:p>
    <w:p>
      <w:pPr>
        <w:ind w:left="760" w:right="300" w:hanging="374"/>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fiscal 2018, the Company recorded a charge of $1.9 million related to the Company’s corporate restructuring in May 2018. In addition, in connection with its CEO search and CEO transition, the Company also incurred a charge of $2.4 million. See Notes K and L to the Notes to the Consolidated Financial Statements.</w:t>
      </w:r>
    </w:p>
    <w:p>
      <w:pPr>
        <w:spacing w:after="0" w:line="182" w:lineRule="exact"/>
        <w:rPr>
          <w:rFonts w:ascii="Arial" w:cs="Arial" w:eastAsia="Arial" w:hAnsi="Arial"/>
          <w:sz w:val="18"/>
          <w:szCs w:val="18"/>
          <w:color w:val="auto"/>
        </w:rPr>
      </w:pPr>
    </w:p>
    <w:p>
      <w:pPr>
        <w:ind w:left="760" w:right="280" w:hanging="374"/>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impairment charges relate to the write-down of property and equipment, related to stores where the carrying value exceeds fair value. Fiscal 2018 also includes the write-off of the Company’s “Rochester” trademark of $1.5 million. Fiscal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4" w:name="page25"/>
    <w:bookmarkEnd w:id="24"/>
    <w:p>
      <w:pPr>
        <w:ind w:left="380" w:right="380"/>
        <w:spacing w:after="0" w:line="277" w:lineRule="auto"/>
        <w:rPr>
          <w:sz w:val="20"/>
          <w:szCs w:val="20"/>
          <w:color w:val="auto"/>
        </w:rPr>
      </w:pPr>
      <w:r>
        <w:rPr>
          <w:rFonts w:ascii="Arial" w:cs="Arial" w:eastAsia="Arial" w:hAnsi="Arial"/>
          <w:sz w:val="18"/>
          <w:szCs w:val="18"/>
          <w:color w:val="auto"/>
        </w:rPr>
        <w:t>2017 also includes the write-off of $1.9 million for technology projects, which were abandoned in fiscal 2017. See Note A to the Notes to the Consolidated Financial Statements.</w:t>
      </w:r>
    </w:p>
    <w:p>
      <w:pPr>
        <w:spacing w:after="0" w:line="170" w:lineRule="exact"/>
        <w:rPr>
          <w:sz w:val="20"/>
          <w:szCs w:val="20"/>
          <w:color w:val="auto"/>
        </w:rPr>
      </w:pPr>
    </w:p>
    <w:p>
      <w:pPr>
        <w:ind w:left="380" w:hanging="374"/>
        <w:spacing w:after="0" w:line="286"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“EBITDA,” “Adjusted EBITDA,” “Adjusted EBITDA margin” and “Free cash flow” are non-GAAP measures. See “Non-GAAP Reconciliations” in Item 7. “Management’s Discussion and Analysis” for information on these non-GAAP measures and reconciliations to comparable GAAP measures, with the exception of Adjusted EBITDA margin, which is calculated by taking Adjusted EBITDA and dividing it by Sales.</w:t>
      </w:r>
    </w:p>
    <w:p>
      <w:pPr>
        <w:spacing w:after="0" w:line="164" w:lineRule="exact"/>
        <w:rPr>
          <w:rFonts w:ascii="Arial" w:cs="Arial" w:eastAsia="Arial" w:hAnsi="Arial"/>
          <w:sz w:val="17"/>
          <w:szCs w:val="17"/>
          <w:color w:val="auto"/>
        </w:rPr>
      </w:pPr>
    </w:p>
    <w:p>
      <w:pPr>
        <w:ind w:left="380" w:right="100" w:hanging="374"/>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fiscal 2017, as a result of the elimination of the corporate alternative minimum (“AMT”) tax and the ability to receive a refund for our AMT credit, we recognized an income tax benefit of $2.1 million, associated with reversing the corresponding valuation allowance against this asset. See Note E to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20" w:top="462"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As noted above in Part 1, this Annual Report, including, without limitation, this Item 7, contains “forward-looking statements,” including forward-looking statements within the meaning of the Private Securities Litigation Reform Act of 1995. Actual results or developments could differ materially from those projected in such statements because of numerous factors, including, without limitation those risks and uncertainties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Certain figures discussed below may not foot due to rounding.</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historically had two principal operating segments: its stores and direct businesses. The Company considers these two operating segments to be similar in terms of economic characteristics, production processes and operations, and have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at February 2, 2019, its operating results have been aggregated with the retail segment for fiscal 2018.</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Comparable Sales Definition</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Fiscal 2018 was a 52-week year as compared to fiscal 2017, which had 53-weeks. Accordingly, year-over-year comparisons of total sales for the fourth quarter and full year are affected by an extra week of sales in fiscal 2017. However, for comparable sales, the Company is reporting on a comparable weeks basis (e.g. the 13 and 52 weeks ended February 2, 2019 compared with the 13 and 52 weeks ended February 3, 2018, respectively).</w:t>
      </w:r>
    </w:p>
    <w:p>
      <w:pPr>
        <w:spacing w:after="0" w:line="148"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Total comparable sales include our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 Sales from our wholesale business are not part of the Company’s comparable sales calculation.</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Because this omni-channel approach to retailing is changing the boundaries of where a sale originates and where a sale is ultimately settled, we do not report comparable sales separately for our retail segment. However, as we continue to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We monitor certain non-GAAP financial measures on a regular basis in order to track the progress of our business. These measures include adjusted net loss, adjusted net loss per diluted share, free cash flow, EBITDA and adjusted EBITDA. We believe these measures provide helpful information with respect to the Company’s operating performance and that the inclusion of these non-GAAP measures is important to assist investors in comparing our performance in fiscal 2018 to fiscal 2017 and fiscal 2016. We also provide certain forward-looking information with respect to certain of these non-GAAP financial measures.</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However, these measures may not be comparable to similar measures used by other companies and should not be considered superior to or as a substitute for net loss, net loss per diluted share or cash flows from operating activities in accordance with GAAP. See “Non-GAAP Reconciliations” below for additional information on these non-GAAP financial measures and reconciliations to comparable GAAP measures.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301"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1560" w:type="dxa"/>
            <w:vAlign w:val="bottom"/>
            <w:tcBorders>
              <w:bottom w:val="single" w:sz="8" w:color="CFF0FC"/>
            </w:tcBorders>
          </w:tcPr>
          <w:p>
            <w:pPr>
              <w:spacing w:after="0"/>
              <w:rPr>
                <w:sz w:val="14"/>
                <w:szCs w:val="14"/>
                <w:color w:val="auto"/>
              </w:rPr>
            </w:pPr>
          </w:p>
        </w:tc>
        <w:tc>
          <w:tcPr>
            <w:tcW w:w="36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7"/>
              </w:rPr>
              <w:t>Fiscal 2018</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Fiscal 2017</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Fiscal 2016</w:t>
            </w:r>
          </w:p>
        </w:tc>
        <w:tc>
          <w:tcPr>
            <w:tcW w:w="100" w:type="dxa"/>
            <w:vAlign w:val="bottom"/>
            <w:tcBorders>
              <w:bottom w:val="single" w:sz="8" w:color="CFF0FC"/>
            </w:tcBorders>
          </w:tcPr>
          <w:p>
            <w:pPr>
              <w:spacing w:after="0"/>
              <w:rPr>
                <w:sz w:val="14"/>
                <w:szCs w:val="14"/>
                <w:color w:val="auto"/>
              </w:rPr>
            </w:pPr>
          </w:p>
        </w:tc>
      </w:tr>
      <w:tr>
        <w:trPr>
          <w:trHeight w:val="209"/>
        </w:trPr>
        <w:tc>
          <w:tcPr>
            <w:tcW w:w="1560" w:type="dxa"/>
            <w:vAlign w:val="bottom"/>
            <w:shd w:val="clear" w:color="auto" w:fill="CFF0FC"/>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720" w:type="dxa"/>
            <w:vAlign w:val="bottom"/>
            <w:gridSpan w:val="8"/>
            <w:shd w:val="clear" w:color="auto" w:fill="CFF0FC"/>
          </w:tcPr>
          <w:p>
            <w:pPr>
              <w:jc w:val="right"/>
              <w:ind w:right="880"/>
              <w:spacing w:after="0"/>
              <w:rPr>
                <w:sz w:val="20"/>
                <w:szCs w:val="20"/>
                <w:color w:val="auto"/>
              </w:rPr>
            </w:pPr>
            <w:r>
              <w:rPr>
                <w:rFonts w:ascii="Arial" w:cs="Arial" w:eastAsia="Arial" w:hAnsi="Arial"/>
                <w:sz w:val="14"/>
                <w:szCs w:val="14"/>
                <w:i w:val="1"/>
                <w:iCs w:val="1"/>
                <w:color w:val="auto"/>
              </w:rPr>
              <w:t>(in millions, except for per share data)</w:t>
            </w:r>
          </w:p>
        </w:tc>
      </w:tr>
      <w:tr>
        <w:trPr>
          <w:trHeight w:val="20"/>
        </w:trPr>
        <w:tc>
          <w:tcPr>
            <w:tcW w:w="1560" w:type="dxa"/>
            <w:vAlign w:val="bottom"/>
            <w:shd w:val="clear" w:color="auto" w:fill="CFF0FC"/>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5"/>
                <w:szCs w:val="15"/>
                <w:color w:val="auto"/>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29"/>
        </w:trPr>
        <w:tc>
          <w:tcPr>
            <w:tcW w:w="15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29"/>
        </w:trPr>
        <w:tc>
          <w:tcPr>
            <w:tcW w:w="1560" w:type="dxa"/>
            <w:vAlign w:val="bottom"/>
            <w:shd w:val="clear" w:color="auto" w:fill="CFF0FC"/>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restructuring and CEO transition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15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2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Diluted loss per share:</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36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(0.28)</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(0.05)</w:t>
            </w: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(0.03)</w:t>
            </w:r>
          </w:p>
        </w:tc>
      </w:tr>
      <w:tr>
        <w:trPr>
          <w:trHeight w:val="229"/>
        </w:trPr>
        <w:tc>
          <w:tcPr>
            <w:tcW w:w="15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from operating activities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r>
    </w:tbl>
    <w:p>
      <w:pPr>
        <w:spacing w:after="0" w:line="196" w:lineRule="exact"/>
        <w:rPr>
          <w:sz w:val="20"/>
          <w:szCs w:val="20"/>
          <w:color w:val="auto"/>
        </w:rPr>
      </w:pPr>
    </w:p>
    <w:p>
      <w:pPr>
        <w:ind w:left="520" w:right="80" w:hanging="512"/>
        <w:spacing w:after="0" w:line="252"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net loss and adjusted EBITDA exclude impairment charges, corporate restructuring and CEO transition costs. Adjusted net loss, for all periods, assumes a normalized tax benefit of 26%. See “Non-GAAP Reconciliations” below.</w:t>
      </w:r>
    </w:p>
    <w:p>
      <w:pPr>
        <w:spacing w:after="0" w:line="395" w:lineRule="exact"/>
        <w:rPr>
          <w:sz w:val="20"/>
          <w:szCs w:val="20"/>
          <w:color w:val="auto"/>
        </w:rPr>
      </w:pPr>
    </w:p>
    <w:p>
      <w:pPr>
        <w:jc w:val="both"/>
        <w:ind w:right="80"/>
        <w:spacing w:after="0" w:line="341" w:lineRule="auto"/>
        <w:rPr>
          <w:sz w:val="20"/>
          <w:szCs w:val="20"/>
          <w:color w:val="auto"/>
        </w:rPr>
      </w:pPr>
      <w:r>
        <w:rPr>
          <w:rFonts w:ascii="Arial" w:cs="Arial" w:eastAsia="Arial" w:hAnsi="Arial"/>
          <w:sz w:val="16"/>
          <w:szCs w:val="16"/>
          <w:color w:val="auto"/>
        </w:rPr>
        <w:t>Fiscal 2018 was a pivotal year for our Company as we addressed foundational issues in the business and also launched a number of growth and development initiatives, as described below. On April 1, 2019, we will transition to our new Chief Executive Officer and begin work on the next phase of DXL’s growth.</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an effort to accelerate our path to profitability, in May 2018, we reduced our corporate headcount by 15%, which we expect to result in an annualized cost savings of approximately $10.0 million. In fiscal 2018, we realized cost savings of approximately $6.0 million related to payroll, travel, benefits and other non-essential project costs. We incurred a charge of $1.9 million in severance and termination benefits in fiscal 2018 in connection with this corporate restructuring.</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May 2018, we amended our $125.0 million revolving credit facility with Bank of America to extend the facility to May 2023. As part of the amendment, we reduced our interest rate by 25 basis points. We also retired our $15.0 million term loan with Wells Fargo, NA and assumed a $15.0 million FILO loan under the new $140.0 million credit facility with Bank of America. We reduced our interest rate on the $15.0 million FILO loan by 375 basis points compared to the prior $15.0 million term loan.</w:t>
      </w:r>
    </w:p>
    <w:p>
      <w:pPr>
        <w:spacing w:after="0" w:line="18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completed a six-month customer segmentation study with over 4,000 customers. The results of this study provided us additional insight to help us redefine our marketing strategy and the characteristics of each of our primary customer segments. We plan to increase our focus on our “Fit &amp; Style” customer, who represents a segment of our customer base who is not only focused on a good fit, but is also engaged in finding product that is stylish and trendy. Fit &amp; Style represents our largest customer opportunity and we believe he has the greatest buying power. In the latter half of fiscal 2018, we started to tailor our marketing, with a more targeted, personalized, data-driven model specific to these different segments. For the holiday season, we also tested, with strong results, a catalog “look-book” for a select group of our customers, and expect to expand this program in fiscal 2019.</w:t>
      </w:r>
    </w:p>
    <w:p>
      <w:pPr>
        <w:spacing w:after="0" w:line="1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launched our new website in the third quarter of fiscal 2018, which is faster, more responsive and easier to navigate than our former site. Visually, it is wardrobe-driven as opposed to product-driven, encouraging our customers to purchase entire outfits or ensembles as opposed to just individual pieces. We also upgraded our integration between store point-of-sale and our website. With the new technology, our store associates are able to sell in-store merchandise together with our full assortment of merchandise on our website in a single sale transaction. In the fourth quarter of fiscal 2018, we also acquired the domain name dxl.com, which we believe will drive additional web traffic. Growing our direct business remains one of our primary objectives.</w:t>
      </w:r>
    </w:p>
    <w:p>
      <w:pPr>
        <w:spacing w:after="0" w:line="16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During fiscal 2018, we rebranded three Casual Male XL stores to the DXL store concept on a test basis. The rebranding of these stores requires substantially less capital and provides us with an opportunity to keep a store in a geographical market without the buildout costs associated with new real estate. Based on the strong results of this test, in fiscal 2019 we plan to rebrand 12 Casual Male XL retail stores and 1 Casual Male XL outlet.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0" w:right="299" w:bottom="1440" w:gutter="0" w:footer="0" w:header="0"/>
        </w:sectPr>
      </w:pPr>
    </w:p>
    <w:bookmarkStart w:id="27" w:name="page28"/>
    <w:bookmarkEnd w:id="27"/>
    <w:p>
      <w:pPr>
        <w:ind w:right="20"/>
        <w:spacing w:after="0" w:line="256" w:lineRule="auto"/>
        <w:rPr>
          <w:sz w:val="20"/>
          <w:szCs w:val="20"/>
          <w:color w:val="auto"/>
        </w:rPr>
      </w:pPr>
      <w:r>
        <w:rPr>
          <w:rFonts w:ascii="Arial" w:cs="Arial" w:eastAsia="Arial" w:hAnsi="Arial"/>
          <w:sz w:val="18"/>
          <w:szCs w:val="18"/>
          <w:color w:val="auto"/>
        </w:rPr>
        <w:t>In the fourth quarter of fiscal 2018, we launched a new wholesale segment. Our wholesale team is focused on product development and distribution relationships with key retailers, which will include both private-label and co-branded big &amp; tall men’s apparel lines. Wholesale allows us to leverage sourcing and design expertise and offer a turnkey solution to other retailers who cater to the big &amp; tall customer. As part of this initiative, in the fourth quarter of fiscal 2018, we entered into an agreement with Amazon to provide men’s big &amp; tall sizes for its Amazon Private Brand, Amazon Essentials, under the name “Amazon Essentials Fit by DXL.”</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Many of these initiatives contributed to our financial improvement in fiscal 2018. Comparable sales growth in fiscal 2018 was 3.0%, with positive comparable sales each of the four quarters. This performance was consistent across the country with the Northeast and Southeast showing the largest increases over fiscal 2017. Although our store traffic remains an issue, as it does across the industry, we saw increases in our conversions and dollars per transactions that contributed to our comparable sales growth. Our direct business remains steady, representing 21.6% of our retail segment sales, in fiscal 2018, as compared to 21.0% in fiscal 2017 and 19.9% in fiscal 2016. Retail segment sales exclude sales from wholesale.</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net loss for fiscal 2018, was $(13.5) million, or $(0.28) per diluted share, compared to a net loss of $(18.8) million, or $(0.39) per diluted share, in fiscal 2017. Results for fiscal 2018 included $4.3 million of costs associated with the CEO transition and corporate restructuring and asset impairment charges of $4.6 million. Excluding these items and assuming a normalized tax rate, the adjusted net loss for fiscal 2018 was $(3.5) million, or $(0.07) per diluted share, compared to an adjusted net loss of $(12.8) million, or $(0.26) per diluted share, in fiscal 2017. Adjusted EBITDA for fiscal 2018, improved $10.3 million to $27.4 million from $17.1 million in fiscal 2018.</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Chief Executive Officer</w:t>
      </w:r>
    </w:p>
    <w:p>
      <w:pPr>
        <w:spacing w:after="0" w:line="117"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Subsequent to the end of fiscal 2018, on February 19, 2019, the Company hired Harvey S. Kanter as its next President, Chief Executive Officer and director of the Company, effective April 1, 2019. During a short transition period from February 19, 2019 until March 31, 2019, Mr. Kanter will be an employee of the Company and will serve as an Advisor to the Acting CEO, David Levin. See our discussion below under “CEO Transition Costs” and in Note L, CEO Search and Transition Costs, to the Company’s Consolidated Financial Statements for additional disclosure regarding the transition and related costs.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Outlook</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core business remains strong, and we expect to deliver low single-digit comparable sales growth in our omni-channel retail business and to generate free cash flow in fiscal 2019. The Company will continue to provide forward-looking commentary on business trends. As discussed above, Mr. Kanter will assume the role of President and Chief Executive Officer of the Company effective April 1, 2019. Upon joining the Company, Mr. Kanter will conduct a strategic review to assess and address the current and go-forward execution strategy for the business. The Company and Mr. Kanter continue to believe that (i) increasing our customer base, (ii) improving returns on investment in our marketing and digital initiatives, (iii) enhancing our in-store and online experience, and (iv) managing our cost structure are essential to achieving a 10% EBITDA margin over time. Additionally, as previously announced, the Company has created a new wholesale business, the impact of which on the Company’s financial results needs to be fully assessed. Given the CEO transition, the strategic review and the launch of a new wholesale business, the Company is not providing detailed earnings or cash flow guidance until we have increased visibility in the effectiveness of our initiatives.</w:t>
      </w:r>
    </w:p>
    <w:p>
      <w:pPr>
        <w:spacing w:after="0" w:line="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fiscal 2019, we plan to open 2 new DXL retail stores, rebrand 12 Casual Male XL retail stores to DXL retail stores and rebrand 1 Casual Male XL outlet to a DXL outlet store. We also plan to close 5 Casual Male XL retail stores (two of which will be closed in connection with the opening of the two DXL stores), 1 DXL store and our 5 remaining Rochester Clothing stores.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fiscal year is a 52- or 53-week period ending on the Saturday closest to January 31. Fiscal 2018 and fiscal 2016 were 52-week periods and fiscal 2017 was a 53-week year.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i w:val="1"/>
          <w:iCs w:val="1"/>
          <w:color w:val="auto"/>
        </w:rPr>
        <w:t>SALES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color w:val="auto"/>
              </w:rPr>
              <w:t>Fiscal year</w:t>
            </w:r>
          </w:p>
        </w:tc>
      </w:tr>
      <w:tr>
        <w:trPr>
          <w:trHeight w:val="174"/>
        </w:trPr>
        <w:tc>
          <w:tcPr>
            <w:tcW w:w="7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i w:val="1"/>
                <w:iCs w:val="1"/>
                <w:color w:val="auto"/>
                <w:w w:val="98"/>
              </w:rPr>
              <w:t>(in millions)</w:t>
            </w:r>
          </w:p>
        </w:tc>
        <w:tc>
          <w:tcPr>
            <w:tcW w:w="8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733"/>
              <w:spacing w:after="0" w:line="153"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r>
      <w:tr>
        <w:trPr>
          <w:trHeight w:val="216"/>
        </w:trPr>
        <w:tc>
          <w:tcPr>
            <w:tcW w:w="9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Fiscal 2017 sales for the 53-week period</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Adjustment to sales for the shift in comparable weeks and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w:t>
            </w:r>
          </w:p>
        </w:tc>
        <w:tc>
          <w:tcPr>
            <w:tcW w:w="3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29"/>
        </w:trPr>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prior year sales for stores that have closed</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7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19"/>
                <w:szCs w:val="19"/>
                <w:color w:val="auto"/>
              </w:rPr>
            </w:pPr>
          </w:p>
        </w:tc>
      </w:tr>
      <w:tr>
        <w:trPr>
          <w:trHeight w:val="229"/>
        </w:trPr>
        <w:tc>
          <w:tcPr>
            <w:tcW w:w="720" w:type="dxa"/>
            <w:vAlign w:val="bottom"/>
            <w:shd w:val="clear" w:color="auto" w:fill="CFF0FC"/>
          </w:tcPr>
          <w:p>
            <w:pPr>
              <w:spacing w:after="0"/>
              <w:rPr>
                <w:sz w:val="19"/>
                <w:szCs w:val="19"/>
                <w:color w:val="auto"/>
              </w:rPr>
            </w:pPr>
          </w:p>
        </w:tc>
        <w:tc>
          <w:tcPr>
            <w:tcW w:w="8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Increase in comparable sales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r>
      <w:tr>
        <w:trPr>
          <w:trHeight w:val="229"/>
        </w:trPr>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Non-comparable sales</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Wholesale revenues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9"/>
        </w:trPr>
        <w:tc>
          <w:tcPr>
            <w:tcW w:w="9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rPr>
              <w:t>Fiscal 2018 sales for the 52-week period</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Sales in fiscal 2018 increased 1.2% to $473.8 million as compared to $468.0 million for fiscal 2017. The increase in sales of $5.8 million was driven by a comparable sales increase of $13.3 million, or 3.0%, non-comparable sales growth of $6.6 million and $2.4 million in net sales from our wholesale segment. These increases were partially offset by $6.3 million of sales due to the shift in comparable weeks and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 sales from closed stores of $8.6 million, and a decrease in other revenue of $1.6 million. Our direct business continued to grow, representing 21.6% of our retail segment sales in fiscal 2018 as compared to 21.0% in fiscal 2017.</w:t>
      </w:r>
    </w:p>
    <w:p>
      <w:pPr>
        <w:spacing w:after="0" w:line="7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Sales for fiscal 2017 increased 3.9% to $468.0 million as compared to $450.3 million for fiscal 2016</w:t>
      </w:r>
      <w:r>
        <w:rPr>
          <w:rFonts w:ascii="Arial" w:cs="Arial" w:eastAsia="Arial" w:hAnsi="Arial"/>
          <w:sz w:val="16"/>
          <w:szCs w:val="16"/>
          <w:b w:val="1"/>
          <w:bCs w:val="1"/>
          <w:color w:val="auto"/>
        </w:rPr>
        <w:t>.</w:t>
      </w:r>
      <w:r>
        <w:rPr>
          <w:rFonts w:ascii="Arial" w:cs="Arial" w:eastAsia="Arial" w:hAnsi="Arial"/>
          <w:sz w:val="16"/>
          <w:szCs w:val="16"/>
          <w:color w:val="auto"/>
        </w:rPr>
        <w:t xml:space="preserve"> The increase in sales was primarily due to sales from the 53</w:t>
      </w:r>
      <w:r>
        <w:rPr>
          <w:rFonts w:ascii="Arial" w:cs="Arial" w:eastAsia="Arial" w:hAnsi="Arial"/>
          <w:sz w:val="13"/>
          <w:szCs w:val="13"/>
          <w:color w:val="auto"/>
        </w:rPr>
        <w:t>rd</w:t>
      </w:r>
      <w:r>
        <w:rPr>
          <w:rFonts w:ascii="Arial" w:cs="Arial" w:eastAsia="Arial" w:hAnsi="Arial"/>
          <w:sz w:val="16"/>
          <w:szCs w:val="16"/>
          <w:color w:val="auto"/>
        </w:rPr>
        <w:t xml:space="preserve"> week of $6.9 million, DXL non-comparable sales, net of closed stores, of $6.9 million and a comparable sales increase of $3.7 million, or</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0.9%. While store traffic was down for most of fiscal 2017, we did see increases in sales productivity with increases in average dollars per transactions, units per transaction and conversion. Sales from our direct business as a percentage of our retail segment were 21.0% in fiscal 2017 as compared to 19.9% in fiscal 2016.</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Gross margin rate for fiscal 2018 was 44.6% compared to 45.0% in fiscal 2017 and 45.5% in fiscal 2016.</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gross margin of 44.6% for fiscal 2018 decreased 40 basis points from fiscal 2017. The decrease was due to an 80 basis point decrease in merchandise margin, related primarily to a sales shift toward more fashion-forward and branded merchandise and the impact of wholesale, which has lower gross margin rates than our store and direct businesses. The decrease in merchandise margin was partially offset by a 40 basis point improvement in occupancy costs, as a percentage of sales. On a dollar basis, occupancy costs for fiscal 2018 decreased 1.4% as compared to fiscal 2017.</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gross margin decrease of 50 basis points for fiscal 2017 as compared to fiscal 2016 was due to a 50 basis point decrease in merchandise margin, related to our inventory initiatives and increased efforts to reduce slow-moving merchandise categories, which resulted in higher promotional markdowns than the prior year. Our inventory initiatives resulted in a 12% decrease in inventory levels from fiscal 2017 over fiscal 2016, improved inventory turnover and days on hand, while at the same time managing a strong merchandise margin. Occupancy costs, as a percent of sales, were flat. On a dollar basis, occupancy costs for fiscal 2017 increased approximately 4.0% over fiscal 2016, primarily because of an increase of 2.2% in total square footage and the increased percentage of DXL stores to our total store base.</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nature, gross margin rates for wholesale are considerably lower than gross margin rates for the Company’s retail segment. Therefore, if we achieve top-line growth in our wholesale business, we expect to experience a decline in our gross margin on a combined basis.</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for fiscal 2018, 2017 and 2016 were 38.8%, 41.3% and 38.5%, respectively.</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SG&amp;A expenses for fiscal 2018 decreased $9.4 million, or 4.8%, to $183.9 million as compared to $193.2 million in fiscal 2017. The decrease was primarily due to savings of approximately $6.0 million from our corporate restructuring, a decrease in marketing costs of approximately $5.1 million and one less week of expenses of approximately $2.5 million due to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 These savings were partially offset by increases in our incentive accruals and IT operating costs.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29" w:name="page30"/>
    <w:bookmarkEnd w:id="29"/>
    <w:p>
      <w:pPr>
        <w:ind w:right="20"/>
        <w:spacing w:after="0" w:line="301" w:lineRule="auto"/>
        <w:rPr>
          <w:sz w:val="20"/>
          <w:szCs w:val="20"/>
          <w:color w:val="auto"/>
        </w:rPr>
      </w:pPr>
      <w:r>
        <w:rPr>
          <w:rFonts w:ascii="Arial" w:cs="Arial" w:eastAsia="Arial" w:hAnsi="Arial"/>
          <w:sz w:val="16"/>
          <w:szCs w:val="16"/>
          <w:color w:val="auto"/>
        </w:rPr>
        <w:t>SG&amp;A expenses are managed through two primary cost centers: Customer Facing Costs and Corporate Support Costs. Customer Facing Costs, which include store payroll, marketing, and other store operating costs, represented 23.2% of sales in fiscal 2018 as compared to 24.7% of sales in fiscal 2017. Corporate Support Costs, which include the distribution center and corporate overhead costs, represented 15.6% of sales in fiscal 2018 compared to 16.6% of sales in fiscal 2017. We expect to continue to address our SG&amp;A cost structure to improve our EBITDA margins and overall profitability.</w:t>
      </w:r>
    </w:p>
    <w:p>
      <w:pPr>
        <w:spacing w:after="0" w:line="15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SG&amp;A expense for fiscal 2017 increased $19.9 million, or 11.5%, to $193.2 million as compared to $173.3 million in fiscal 2016. The increase was principally due to an increase of $11.3 million in advertising expense. We increased our investment in our marketing initiatives in fiscal 2017 to help drive brand awareness, store traffic and our digital presence. The remainder of the increase was due to increases in store payroll and other supporting costs associated with a greater DXL store base and e-commerce initiatives and expenses for the additional 53rd week of approximately $2.5 million.</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CORPORATE RESTRUCTURING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May 2018, we executed a corporate restructuring to accelerate the Company's path to profitability by better aligning our expense structure with our revenues. We eliminated 56 positions, which represented approximately 15% of our corporate work force, or 2% of our total work force. Of the 56 positions, 36 positions were terminations and 20 positions were open positions that were not filled. As a result, we incurred an aggregate charge of $1.9 million in fiscal 2018, for employee severance and one-time termination benefits, as well as other employee-related costs. Approximately $1.6 million of the $1.9 million was cash expenditures.</w:t>
      </w:r>
    </w:p>
    <w:p>
      <w:pPr>
        <w:spacing w:after="0" w:line="191"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As a result of this restructuring, as noted above, we realized savings of approximately $6.0 million in SG&amp;A expenses in fiscal 2018. The savings primarily relate to corporate payroll, travel, benefits and non-essential project expenses, and are expected to be approximately $10.0 million on an annualized basis.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CEO TRANSITION COSTS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announced in March 2018 that Mr. Levin planned to retire on December 31, 2018. Pursuant to the terms of the Transition Agreement between the Company and Mr. Levin dated March 20, 2018, as amended (the “Transition Agreement”), Mr. Levin resigned as President, Chief Executive Officer and director of the Company on January 1, 2019. In accordance with that agreement, Mr. Levin is entitled to receive his base salary, AIP bonus and LTIP compensation through December 31, 2019. Because no successor had been hired prior to January 1, 2019, Mr. Levin assumed the role of Acting CEO pursuant to a letter agreement with the Company dated November 27, 2018. In connection with assuming this role, Mr. Levin is receiving total compensation of $800,000 through April 1, 2019, when Mr. Kanter will become the Company’s President and Chief Executive Officer.</w:t>
      </w:r>
    </w:p>
    <w:p>
      <w:pPr>
        <w:spacing w:after="0" w:line="6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connection with the CEO transition and search costs, we incurred a total charge of approximately $2.4 million in fiscal 2018. The $2.4 million charge related to amounts payable to Mr. Levin under his Transition Agreement, CEO search costs and the acceleration of stock-based compensation of approximately $0.5 million, related to Mr. Levin’s time-based equity awards.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incur additional charges in fiscal 2019 of approximately $0.5 million for CEO search, legal and housing allowance costs and approximately $1.2 million, assuming target, of future cash payments that Mr. Levin may be entitled to under existing performance-based compensation plans, if such targets are achieved.</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fiscal 2018, fiscal 2017 and fiscal 2016, we recorded asset impairment charges of $4.6 million, $4.1 million and $0.4 million, respectively.</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Impairment charges for long-lived assets related to stores, where the carrying value exceed fair value, were $3.1 million, $2.2 million and $0.4 million for fiscal 2018, fiscal 2017 and fiscal 2016, respectively. In addition, during the fourth quarter of fiscal 2018, we made the decision to close our five remaining Rochester Clothing stores during fiscal 2019. The growth in our DXL brand has slowly eroded the sales volume and profitability in these stores, which are in predominantly high-rent, metropolitan areas. While we will continue to sell Rochester branded merchandise in our DXL stores and website, in the fourth quarter of fiscal 2018, we determined that, without the cash flows from these five Rochester branded retail locations, the “Rochester” trademark was impaired. As a result, in the fourth quarter of fiscal 2018, we recorded an impairment charge of $1.5 million to write-off the trademark.</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In fiscal 2017, we also wrote-off $1.9 million for certain costs associated with technology projects, which were abandoned, due to a shift in strategy.</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and amortization expense was $28.7 million in fiscal 2018 compared to $31.1 million for fiscal 2017 and $30.2 million for fiscal 2016. With the majority of our new store growth complete, our depreciation expense began to decrease in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Included in depreciation and amortization is the amortization of our “Casual Male” trademark of $0.3 million in each of the past three fiscal years.</w:t>
      </w: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interest expense for fiscal 2018 was $3.5 million as compared to $3.4 million for fiscal 2017 and $3.1 million for fiscal 2016. Although total debt at February 2, 2019 decreased $2.7 million from February 3, 2018, and we have decreased our overall borrowing rate as a result of the amended credit facility, interest costs for fiscal 2018 increased slightly due to the increase in the prime rate.</w:t>
      </w:r>
    </w:p>
    <w:p>
      <w:pPr>
        <w:spacing w:after="0" w:line="1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“Liquidity and Capital Resources” below for more discussion regarding our credit facility, equipment financings and term loan as well as our future liquidity needs.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fiscal 2022 through fiscal 2036, is dependent on generating sufficient taxable income in the near term.</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fiscal 2013, we entered a three-year cumulative loss and based on all positive and negative evidence at February 1, 2014, we established a full valuation allowance against our net deferred tax assets. While we expect to return to profitability, generate taxable income and ultimately emerge from a three-year cumulative loss, based on our results for fiscal 2018 and our forecast for fiscal 2019, we believe that a full valuation allowance remains appropriate at this time.</w:t>
      </w:r>
    </w:p>
    <w:p>
      <w:pPr>
        <w:spacing w:after="0" w:line="18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December 2017, the U.S. Tax Cuts and Jobs Act of 2017 (the “2017 Tax Act”) was enacted. Because we have a full valuation allowance against our deferred tax assets, there was limited impact to our consolidated financial results in fiscal 2017, as a result of the 2017 Tax Act. The 2017 Tax Act also repealed the corporate alternative minimum tax (“AMT”) and any AMT carryforward credit became refundable over a five-year period. As a result, in fiscal 2017 we recognized an income tax benefit for our AMT carryforward credit of approximately $2.1 million, net of the applicable sequestration rate.</w:t>
      </w:r>
    </w:p>
    <w:p>
      <w:pPr>
        <w:spacing w:after="0" w:line="1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Our tax benefit for fiscal 2018 consisted of an income tax benefit of $0.2 million for the recognition of the remaining portion of the AMT that was previously sequestered, partially offset by current state margin tax and foreign income tax. See Note E,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loss for fiscal 2018 was $(13.5) million, or $(0.28) per diluted share, as compared to $(18.8) million, or $(0.39) per diluted share, in fiscal 2017 and a net loss of $(2.3) million, or $(0.05) per diluted share, in fiscal 2016.</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Included in our results for fiscal 2018 were charges of $1.9 million, or $0.04 per diluted share, for the corporate restructuring, $2.4 million, or $0.05 per diluted share, in CEO transition costs and $4.6 million, or $0.09 per diluted share, in asset impairment charges.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Results for fiscal 2017, included an asset impairment charge of $4.1 million, or $0.08 per diluted share, and increased advertising costs of $11.3 million, or $0.23 per diluted share as compared to fiscal 2016. These additional costs were partially offset by the 53</w:t>
      </w:r>
      <w:r>
        <w:rPr>
          <w:rFonts w:ascii="Arial" w:cs="Arial" w:eastAsia="Arial" w:hAnsi="Arial"/>
          <w:sz w:val="15"/>
          <w:szCs w:val="15"/>
          <w:color w:val="auto"/>
        </w:rPr>
        <w:t>rd</w:t>
      </w:r>
      <w:r>
        <w:rPr>
          <w:rFonts w:ascii="Arial" w:cs="Arial" w:eastAsia="Arial" w:hAnsi="Arial"/>
          <w:sz w:val="18"/>
          <w:szCs w:val="18"/>
          <w:color w:val="auto"/>
        </w:rPr>
        <w:t xml:space="preserve"> week, which added approximately $1.6 million in operating income in fiscal 2017.</w:t>
      </w:r>
    </w:p>
    <w:p>
      <w:pPr>
        <w:spacing w:after="0" w:line="18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a non-GAAP basis, before asset impairments, corporate restructuring and CEO transition costs and assuming a normalized tax rate of 26% for all periods, adjusted net loss per share for fiscal 2018 was $(0.07) per diluted share, compared to $(0.26) per diluted share for fiscal 2017 and $(0.03) per diluted share in fiscal 2016. See “Non-GAAP Reconciliation” below.</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0" w:right="27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loss per share for the past two fiscal years is presented in Note M of the Notes to the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millions, except percentages)</w:t>
            </w: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ind w:left="360"/>
              <w:spacing w:after="0"/>
              <w:rPr>
                <w:sz w:val="20"/>
                <w:szCs w:val="20"/>
                <w:color w:val="auto"/>
              </w:rPr>
            </w:pPr>
            <w:r>
              <w:rPr>
                <w:rFonts w:ascii="Arial" w:cs="Arial" w:eastAsia="Arial" w:hAnsi="Arial"/>
                <w:sz w:val="14"/>
                <w:szCs w:val="14"/>
                <w:color w:val="auto"/>
              </w:rPr>
              <w:t>Fiscal 2018</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2017</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2016</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which was amended and restated in May 2018. Our current cash needs are primarily for working capital (essentially inventory requirements), capital expenditures and growth initiatives. We plan to manage our working capital and expect that excess cash from operations will be directed toward our growth initiatives and debt reductions.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fiscal 2018, cash flow from operating activities decreased by $15.3 million primarily due to prior year inventory reduction initiatives of $14.1 million, that have now annualized, and an inventory increase in the current year for our wholesale business. The addition of our wholesale business will create a temporary shift in free cash flow due to the nature of inventory lead times and wholesale account payment terms. For fiscal 2018, our free cash flow was negatively impacted by approximately $5.0 million related to an increase in inventory and accounts receivable for our wholesale business. These decreases were partially offset by the improved earnings and lower capital expenditures. Capital expenditures, including the acquisition of the dxl.com domain name, decreased $9.6 million due to fewer store openings in fiscal 2018. As a result, free cash flow decreased $(5.6) million to $2.8 million from $8.4 million for fiscal 2017. This free cash flow was used to pay down debt. In total, debt outstanding at February 2, 2019 decreased $2.7 million from February 3,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26"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4"/>
              </w:rPr>
              <w:t>(in millions, except ratios)</w:t>
            </w: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color w:val="auto"/>
              </w:rPr>
              <w:t>Fiscal 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color w:val="auto"/>
              </w:rPr>
              <w:t>Fiscal 2017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Fiscal 2016</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Cash provided by operations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r>
      <w:tr>
        <w:trPr>
          <w:trHeight w:val="229"/>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debt, net of unamortized debt issuance costs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rPr>
              <w:t>Unused excess availability under Credit Facility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r>
      <w:tr>
        <w:trPr>
          <w:trHeight w:val="229"/>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Current ratio</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February 2, 2019, with the associated unamortized debt issuance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Gross Debt</w:t>
            </w:r>
          </w:p>
        </w:tc>
        <w:tc>
          <w:tcPr>
            <w:tcW w:w="1340" w:type="dxa"/>
            <w:vAlign w:val="bottom"/>
            <w:gridSpan w:val="3"/>
          </w:tcPr>
          <w:p>
            <w:pPr>
              <w:spacing w:after="0"/>
              <w:rPr>
                <w:sz w:val="20"/>
                <w:szCs w:val="20"/>
                <w:color w:val="auto"/>
              </w:rPr>
            </w:pPr>
            <w:r>
              <w:rPr>
                <w:rFonts w:ascii="Arial" w:cs="Arial" w:eastAsia="Arial" w:hAnsi="Arial"/>
                <w:sz w:val="14"/>
                <w:szCs w:val="14"/>
                <w:color w:val="auto"/>
              </w:rPr>
              <w:t>Less Debt Issuance</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Net Debt</w:t>
            </w:r>
          </w:p>
        </w:tc>
        <w:tc>
          <w:tcPr>
            <w:tcW w:w="1160" w:type="dxa"/>
            <w:vAlign w:val="bottom"/>
          </w:tcPr>
          <w:p>
            <w:pPr>
              <w:spacing w:after="0"/>
              <w:rPr>
                <w:sz w:val="14"/>
                <w:szCs w:val="14"/>
                <w:color w:val="auto"/>
              </w:rPr>
            </w:pPr>
          </w:p>
        </w:tc>
      </w:tr>
      <w:tr>
        <w:trPr>
          <w:trHeight w:val="154"/>
        </w:trPr>
        <w:tc>
          <w:tcPr>
            <w:tcW w:w="1160" w:type="dxa"/>
            <w:vAlign w:val="bottom"/>
          </w:tcPr>
          <w:p>
            <w:pPr>
              <w:spacing w:after="0"/>
              <w:rPr>
                <w:sz w:val="13"/>
                <w:szCs w:val="13"/>
                <w:color w:val="auto"/>
              </w:rPr>
            </w:pPr>
          </w:p>
        </w:tc>
        <w:tc>
          <w:tcPr>
            <w:tcW w:w="274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thousands)</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color w:val="auto"/>
                <w:w w:val="92"/>
              </w:rPr>
              <w:t>Outstanding</w:t>
            </w:r>
          </w:p>
        </w:tc>
        <w:tc>
          <w:tcPr>
            <w:tcW w:w="240" w:type="dxa"/>
            <w:vAlign w:val="bottom"/>
          </w:tcPr>
          <w:p>
            <w:pPr>
              <w:spacing w:after="0"/>
              <w:rPr>
                <w:sz w:val="13"/>
                <w:szCs w:val="13"/>
                <w:color w:val="auto"/>
              </w:rPr>
            </w:pPr>
          </w:p>
        </w:tc>
        <w:tc>
          <w:tcPr>
            <w:tcW w:w="110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color w:val="auto"/>
                <w:w w:val="92"/>
              </w:rPr>
              <w:t>Outstanding</w:t>
            </w:r>
          </w:p>
        </w:tc>
        <w:tc>
          <w:tcPr>
            <w:tcW w:w="116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Borders>
              <w:bottom w:val="single" w:sz="8" w:color="CFF0FC"/>
            </w:tcBorders>
            <w:shd w:val="clear" w:color="auto" w:fill="000000"/>
          </w:tcPr>
          <w:p>
            <w:pPr>
              <w:spacing w:after="0" w:line="20" w:lineRule="exact"/>
              <w:rPr>
                <w:sz w:val="1"/>
                <w:szCs w:val="1"/>
                <w:color w:val="auto"/>
              </w:rPr>
            </w:pPr>
          </w:p>
        </w:tc>
        <w:tc>
          <w:tcPr>
            <w:tcW w:w="1920" w:type="dxa"/>
            <w:vAlign w:val="bottom"/>
            <w:tcBorders>
              <w:bottom w:val="single" w:sz="8" w:color="CFF0FC"/>
            </w:tcBorders>
          </w:tcPr>
          <w:p>
            <w:pPr>
              <w:spacing w:after="0" w:line="20" w:lineRule="exact"/>
              <w:rPr>
                <w:sz w:val="1"/>
                <w:szCs w:val="1"/>
                <w:color w:val="auto"/>
              </w:rPr>
            </w:pPr>
          </w:p>
        </w:tc>
        <w:tc>
          <w:tcPr>
            <w:tcW w:w="26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26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0"/>
              </w:rPr>
              <w:t>(360)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41,908</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11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FILO loan</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2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57,268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0"/>
              </w:rPr>
              <w:t>(603)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56,665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675"/>
        </w:trPr>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0" w:type="dxa"/>
            <w:vAlign w:val="bottom"/>
          </w:tcPr>
          <w:p>
            <w:pPr>
              <w:jc w:val="right"/>
              <w:ind w:right="61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In the second quarter of fiscal 2018, we amended and restated our credit facility with Bank of America, N.A. (our “Credit Facility”) which extended the maturity date to May 24, 2023. The Credit Facility continues to provide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7"/>
          <w:szCs w:val="17"/>
          <w:color w:val="000033"/>
        </w:rPr>
        <w:t>0.50%,</w:t>
      </w:r>
      <w:r>
        <w:rPr>
          <w:rFonts w:ascii="Arial" w:cs="Arial" w:eastAsia="Arial" w:hAnsi="Arial"/>
          <w:sz w:val="17"/>
          <w:szCs w:val="17"/>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7"/>
          <w:szCs w:val="17"/>
          <w:color w:val="000033"/>
        </w:rPr>
        <w:t>1.25% or 1.50%.</w:t>
      </w:r>
      <w:r>
        <w:rPr>
          <w:rFonts w:ascii="Arial" w:cs="Arial" w:eastAsia="Arial" w:hAnsi="Arial"/>
          <w:sz w:val="17"/>
          <w:szCs w:val="17"/>
          <w:color w:val="auto"/>
        </w:rPr>
        <w:t xml:space="preserve"> Our Credit Facility is described in more detail in Note D to the Notes to the Consolidated Financial Statements.</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had outstanding borrowings of $42.3 million under the Revolving Facility at February 2, 2019. Outstanding standby letters of credit were $2.9 million and outstanding documentary letters of credit were $1.5 million. The average monthly borrowing outstanding under the Revolving Facility during fiscal 2018 was approximately $54.1 million, resulting in an average unused excess availability of approximately $37.8 million. Unused excess availability at February 2, 2019 was $45.6 million. Our obligations under the Credit Facility are secured by a lien on substantially all of our assets.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FILO Loan</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Credit Facility also includes a FILO loan for $15.0 million, the proceeds of which were used to repay our previous Term Loan Facility. 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loan during the first year. After its one-year anniversary, the FILO loan can be repaid, in whole or in part, subject to certain payment conditions.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000033"/>
        </w:rPr>
        <w:t xml:space="preserve">Borrowings made under the FILO loan will bear interest, </w:t>
      </w:r>
      <w:r>
        <w:rPr>
          <w:rFonts w:ascii="Arial" w:cs="Arial" w:eastAsia="Arial" w:hAnsi="Arial"/>
          <w:sz w:val="18"/>
          <w:szCs w:val="18"/>
          <w:color w:val="000000"/>
        </w:rPr>
        <w:t>calculated under either the Federal Funds rate or the LIBOR rate, at a rate equal to the following: (a)</w:t>
      </w:r>
      <w:r>
        <w:rPr>
          <w:rFonts w:ascii="Arial" w:cs="Arial" w:eastAsia="Arial" w:hAnsi="Arial"/>
          <w:sz w:val="18"/>
          <w:szCs w:val="18"/>
          <w:color w:val="000033"/>
        </w:rPr>
        <w:t xml:space="preserve"> </w:t>
      </w:r>
      <w:r>
        <w:rPr>
          <w:rFonts w:ascii="Arial" w:cs="Arial" w:eastAsia="Arial" w:hAnsi="Arial"/>
          <w:sz w:val="18"/>
          <w:szCs w:val="18"/>
          <w:color w:val="000000"/>
        </w:rPr>
        <w:t>the Federal Funds rate plus a varying percentage based on the Company’s excess availability, of either 1.75% or 2.00% or (b) the LIBOR rate (the Company being able to select interest periods of 1 week, 1 month, 2 months, 3 months or 6 months) plus a varying percentage based on the Company’s excess availability, of either 2.75% or 3.00%. At February 2, 2019, the outstanding balance of $15.0 million was in a 2-month LIBOR-based contract with an interest rate of 5.29%.</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Financing Notes</w:t>
      </w:r>
    </w:p>
    <w:p>
      <w:pPr>
        <w:spacing w:after="0" w:line="117"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We previously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were secured by a security interest in all of our rights, title and interest in and to certain equipment. The Notes accrued interest at fixed rates ranging from 3.07% to 3.50%. During the second quarter of fiscal 2018, the Company repaid in full the remaining balance on these Notes, without penalty.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Prior Term Loan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previously had a senior secured term loan facility with Wells Fargo Bank, National Association as administrative and collateral agent (the “Term Loan Facility”). The interest rate on the Term Loan Facility was equal to the greater of (a) 1.00% and (b) the one-month LIBOR rate, plus 6.50%. The Term Loan Facility, with a maturity date of October 29, 2019 and an outstanding balance of $11.5 million, was repaid in full, without penalty, during the second quarter of fiscal 2018 in connection with the new Credit Facility.</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February 2, 2019, total inventories increased to $106.8 million from $103.3 million at February 3, 2018. The $3.5 million increase in inventory was due to the acceleration of certain receipts from February to January as well as increased inventory levels for our wholesale segment. As a result of our inventory efficiency initiatives over the past three years, we have reduced our average inventory per total built-out square footage of stores to $49.30 per square foot at February 2, 2019 from $61.46 per square foot at January 30, 2016. At February 2, 2019, our clearance inventory represented 10.3% of our inventory, as compared to 9.8% at February 3, 2018. We believe that this slight increase was due to more customers gravitating toward our new, full-price merchandise, as opposed to last year where we saw higher sell-throughs on clearance product.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our contractual obligations at February 2, 2019, and the effect such obligations are expected to have on our liquidity and cash flows in future periods (Certain amounts in the following table do not foot due to rounding):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55"/>
              <w:spacing w:after="0" w:line="137" w:lineRule="exact"/>
              <w:rPr>
                <w:sz w:val="20"/>
                <w:szCs w:val="20"/>
                <w:color w:val="auto"/>
              </w:rPr>
            </w:pPr>
            <w:r>
              <w:rPr>
                <w:rFonts w:ascii="Arial" w:cs="Arial" w:eastAsia="Arial" w:hAnsi="Arial"/>
                <w:sz w:val="14"/>
                <w:szCs w:val="14"/>
                <w:color w:val="auto"/>
                <w:w w:val="93"/>
              </w:rPr>
              <w:t>More than 5</w:t>
            </w:r>
          </w:p>
        </w:tc>
        <w:tc>
          <w:tcPr>
            <w:tcW w:w="100" w:type="dxa"/>
            <w:vAlign w:val="bottom"/>
          </w:tcPr>
          <w:p>
            <w:pPr>
              <w:spacing w:after="0"/>
              <w:rPr>
                <w:sz w:val="11"/>
                <w:szCs w:val="11"/>
                <w:color w:val="auto"/>
              </w:rPr>
            </w:pPr>
          </w:p>
        </w:tc>
      </w:tr>
      <w:tr>
        <w:trPr>
          <w:trHeight w:val="167"/>
        </w:trPr>
        <w:tc>
          <w:tcPr>
            <w:tcW w:w="528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w w:val="92"/>
              </w:rPr>
              <w:t>Less than 1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1 to 3 years</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3 to 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r>
      <w:tr>
        <w:trPr>
          <w:trHeight w:val="197"/>
        </w:trPr>
        <w:tc>
          <w:tcPr>
            <w:tcW w:w="5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on long-term debt obligations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Merchandise purchase obligations </w:t>
            </w:r>
            <w:r>
              <w:rPr>
                <w:rFonts w:ascii="Arial" w:cs="Arial" w:eastAsia="Arial" w:hAnsi="Arial"/>
                <w:sz w:val="15"/>
                <w:szCs w:val="15"/>
                <w:color w:val="auto"/>
              </w:rPr>
              <w:t>(4)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5"/>
                <w:szCs w:val="15"/>
                <w:color w:val="auto"/>
              </w:rPr>
              <w:t>(5)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right="340" w:hanging="512"/>
        <w:spacing w:after="0" w:line="25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spacing w:after="0" w:line="1" w:lineRule="exact"/>
        <w:rPr>
          <w:rFonts w:ascii="Arial" w:cs="Arial" w:eastAsia="Arial" w:hAnsi="Arial"/>
          <w:sz w:val="18"/>
          <w:szCs w:val="18"/>
          <w:color w:val="auto"/>
        </w:rPr>
      </w:pPr>
    </w:p>
    <w:p>
      <w:pPr>
        <w:ind w:left="520" w:right="62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outstanding balance of the FILO loan. At February 2, 2019, we had $42.3 million outstanding under our credit facility, which is excluded from the above table.</w:t>
      </w:r>
    </w:p>
    <w:p>
      <w:pPr>
        <w:ind w:left="520" w:right="18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Interest on long-term obligations is estimated </w:t>
      </w:r>
      <w:r>
        <w:rPr>
          <w:rFonts w:ascii="Arial" w:cs="Arial" w:eastAsia="Arial" w:hAnsi="Arial"/>
          <w:sz w:val="18"/>
          <w:szCs w:val="18"/>
          <w:color w:val="212121"/>
        </w:rPr>
        <w:t>using LIBOR rate at February 2, 2019 for the FILO loan, assuming no principal payment until maturity</w:t>
      </w:r>
      <w:r>
        <w:rPr>
          <w:rFonts w:ascii="Arial" w:cs="Arial" w:eastAsia="Arial" w:hAnsi="Arial"/>
          <w:sz w:val="18"/>
          <w:szCs w:val="18"/>
          <w:color w:val="auto"/>
        </w:rPr>
        <w:t xml:space="preserve"> </w:t>
      </w:r>
      <w:r>
        <w:rPr>
          <w:rFonts w:ascii="Arial" w:cs="Arial" w:eastAsia="Arial" w:hAnsi="Arial"/>
          <w:sz w:val="18"/>
          <w:szCs w:val="18"/>
          <w:color w:val="212121"/>
        </w:rPr>
        <w:t>of the FILO loan.</w:t>
      </w:r>
    </w:p>
    <w:p>
      <w:pPr>
        <w:ind w:left="520" w:right="180" w:hanging="512"/>
        <w:spacing w:after="0" w:line="264"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February 2, 2019, we had approximately $58.3 million in open purchase orders. We estimate that approximately 95% of these purchase orders may be considered non-cancelable.</w:t>
      </w:r>
    </w:p>
    <w:p>
      <w:pPr>
        <w:spacing w:after="0" w:line="3" w:lineRule="exact"/>
        <w:rPr>
          <w:rFonts w:ascii="Arial" w:cs="Arial" w:eastAsia="Arial" w:hAnsi="Arial"/>
          <w:sz w:val="17"/>
          <w:szCs w:val="17"/>
          <w:color w:val="auto"/>
        </w:rPr>
      </w:pPr>
    </w:p>
    <w:p>
      <w:pPr>
        <w:ind w:left="520" w:right="280" w:hanging="512"/>
        <w:spacing w:after="0" w:line="289"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February 2, 2019, we had an unfunded Pension Obligation of $3.6 million and obligations under our Supplemental Employee Retirement Plan of $0.5 million, which are not included in the table because of uncertainty over whether or when further contributions will be required.</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February 2, 2019 and February 3, 2018 respectively: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ind w:left="540"/>
              <w:spacing w:after="0"/>
              <w:rPr>
                <w:sz w:val="20"/>
                <w:szCs w:val="20"/>
                <w:color w:val="auto"/>
              </w:rPr>
            </w:pPr>
            <w:r>
              <w:rPr>
                <w:rFonts w:ascii="Arial" w:cs="Arial" w:eastAsia="Arial" w:hAnsi="Arial"/>
                <w:sz w:val="14"/>
                <w:szCs w:val="14"/>
                <w:color w:val="auto"/>
              </w:rPr>
              <w:t>At February 2, 2019</w:t>
            </w:r>
          </w:p>
        </w:tc>
        <w:tc>
          <w:tcPr>
            <w:tcW w:w="2400" w:type="dxa"/>
            <w:vAlign w:val="bottom"/>
            <w:gridSpan w:val="4"/>
          </w:tcPr>
          <w:p>
            <w:pPr>
              <w:ind w:left="540"/>
              <w:spacing w:after="0"/>
              <w:rPr>
                <w:sz w:val="20"/>
                <w:szCs w:val="20"/>
                <w:color w:val="auto"/>
              </w:rPr>
            </w:pPr>
            <w:r>
              <w:rPr>
                <w:rFonts w:ascii="Arial" w:cs="Arial" w:eastAsia="Arial" w:hAnsi="Arial"/>
                <w:sz w:val="14"/>
                <w:szCs w:val="14"/>
                <w:color w:val="auto"/>
              </w:rPr>
              <w:t>At February 3, 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Number of</w:t>
            </w:r>
          </w:p>
        </w:tc>
        <w:tc>
          <w:tcPr>
            <w:tcW w:w="12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Square</w:t>
            </w:r>
          </w:p>
        </w:tc>
        <w:tc>
          <w:tcPr>
            <w:tcW w:w="12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Number of</w:t>
            </w:r>
          </w:p>
        </w:tc>
        <w:tc>
          <w:tcPr>
            <w:tcW w:w="11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Square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Store Concept</w:t>
            </w:r>
          </w:p>
        </w:tc>
        <w:tc>
          <w:tcPr>
            <w:tcW w:w="1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Stores</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Footage</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Stores</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Footage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960" w:type="dxa"/>
            <w:vAlign w:val="bottom"/>
            <w:gridSpan w:val="2"/>
          </w:tcPr>
          <w:p>
            <w:pPr>
              <w:ind w:left="580"/>
              <w:spacing w:after="0"/>
              <w:rPr>
                <w:sz w:val="20"/>
                <w:szCs w:val="20"/>
                <w:color w:val="auto"/>
              </w:rPr>
            </w:pPr>
            <w:r>
              <w:rPr>
                <w:rFonts w:ascii="Arial" w:cs="Arial" w:eastAsia="Arial" w:hAnsi="Arial"/>
                <w:sz w:val="14"/>
                <w:szCs w:val="14"/>
                <w:i w:val="1"/>
                <w:iCs w:val="1"/>
                <w:color w:val="auto"/>
              </w:rPr>
              <w:t>(square footage in thousands)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8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vMerge w:val="continue"/>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DXL Retail</w:t>
            </w:r>
          </w:p>
        </w:tc>
        <w:tc>
          <w:tcPr>
            <w:tcW w:w="3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DXL Outlet</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3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Casual Male XL Outlet</w:t>
            </w:r>
          </w:p>
        </w:tc>
        <w:tc>
          <w:tcPr>
            <w:tcW w:w="30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3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ind w:left="580"/>
              <w:spacing w:after="0"/>
              <w:rPr>
                <w:sz w:val="20"/>
                <w:szCs w:val="20"/>
                <w:color w:val="auto"/>
              </w:rPr>
            </w:pPr>
            <w:r>
              <w:rPr>
                <w:rFonts w:ascii="Arial" w:cs="Arial" w:eastAsia="Arial" w:hAnsi="Arial"/>
                <w:sz w:val="18"/>
                <w:szCs w:val="18"/>
                <w:color w:val="auto"/>
              </w:rPr>
              <w:t>Total Stores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4"/>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0"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Below is a summary of store openings and closings from February 3, 2018 to February 2,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Casual Male</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Casual Male</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Rochester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860" w:type="dxa"/>
            <w:vAlign w:val="bottom"/>
            <w:gridSpan w:val="2"/>
          </w:tcPr>
          <w:p>
            <w:pPr>
              <w:spacing w:after="0"/>
              <w:rPr>
                <w:sz w:val="20"/>
                <w:szCs w:val="20"/>
                <w:color w:val="auto"/>
              </w:rPr>
            </w:pPr>
            <w:r>
              <w:rPr>
                <w:rFonts w:ascii="Arial" w:cs="Arial" w:eastAsia="Arial" w:hAnsi="Arial"/>
                <w:sz w:val="14"/>
                <w:szCs w:val="14"/>
                <w:color w:val="auto"/>
              </w:rPr>
              <w:t>Number of Stores: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DXL Retail</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DXL Outlet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XL Retail</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XL Outlet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rPr>
              <w:t>Clothing</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Total Stores</w:t>
            </w: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February 3, 2018</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50"/>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36"/>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Rebranded stores </w:t>
            </w:r>
            <w:r>
              <w:rPr>
                <w:rFonts w:ascii="Arial" w:cs="Arial" w:eastAsia="Arial" w:hAnsi="Arial"/>
                <w:sz w:val="15"/>
                <w:szCs w:val="15"/>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29"/>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Closed stores</w:t>
            </w:r>
            <w:r>
              <w:rPr>
                <w:rFonts w:ascii="Arial" w:cs="Arial" w:eastAsia="Arial" w:hAnsi="Arial"/>
                <w:sz w:val="15"/>
                <w:szCs w:val="15"/>
                <w:color w:val="auto"/>
              </w:rPr>
              <w:t>(4)</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color w:val="auto"/>
              </w:rPr>
              <w:t>At February 2,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Casual Male XL store that were remodeled and rebranded to a DXL store.</w:t>
      </w:r>
    </w:p>
    <w:p>
      <w:pPr>
        <w:spacing w:after="0" w:line="8"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closed in such markets in connection with those DXL store openings.</w:t>
      </w: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in the same market.</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capital expenditures for fiscal 2018 were $13.0 million, as compared to $22.6 million in fiscal 2017 and $29.2 million in fiscal 2016. Approximately $1.0 million related to the opening of 2 DXL retail stores, 1 DXL outlet and the rebranding of 3 Casual Male XL stores to DXL retail stores. In addition, we spent approximately $8.2 million in management information projects, which included continued enhancements for our e-commerce sites, $2.7 million in other general projects and $1.2 million for the acquisition of the “dxl.com” domain name.</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fiscal 2019, we plan to open 2 new DXL retail stores, remodel 12 Casual Male XL to DXL retail stores and 1 Casual Male XL outlet to a DXL outlet store. In addition, we expect to close 5 Casual Male XL retail stores (2 of which will be closed in connection with the opening of the two DXL stores), 1 DXL store and our 5 remaining Rochester Clothing stores.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Reconciliations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2018 to fiscal 2017 and fiscal 2016, on a comparable basis. However, these measures may not be comparable to similar measures used by other companies and should not be considered superior to or as a substitute for operating net loss, net loss per diluted share or cash flows from operating activities in accordance with GAAP.</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Adjusted Net Loss and Adjusted Net Loss Per Diluted Share</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Adjusted loss from continuing operations and adjusted net loss reflect an adjustment assuming a normal tax rate of 26% and the add- back of impairment charges, CEO transition costs and corporate restructuring.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35" w:name="page36"/>
    <w:bookmarkEnd w:id="35"/>
    <w:p>
      <w:pPr>
        <w:ind w:right="140"/>
        <w:spacing w:after="0" w:line="277" w:lineRule="auto"/>
        <w:rPr>
          <w:sz w:val="20"/>
          <w:szCs w:val="20"/>
          <w:color w:val="auto"/>
        </w:rPr>
      </w:pPr>
      <w:r>
        <w:rPr>
          <w:rFonts w:ascii="Arial" w:cs="Arial" w:eastAsia="Arial" w:hAnsi="Arial"/>
          <w:sz w:val="18"/>
          <w:szCs w:val="18"/>
          <w:color w:val="auto"/>
        </w:rPr>
        <w:t>The following table is a reconciliation of net loss and net loss per diluted share (on a GAAP basis) to adjusted net loss and adjusted net loss per diluted share (on a non-GAAP basis) (certain amounts may not foot due to rounding):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6"/>
          </w:tcPr>
          <w:p>
            <w:pPr>
              <w:jc w:val="right"/>
              <w:ind w:right="980"/>
              <w:spacing w:after="0"/>
              <w:rPr>
                <w:sz w:val="20"/>
                <w:szCs w:val="20"/>
                <w:color w:val="auto"/>
              </w:rPr>
            </w:pPr>
            <w:r>
              <w:rPr>
                <w:rFonts w:ascii="Arial" w:cs="Arial" w:eastAsia="Arial" w:hAnsi="Arial"/>
                <w:sz w:val="14"/>
                <w:szCs w:val="14"/>
                <w:color w:val="auto"/>
              </w:rPr>
              <w:t>Fiscal 2018</w:t>
            </w:r>
          </w:p>
        </w:tc>
        <w:tc>
          <w:tcPr>
            <w:tcW w:w="240" w:type="dxa"/>
            <w:vAlign w:val="bottom"/>
          </w:tcPr>
          <w:p>
            <w:pPr>
              <w:spacing w:after="0"/>
              <w:rPr>
                <w:sz w:val="14"/>
                <w:szCs w:val="14"/>
                <w:color w:val="auto"/>
              </w:rPr>
            </w:pPr>
          </w:p>
        </w:tc>
        <w:tc>
          <w:tcPr>
            <w:tcW w:w="2080" w:type="dxa"/>
            <w:vAlign w:val="bottom"/>
            <w:gridSpan w:val="6"/>
          </w:tcPr>
          <w:p>
            <w:pPr>
              <w:jc w:val="right"/>
              <w:ind w:right="980"/>
              <w:spacing w:after="0"/>
              <w:rPr>
                <w:sz w:val="20"/>
                <w:szCs w:val="20"/>
                <w:color w:val="auto"/>
              </w:rPr>
            </w:pPr>
            <w:r>
              <w:rPr>
                <w:rFonts w:ascii="Arial" w:cs="Arial" w:eastAsia="Arial" w:hAnsi="Arial"/>
                <w:sz w:val="14"/>
                <w:szCs w:val="14"/>
                <w:color w:val="auto"/>
              </w:rPr>
              <w:t>Fiscal 2017</w:t>
            </w:r>
          </w:p>
        </w:tc>
        <w:tc>
          <w:tcPr>
            <w:tcW w:w="240" w:type="dxa"/>
            <w:vAlign w:val="bottom"/>
          </w:tcPr>
          <w:p>
            <w:pPr>
              <w:spacing w:after="0"/>
              <w:rPr>
                <w:sz w:val="14"/>
                <w:szCs w:val="14"/>
                <w:color w:val="auto"/>
              </w:rPr>
            </w:pPr>
          </w:p>
        </w:tc>
        <w:tc>
          <w:tcPr>
            <w:tcW w:w="1940" w:type="dxa"/>
            <w:vAlign w:val="bottom"/>
            <w:gridSpan w:val="6"/>
          </w:tcPr>
          <w:p>
            <w:pPr>
              <w:jc w:val="right"/>
              <w:ind w:right="820"/>
              <w:spacing w:after="0"/>
              <w:rPr>
                <w:sz w:val="20"/>
                <w:szCs w:val="20"/>
                <w:color w:val="auto"/>
              </w:rPr>
            </w:pPr>
            <w:r>
              <w:rPr>
                <w:rFonts w:ascii="Arial" w:cs="Arial" w:eastAsia="Arial" w:hAnsi="Arial"/>
                <w:sz w:val="14"/>
                <w:szCs w:val="14"/>
                <w:color w:val="auto"/>
              </w:rPr>
              <w:t>Fiscal 2016</w:t>
            </w:r>
          </w:p>
        </w:tc>
      </w:tr>
      <w:tr>
        <w:trPr>
          <w:trHeight w:val="137"/>
        </w:trPr>
        <w:tc>
          <w:tcPr>
            <w:tcW w:w="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w w:val="92"/>
              </w:rPr>
              <w:t>Per diluted</w:t>
            </w:r>
          </w:p>
        </w:tc>
        <w:tc>
          <w:tcPr>
            <w:tcW w:w="2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8"/>
              <w:spacing w:after="0" w:line="137" w:lineRule="exact"/>
              <w:rPr>
                <w:sz w:val="20"/>
                <w:szCs w:val="20"/>
                <w:color w:val="auto"/>
              </w:rPr>
            </w:pPr>
            <w:r>
              <w:rPr>
                <w:rFonts w:ascii="Arial" w:cs="Arial" w:eastAsia="Arial" w:hAnsi="Arial"/>
                <w:sz w:val="14"/>
                <w:szCs w:val="14"/>
                <w:color w:val="auto"/>
                <w:w w:val="92"/>
              </w:rPr>
              <w:t>Per diluted</w:t>
            </w:r>
          </w:p>
        </w:tc>
        <w:tc>
          <w:tcPr>
            <w:tcW w:w="2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8"/>
              <w:spacing w:after="0" w:line="137" w:lineRule="exact"/>
              <w:rPr>
                <w:sz w:val="20"/>
                <w:szCs w:val="20"/>
                <w:color w:val="auto"/>
              </w:rPr>
            </w:pPr>
            <w:r>
              <w:rPr>
                <w:rFonts w:ascii="Arial" w:cs="Arial" w:eastAsia="Arial" w:hAnsi="Arial"/>
                <w:sz w:val="14"/>
                <w:szCs w:val="14"/>
                <w:color w:val="auto"/>
                <w:w w:val="92"/>
              </w:rPr>
              <w:t>Per diluted</w:t>
            </w:r>
          </w:p>
        </w:tc>
        <w:tc>
          <w:tcPr>
            <w:tcW w:w="100" w:type="dxa"/>
            <w:vAlign w:val="bottom"/>
          </w:tcPr>
          <w:p>
            <w:pPr>
              <w:spacing w:after="0"/>
              <w:rPr>
                <w:sz w:val="11"/>
                <w:szCs w:val="11"/>
                <w:color w:val="auto"/>
              </w:rPr>
            </w:pPr>
          </w:p>
        </w:tc>
      </w:tr>
      <w:tr>
        <w:trPr>
          <w:trHeight w:val="154"/>
        </w:trPr>
        <w:tc>
          <w:tcPr>
            <w:tcW w:w="4600" w:type="dxa"/>
            <w:vAlign w:val="bottom"/>
            <w:gridSpan w:val="3"/>
          </w:tcPr>
          <w:p>
            <w:pPr>
              <w:spacing w:after="0" w:line="153" w:lineRule="exact"/>
              <w:rPr>
                <w:sz w:val="20"/>
                <w:szCs w:val="20"/>
                <w:color w:val="auto"/>
              </w:rPr>
            </w:pPr>
            <w:r>
              <w:rPr>
                <w:rFonts w:ascii="Arial" w:cs="Arial" w:eastAsia="Arial" w:hAnsi="Arial"/>
                <w:sz w:val="14"/>
                <w:szCs w:val="14"/>
                <w:i w:val="1"/>
                <w:iCs w:val="1"/>
                <w:color w:val="auto"/>
              </w:rPr>
              <w:t>(in thousands, except per share data)</w:t>
            </w:r>
          </w:p>
        </w:tc>
        <w:tc>
          <w:tcPr>
            <w:tcW w:w="240" w:type="dxa"/>
            <w:vAlign w:val="bottom"/>
          </w:tcPr>
          <w:p>
            <w:pPr>
              <w:spacing w:after="0"/>
              <w:rPr>
                <w:sz w:val="13"/>
                <w:szCs w:val="13"/>
                <w:color w:val="auto"/>
              </w:rPr>
            </w:pPr>
          </w:p>
        </w:tc>
        <w:tc>
          <w:tcPr>
            <w:tcW w:w="700" w:type="dxa"/>
            <w:vAlign w:val="bottom"/>
          </w:tcPr>
          <w:p>
            <w:pPr>
              <w:jc w:val="right"/>
              <w:ind w:right="368"/>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540"/>
              <w:spacing w:after="0" w:line="153" w:lineRule="exact"/>
              <w:rPr>
                <w:sz w:val="20"/>
                <w:szCs w:val="20"/>
                <w:color w:val="auto"/>
              </w:rPr>
            </w:pPr>
            <w:r>
              <w:rPr>
                <w:rFonts w:ascii="Arial" w:cs="Arial" w:eastAsia="Arial" w:hAnsi="Arial"/>
                <w:sz w:val="14"/>
                <w:szCs w:val="14"/>
                <w:color w:val="auto"/>
              </w:rPr>
              <w:t>share</w:t>
            </w:r>
          </w:p>
        </w:tc>
        <w:tc>
          <w:tcPr>
            <w:tcW w:w="240" w:type="dxa"/>
            <w:vAlign w:val="bottom"/>
          </w:tcPr>
          <w:p>
            <w:pPr>
              <w:spacing w:after="0"/>
              <w:rPr>
                <w:sz w:val="13"/>
                <w:szCs w:val="13"/>
                <w:color w:val="auto"/>
              </w:rPr>
            </w:pPr>
          </w:p>
        </w:tc>
        <w:tc>
          <w:tcPr>
            <w:tcW w:w="700" w:type="dxa"/>
            <w:vAlign w:val="bottom"/>
          </w:tcPr>
          <w:p>
            <w:pPr>
              <w:jc w:val="right"/>
              <w:ind w:right="368"/>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540"/>
              <w:spacing w:after="0" w:line="153" w:lineRule="exact"/>
              <w:rPr>
                <w:sz w:val="20"/>
                <w:szCs w:val="20"/>
                <w:color w:val="auto"/>
              </w:rPr>
            </w:pPr>
            <w:r>
              <w:rPr>
                <w:rFonts w:ascii="Arial" w:cs="Arial" w:eastAsia="Arial" w:hAnsi="Arial"/>
                <w:sz w:val="14"/>
                <w:szCs w:val="14"/>
                <w:color w:val="auto"/>
              </w:rPr>
              <w:t>share</w:t>
            </w:r>
          </w:p>
        </w:tc>
        <w:tc>
          <w:tcPr>
            <w:tcW w:w="240" w:type="dxa"/>
            <w:vAlign w:val="bottom"/>
          </w:tcPr>
          <w:p>
            <w:pPr>
              <w:spacing w:after="0"/>
              <w:rPr>
                <w:sz w:val="13"/>
                <w:szCs w:val="13"/>
                <w:color w:val="auto"/>
              </w:rPr>
            </w:pPr>
          </w:p>
        </w:tc>
        <w:tc>
          <w:tcPr>
            <w:tcW w:w="700" w:type="dxa"/>
            <w:vAlign w:val="bottom"/>
          </w:tcPr>
          <w:p>
            <w:pPr>
              <w:jc w:val="right"/>
              <w:ind w:right="368"/>
              <w:spacing w:after="0" w:line="15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0"/>
              <w:spacing w:after="0" w:line="153" w:lineRule="exact"/>
              <w:rPr>
                <w:sz w:val="20"/>
                <w:szCs w:val="20"/>
                <w:color w:val="auto"/>
              </w:rPr>
            </w:pPr>
            <w:r>
              <w:rPr>
                <w:rFonts w:ascii="Arial" w:cs="Arial" w:eastAsia="Arial" w:hAnsi="Arial"/>
                <w:sz w:val="14"/>
                <w:szCs w:val="14"/>
                <w:color w:val="auto"/>
              </w:rPr>
              <w:t>share</w:t>
            </w:r>
          </w:p>
        </w:tc>
      </w:tr>
      <w:tr>
        <w:trPr>
          <w:trHeight w:val="20"/>
        </w:trPr>
        <w:tc>
          <w:tcPr>
            <w:tcW w:w="600" w:type="dxa"/>
            <w:vAlign w:val="bottom"/>
            <w:tcBorders>
              <w:bottom w:val="single" w:sz="8" w:color="CFF0FC"/>
            </w:tcBorders>
            <w:shd w:val="clear" w:color="auto" w:fill="000000"/>
          </w:tcPr>
          <w:p>
            <w:pPr>
              <w:spacing w:after="0" w:line="20" w:lineRule="exact"/>
              <w:rPr>
                <w:sz w:val="1"/>
                <w:szCs w:val="1"/>
                <w:color w:val="auto"/>
              </w:rPr>
            </w:pPr>
          </w:p>
        </w:tc>
        <w:tc>
          <w:tcPr>
            <w:tcW w:w="1540" w:type="dxa"/>
            <w:vAlign w:val="bottom"/>
            <w:tcBorders>
              <w:bottom w:val="single" w:sz="8" w:color="CFF0FC"/>
            </w:tcBorders>
            <w:shd w:val="clear" w:color="auto" w:fill="000000"/>
          </w:tcPr>
          <w:p>
            <w:pPr>
              <w:spacing w:after="0" w:line="20" w:lineRule="exact"/>
              <w:rPr>
                <w:sz w:val="1"/>
                <w:szCs w:val="1"/>
                <w:color w:val="auto"/>
              </w:rPr>
            </w:pPr>
          </w:p>
        </w:tc>
        <w:tc>
          <w:tcPr>
            <w:tcW w:w="24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49"/>
        </w:trPr>
        <w:tc>
          <w:tcPr>
            <w:tcW w:w="460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Loss before tax provision, on a GAAP basis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(13,581)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(0.28)</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(21,398)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(0.44)</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(2,090)</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2"/>
                <w:szCs w:val="12"/>
                <w:color w:val="auto"/>
              </w:rPr>
            </w:pPr>
          </w:p>
        </w:tc>
      </w:tr>
      <w:tr>
        <w:trPr>
          <w:trHeight w:val="162"/>
        </w:trPr>
        <w:tc>
          <w:tcPr>
            <w:tcW w:w="4600" w:type="dxa"/>
            <w:vAlign w:val="bottom"/>
            <w:gridSpan w:val="3"/>
          </w:tcPr>
          <w:p>
            <w:pPr>
              <w:spacing w:after="0"/>
              <w:rPr>
                <w:sz w:val="20"/>
                <w:szCs w:val="20"/>
                <w:color w:val="auto"/>
              </w:rPr>
            </w:pPr>
            <w:r>
              <w:rPr>
                <w:rFonts w:ascii="Arial" w:cs="Arial" w:eastAsia="Arial" w:hAnsi="Arial"/>
                <w:sz w:val="14"/>
                <w:szCs w:val="14"/>
                <w:color w:val="auto"/>
              </w:rPr>
              <w:t>Provision (benefit) for income taxes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(2,572)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(0.05)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166</w:t>
            </w:r>
          </w:p>
        </w:tc>
        <w:tc>
          <w:tcPr>
            <w:tcW w:w="26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4"/>
                <w:szCs w:val="14"/>
                <w:color w:val="auto"/>
              </w:rPr>
            </w:pPr>
          </w:p>
        </w:tc>
      </w:tr>
      <w:tr>
        <w:trPr>
          <w:trHeight w:val="155"/>
        </w:trPr>
        <w:tc>
          <w:tcPr>
            <w:tcW w:w="4600" w:type="dxa"/>
            <w:vAlign w:val="bottom"/>
            <w:tcBorders>
              <w:top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Net loss, on a GAAP basis</w:t>
            </w: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(13,531)</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(0.28)</w:t>
            </w: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(18,826)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(0.39)</w:t>
            </w: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(2,256)</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460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Add back:</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600" w:type="dxa"/>
            <w:vAlign w:val="bottom"/>
            <w:gridSpan w:val="3"/>
          </w:tcPr>
          <w:p>
            <w:pPr>
              <w:spacing w:after="0" w:line="155" w:lineRule="exact"/>
              <w:rPr>
                <w:sz w:val="20"/>
                <w:szCs w:val="20"/>
                <w:color w:val="auto"/>
              </w:rPr>
            </w:pPr>
            <w:r>
              <w:rPr>
                <w:rFonts w:ascii="Arial" w:cs="Arial" w:eastAsia="Arial" w:hAnsi="Arial"/>
                <w:sz w:val="14"/>
                <w:szCs w:val="14"/>
                <w:color w:val="auto"/>
              </w:rPr>
              <w:t>Impairment of assets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4,579</w:t>
            </w:r>
          </w:p>
        </w:tc>
        <w:tc>
          <w:tcPr>
            <w:tcW w:w="16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0.09</w:t>
            </w:r>
          </w:p>
        </w:tc>
        <w:tc>
          <w:tcPr>
            <w:tcW w:w="28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4,095</w:t>
            </w:r>
          </w:p>
        </w:tc>
        <w:tc>
          <w:tcPr>
            <w:tcW w:w="16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0.08</w:t>
            </w:r>
          </w:p>
        </w:tc>
        <w:tc>
          <w:tcPr>
            <w:tcW w:w="28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376</w:t>
            </w:r>
          </w:p>
        </w:tc>
        <w:tc>
          <w:tcPr>
            <w:tcW w:w="26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3"/>
                <w:szCs w:val="13"/>
                <w:color w:val="auto"/>
              </w:rPr>
            </w:pPr>
          </w:p>
        </w:tc>
      </w:tr>
      <w:tr>
        <w:trPr>
          <w:trHeight w:val="162"/>
        </w:trPr>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Corporate restructuring</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600" w:type="dxa"/>
            <w:vAlign w:val="bottom"/>
            <w:gridSpan w:val="3"/>
          </w:tcPr>
          <w:p>
            <w:pPr>
              <w:spacing w:after="0"/>
              <w:rPr>
                <w:sz w:val="20"/>
                <w:szCs w:val="20"/>
                <w:color w:val="auto"/>
              </w:rPr>
            </w:pPr>
            <w:r>
              <w:rPr>
                <w:rFonts w:ascii="Arial" w:cs="Arial" w:eastAsia="Arial" w:hAnsi="Arial"/>
                <w:sz w:val="14"/>
                <w:szCs w:val="14"/>
                <w:color w:val="auto"/>
              </w:rPr>
              <w:t>CEO transition costs</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2,404</w:t>
            </w:r>
          </w:p>
        </w:tc>
        <w:tc>
          <w:tcPr>
            <w:tcW w:w="1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Actual provision (benefit) for income taxes</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(0.00)</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(2,572)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(0.05)</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26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FF0FC"/>
          </w:tcPr>
          <w:p>
            <w:pPr>
              <w:spacing w:after="0"/>
              <w:rPr>
                <w:sz w:val="14"/>
                <w:szCs w:val="14"/>
                <w:color w:val="auto"/>
              </w:rPr>
            </w:pPr>
          </w:p>
        </w:tc>
      </w:tr>
      <w:tr>
        <w:trPr>
          <w:trHeight w:val="155"/>
        </w:trPr>
        <w:tc>
          <w:tcPr>
            <w:tcW w:w="4600" w:type="dxa"/>
            <w:vAlign w:val="bottom"/>
            <w:gridSpan w:val="3"/>
          </w:tcPr>
          <w:p>
            <w:pPr>
              <w:spacing w:after="0" w:line="155" w:lineRule="exact"/>
              <w:rPr>
                <w:sz w:val="20"/>
                <w:szCs w:val="20"/>
                <w:color w:val="auto"/>
              </w:rPr>
            </w:pPr>
            <w:r>
              <w:rPr>
                <w:rFonts w:ascii="Arial" w:cs="Arial" w:eastAsia="Arial" w:hAnsi="Arial"/>
                <w:sz w:val="14"/>
                <w:szCs w:val="14"/>
                <w:color w:val="auto"/>
              </w:rPr>
              <w:t>Adjusted loss before income taxes</w:t>
            </w: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(4,694)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(0.10)</w:t>
            </w:r>
          </w:p>
        </w:tc>
        <w:tc>
          <w:tcPr>
            <w:tcW w:w="2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(17,303)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(0.35)</w:t>
            </w:r>
          </w:p>
        </w:tc>
        <w:tc>
          <w:tcPr>
            <w:tcW w:w="2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(1,714)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3"/>
                <w:szCs w:val="13"/>
                <w:color w:val="auto"/>
              </w:rPr>
            </w:pPr>
          </w:p>
        </w:tc>
      </w:tr>
      <w:tr>
        <w:trPr>
          <w:trHeight w:val="143"/>
        </w:trPr>
        <w:tc>
          <w:tcPr>
            <w:tcW w:w="4600" w:type="dxa"/>
            <w:vAlign w:val="bottom"/>
            <w:gridSpan w:val="3"/>
            <w:shd w:val="clear" w:color="auto" w:fill="CFF0FC"/>
          </w:tcPr>
          <w:p>
            <w:pPr>
              <w:spacing w:after="0" w:line="143" w:lineRule="exact"/>
              <w:rPr>
                <w:sz w:val="20"/>
                <w:szCs w:val="20"/>
                <w:color w:val="auto"/>
              </w:rPr>
            </w:pPr>
            <w:r>
              <w:rPr>
                <w:rFonts w:ascii="Arial" w:cs="Arial" w:eastAsia="Arial" w:hAnsi="Arial"/>
                <w:sz w:val="14"/>
                <w:szCs w:val="14"/>
                <w:color w:val="auto"/>
              </w:rPr>
              <w:t>Income tax benefit, assuming a normalized tax rate of 26%, with no AMT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Benefit in 2017</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(4,499)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(0.09)</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(446)</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(0.01)</w:t>
            </w:r>
          </w:p>
        </w:tc>
      </w:tr>
      <w:tr>
        <w:trPr>
          <w:trHeight w:val="155"/>
        </w:trPr>
        <w:tc>
          <w:tcPr>
            <w:tcW w:w="460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(0.07)</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(0.26)</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(1,268)</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calculate free cash flow as cash flow provided by operating activities less capital expenditures. Free cash flow excludes the mandatory and discretionary repayment of debt. The following table provides a reconciliation of free cash flow: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color w:val="auto"/>
              </w:rPr>
              <w:t>Fiscal 2018</w:t>
            </w:r>
          </w:p>
        </w:tc>
        <w:tc>
          <w:tcPr>
            <w:tcW w:w="26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color w:val="auto"/>
              </w:rPr>
              <w:t>Fiscal 2017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2016</w:t>
            </w:r>
          </w:p>
        </w:tc>
      </w:tr>
      <w:tr>
        <w:trPr>
          <w:trHeight w:val="149"/>
        </w:trPr>
        <w:tc>
          <w:tcPr>
            <w:tcW w:w="614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Cash flow from operating activities (GAAP)</w:t>
            </w:r>
            <w:r>
              <w:rPr>
                <w:rFonts w:ascii="Arial" w:cs="Arial" w:eastAsia="Arial" w:hAnsi="Arial"/>
                <w:sz w:val="12"/>
                <w:szCs w:val="12"/>
                <w:color w:val="auto"/>
              </w:rPr>
              <w:t>(1)</w:t>
            </w:r>
          </w:p>
        </w:tc>
        <w:tc>
          <w:tcPr>
            <w:tcW w:w="260" w:type="dxa"/>
            <w:vAlign w:val="bottom"/>
            <w:tcBorders>
              <w:top w:val="single" w:sz="8" w:color="auto"/>
            </w:tcBorders>
            <w:shd w:val="clear" w:color="auto" w:fill="CFF0F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15.7</w:t>
            </w: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31.0</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5"/>
                <w:szCs w:val="5"/>
                <w:color w:val="auto"/>
                <w:w w:val="70"/>
              </w:rPr>
              <w:t>$</w:t>
            </w:r>
          </w:p>
        </w:tc>
        <w:tc>
          <w:tcPr>
            <w:tcW w:w="13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35.0</w:t>
            </w:r>
          </w:p>
        </w:tc>
        <w:tc>
          <w:tcPr>
            <w:tcW w:w="180" w:type="dxa"/>
            <w:vAlign w:val="bottom"/>
            <w:tcBorders>
              <w:top w:val="single" w:sz="8" w:color="CFF0FC"/>
            </w:tcBorders>
            <w:shd w:val="clear" w:color="auto" w:fill="CFF0FC"/>
          </w:tcPr>
          <w:p>
            <w:pPr>
              <w:spacing w:after="0"/>
              <w:rPr>
                <w:sz w:val="12"/>
                <w:szCs w:val="12"/>
                <w:color w:val="auto"/>
              </w:rPr>
            </w:pPr>
          </w:p>
        </w:tc>
      </w:tr>
      <w:tr>
        <w:trPr>
          <w:trHeight w:val="162"/>
        </w:trPr>
        <w:tc>
          <w:tcPr>
            <w:tcW w:w="614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6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(9.6)</w:t>
            </w:r>
          </w:p>
        </w:tc>
      </w:tr>
      <w:tr>
        <w:trPr>
          <w:trHeight w:val="162"/>
        </w:trPr>
        <w:tc>
          <w:tcPr>
            <w:tcW w:w="6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Capital expenditures for DXL stores and acquisition of DXL domain name</w:t>
            </w:r>
          </w:p>
        </w:tc>
        <w:tc>
          <w:tcPr>
            <w:tcW w:w="2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(12.9)</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(19.6)</w:t>
            </w:r>
          </w:p>
        </w:tc>
      </w:tr>
      <w:tr>
        <w:trPr>
          <w:trHeight w:val="155"/>
        </w:trPr>
        <w:tc>
          <w:tcPr>
            <w:tcW w:w="61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Free Cash Flow (non-GAAP)</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18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0" w:lineRule="exact"/>
        <w:rPr>
          <w:sz w:val="20"/>
          <w:szCs w:val="20"/>
          <w:color w:val="auto"/>
        </w:rPr>
      </w:pPr>
    </w:p>
    <w:p>
      <w:pPr>
        <w:ind w:left="1220" w:hanging="835"/>
        <w:spacing w:after="0"/>
        <w:tabs>
          <w:tab w:leader="none" w:pos="1220" w:val="left"/>
        </w:tabs>
        <w:numPr>
          <w:ilvl w:val="0"/>
          <w:numId w:val="12"/>
        </w:numPr>
        <w:rPr>
          <w:rFonts w:ascii="Arial" w:cs="Arial" w:eastAsia="Arial" w:hAnsi="Arial"/>
          <w:sz w:val="16"/>
          <w:szCs w:val="16"/>
          <w:i w:val="1"/>
          <w:iCs w:val="1"/>
          <w:color w:val="auto"/>
        </w:rPr>
      </w:pPr>
      <w:r>
        <w:rPr>
          <w:rFonts w:ascii="Arial" w:cs="Arial" w:eastAsia="Arial" w:hAnsi="Arial"/>
          <w:sz w:val="16"/>
          <w:szCs w:val="16"/>
          <w:color w:val="auto"/>
        </w:rPr>
        <w:t>Cash flow from operating activities includes lease incentives received against our capital expenditures.</w:t>
      </w:r>
    </w:p>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EBITDA and Adjusted EBITDA</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EBITDA and Adjusted EBITDA are presented because we believe that these measures are useful to investors in evaluating our performance. With the significant capital investment associated with the DXL transformation, which has resulted in increased levels of depreciation expense, management uses EBITDA as a key metric to measure profitability and economic productivity.</w:t>
      </w:r>
    </w:p>
    <w:p>
      <w:pPr>
        <w:spacing w:after="0" w:line="1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EBITDA is calculated as earnings before interest, taxes, depreciation and amortization. Adjusted EBITDA is calculated as EBITDA before impairment charges, CEO transition costs and corporate restructuring.</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is a reconciliation of net loss on a GAAP basis to EBITDA and Adjusted EBITDA, on a non-GAAP basis, for each fiscal year. (Certain amounts in the following table do not foot due to rounding):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color w:val="auto"/>
              </w:rPr>
              <w:t>Fiscal 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color w:val="auto"/>
              </w:rPr>
              <w:t>Fiscal 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Fiscal 2016</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6"/>
                <w:szCs w:val="16"/>
                <w:color w:val="auto"/>
              </w:rPr>
              <w:t>Net loss, on a GAAP basis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500" w:type="dxa"/>
            <w:vAlign w:val="bottom"/>
            <w:gridSpan w:val="2"/>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(13.5)</w:t>
            </w: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(18.8)</w:t>
            </w: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back:</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00" w:type="dxa"/>
            <w:vAlign w:val="bottom"/>
            <w:gridSpan w:val="2"/>
          </w:tcPr>
          <w:p>
            <w:pPr>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EBITDA</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gridSpan w:val="2"/>
          </w:tcPr>
          <w:p>
            <w:pPr>
              <w:spacing w:after="0"/>
              <w:rPr>
                <w:sz w:val="20"/>
                <w:szCs w:val="20"/>
                <w:color w:val="auto"/>
              </w:rPr>
            </w:pPr>
            <w:r>
              <w:rPr>
                <w:rFonts w:ascii="Arial" w:cs="Arial" w:eastAsia="Arial" w:hAnsi="Arial"/>
                <w:sz w:val="16"/>
                <w:szCs w:val="16"/>
                <w:color w:val="auto"/>
              </w:rPr>
              <w:t>Add back: Corporate restructuring</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back: CEO transition costs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Add back: Impairment charges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CRITICAL ACCOUNTING POLICIES; USE OF ESTIMATES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measure compensation cost for all stock-based awards at fair value on date of grant and recognize compensation over the service period for awards expected to vest.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fair value of our stock options is determined using the Black-Scholes valuation model, which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For fiscal 2018, 2017 and 2016, we recognized total stock-based compensation expense of $2.0 million, $1.6 million and $1.3 million, respectively.</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Incentive Plans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During fiscal 2018, we had two active Long-Term Incentive Plans (“LTIPs”): The 2017-2018 LTIP and the 2018-2020 LTIP. </w:t>
      </w:r>
      <w:r>
        <w:rPr>
          <w:rFonts w:ascii="Arial" w:cs="Arial" w:eastAsia="Arial" w:hAnsi="Arial"/>
          <w:sz w:val="18"/>
          <w:szCs w:val="18"/>
          <w:color w:val="212121"/>
        </w:rPr>
        <w:t>See Note G to the 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 for additional discussion of our LTIPs.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time-based awards granted pursuant to our LTIPs are amortized, over each LTIP’s respective vesting periods.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121"/>
        </w:rPr>
        <w:t>Our LTIPs contain a dollar-denominated performance-based component. Equity awards will only be granted if such performance targets are achieved. Accordingly, each quarter the Company reviews its expected achievement against such performance targets to assess whether an accrual is necessary. All accruals are recorded as a liability. If performance targets are achieved and equity awards are granted, the related cost of those awards will be reclassified from the accrual to stock-based compensation on grant date.</w:t>
      </w:r>
    </w:p>
    <w:p>
      <w:pPr>
        <w:spacing w:after="0" w:line="18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212121"/>
        </w:rPr>
        <w:t>For fiscal 2018, the Company accrued as a liability approximately $0.4 million based on partial achievement of the performance targets under the 2017-2018 LTIP. Subsequent to year-end, on March 19, 2019, the Compensation Committee of the Board of Directors reviewed the results for fiscal 2018 and approved the grant of restricted stock unit awards totaling $0.5 million. All awards are subject to further vesting through August 31, 2019.</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With respect to the performance-based component of the 2018-2020 LTIP, which approximates $2.0 million at target, RSUs will be granted at the end of the performance period if the performance targets are achieved. Through the end of fiscal 2018, we have accrued approximately $0.1 million for the achievement of these performance targets.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Inventory</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throughout the year and adjust the shrink reserves accordingly.</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37" w:name="page38"/>
    <w:bookmarkEnd w:id="37"/>
    <w:p>
      <w:pPr>
        <w:ind w:right="60"/>
        <w:spacing w:after="0" w:line="263" w:lineRule="auto"/>
        <w:rPr>
          <w:sz w:val="20"/>
          <w:szCs w:val="20"/>
          <w:color w:val="auto"/>
        </w:rPr>
      </w:pPr>
      <w:r>
        <w:rPr>
          <w:rFonts w:ascii="Arial" w:cs="Arial" w:eastAsia="Arial" w:hAnsi="Arial"/>
          <w:sz w:val="18"/>
          <w:szCs w:val="18"/>
          <w:color w:val="auto"/>
        </w:rPr>
        <w:t>For fiscal 2018, fiscal 2017 and fiscal 2016, we recorded impairment charges of $3.1 million, $4.1 million and $0.4 million respectively, to write-down property and equipment. The impairment charges primarily related to stores with carrying values that exceeded fair value. Fiscal 2017 included the write-off of $1.9 million for certain technology projects that were abandoned.</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 lives at least annually for impairment by analyzing the estimated fair value.</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fourth quarter of fiscal 2018, the Company made the decision to close its five Rochester Clothing stores during fiscal 2019. This was a real estate decision that was driven by the high occupancy costs associated with these prime locations. While the Company will continue to sell its Rochester branded merchandise in its DXL stores and e-commerce site, in the fourth quarter of fiscal 2018, the Company determined that, without the cash flows from its five Rochester branded retail locations, the “Rochester” trademark was impaired. As a result, in the fourth quarter of fiscal 2018, the Company recorded an impairment charge of $1.5 million to write-off the trademark.</w:t>
      </w:r>
    </w:p>
    <w:p>
      <w:pPr>
        <w:spacing w:after="0" w:line="19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212121"/>
        </w:rPr>
        <w:t xml:space="preserve">In December 2018, the Company purchased the rights to the </w:t>
      </w:r>
      <w:r>
        <w:rPr>
          <w:rFonts w:ascii="Arial" w:cs="Arial" w:eastAsia="Arial" w:hAnsi="Arial"/>
          <w:sz w:val="18"/>
          <w:szCs w:val="18"/>
          <w:color w:val="252525"/>
        </w:rPr>
        <w:t>domain</w:t>
      </w:r>
      <w:r>
        <w:rPr>
          <w:rFonts w:ascii="Arial" w:cs="Arial" w:eastAsia="Arial" w:hAnsi="Arial"/>
          <w:sz w:val="18"/>
          <w:szCs w:val="18"/>
          <w:color w:val="212121"/>
        </w:rPr>
        <w:t xml:space="preserve"> “dxl.com”, at a </w:t>
      </w:r>
      <w:r>
        <w:rPr>
          <w:rFonts w:ascii="Arial" w:cs="Arial" w:eastAsia="Arial" w:hAnsi="Arial"/>
          <w:sz w:val="18"/>
          <w:szCs w:val="18"/>
          <w:color w:val="252525"/>
        </w:rPr>
        <w:t>purchase</w:t>
      </w:r>
      <w:r>
        <w:rPr>
          <w:rFonts w:ascii="Arial" w:cs="Arial" w:eastAsia="Arial" w:hAnsi="Arial"/>
          <w:sz w:val="18"/>
          <w:szCs w:val="18"/>
          <w:color w:val="212121"/>
        </w:rPr>
        <w:t xml:space="preserve"> price of $1.0 million, plus transaction costs of $150,000. The domain “dxl.com” will be used as the main landing page for the Company’s direct business. As of February 2, 2019, the Company determined that this domain has an indefinite useful life. The Company will assess this intangible asset annually for impairment</w:t>
      </w:r>
      <w:r>
        <w:rPr>
          <w:rFonts w:ascii="Arial" w:cs="Arial" w:eastAsia="Arial" w:hAnsi="Arial"/>
          <w:sz w:val="18"/>
          <w:szCs w:val="18"/>
          <w:color w:val="000000"/>
        </w:rPr>
        <w:t>.</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1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fourth quarter of fiscal 2013, we entered into a three-year cumulative loss position and based on forecasts at that time, we expected the cumulative three-year loss to increase as of the end of fiscal 2014. Management determined that this represented significant negative evidence at February 1, 2014 and a full valuation allowance was established against our net deferred tax assets. While we have projected that the Company will return to profitability, generate taxable income and ultimately emerge from a three-year cumulative loss, based on actual results for fiscal 2018 and our forecast for fiscal 2019, we believe that a full allowance remains appropriate at this time.</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effective tax rates could be affected by numerous factors, such as changes in our deferred tax assets and liabilities and their valuation, and changes in the relevant tax, accounting, and other laws, regulations, administrative practices, principles, and interpretation. The 2017 Tax Act significantly changed how corporations are taxed in the United States. The U.S. Treasury Department, the IRS, and other standard-setting bodies may continue to interpret or issue guidance on how provisions of the 2017 Tax Act will be applied or otherwise administered that is different from our interpretation. However, we do not expect that any subsequent interpretations or adjustments will have a material impact on our financial results.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See Note A to the Consolidated Financial Statements included in this report for information on recent accounting pronouncements and the impact of impending standards on our future filings.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 At February 2, 2019, we had outstanding borrowings of approximately $42.3 million, of which approximately $36.0 million were in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38" w:name="page39"/>
    <w:bookmarkEnd w:id="38"/>
    <w:p>
      <w:pPr>
        <w:ind w:right="420"/>
        <w:spacing w:after="0" w:line="307" w:lineRule="auto"/>
        <w:rPr>
          <w:sz w:val="20"/>
          <w:szCs w:val="20"/>
          <w:color w:val="auto"/>
        </w:rPr>
      </w:pPr>
      <w:r>
        <w:rPr>
          <w:rFonts w:ascii="Arial" w:cs="Arial" w:eastAsia="Arial" w:hAnsi="Arial"/>
          <w:sz w:val="17"/>
          <w:szCs w:val="17"/>
          <w:color w:val="auto"/>
        </w:rPr>
        <w:t>LIBOR-based contracts with an interest rate of approximately 3.69%. The remainder was prime-based borrowings, with a rate of 5.75%. At February 2, 2019, the $15.0 million outstanding borrowings under the FILO loan were in a LIBOR-based contract with an interest rate of 5.29%.</w:t>
      </w:r>
    </w:p>
    <w:p>
      <w:pPr>
        <w:spacing w:after="0" w:line="14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Based upon a sensitivity analysis as of February 2, 2019, assuming average outstanding borrowings during fiscal 2018 of $54.1 million under our Credit Facility and $15.0 million outstanding under our FILO loan, a 50 basis point increase in interest rates would have increased interest expense by approximately $0.3 million on an annualized basis.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Toronto, Canada conduct business in Canadian dollars. As of February 2, 2019, sales from these stores were immaterial to consolidated sales. As such, we believe that movement in foreign currency exchange rates will not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60" w:type="dxa"/>
            <w:vAlign w:val="bottom"/>
            <w:gridSpan w:val="11"/>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60" w:type="dxa"/>
            <w:vAlign w:val="bottom"/>
            <w:gridSpan w:val="11"/>
            <w:vMerge w:val="continue"/>
          </w:tcPr>
          <w:p>
            <w:pPr>
              <w:spacing w:after="0"/>
              <w:rPr>
                <w:sz w:val="14"/>
                <w:szCs w:val="14"/>
                <w:color w:val="auto"/>
              </w:rPr>
            </w:pPr>
          </w:p>
        </w:tc>
        <w:tc>
          <w:tcPr>
            <w:tcW w:w="560" w:type="dxa"/>
            <w:vAlign w:val="bottom"/>
          </w:tcPr>
          <w:p>
            <w:pPr>
              <w:ind w:left="140"/>
              <w:spacing w:after="0" w:line="16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79"/>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74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1052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February 2, 2019 and February 3, 2018</w:t>
              </w:r>
            </w:hyperlink>
          </w:p>
        </w:tc>
        <w:tc>
          <w:tcPr>
            <w:tcW w:w="560" w:type="dxa"/>
            <w:vAlign w:val="bottom"/>
          </w:tcPr>
          <w:p>
            <w:pPr>
              <w:ind w:lef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0" w:type="dxa"/>
            <w:vAlign w:val="bottom"/>
          </w:tcPr>
          <w:p>
            <w:pPr>
              <w:spacing w:after="0"/>
              <w:rPr>
                <w:sz w:val="24"/>
                <w:szCs w:val="24"/>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Operations for the Fiscal Years Ended February 2, 2019, February 3, 2018 and January 28, 2017</w:t>
              </w:r>
            </w:hyperlink>
          </w:p>
        </w:tc>
        <w:tc>
          <w:tcPr>
            <w:tcW w:w="1580" w:type="dxa"/>
            <w:vAlign w:val="bottom"/>
            <w:gridSpan w:val="4"/>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7"/>
        </w:trPr>
        <w:tc>
          <w:tcPr>
            <w:tcW w:w="440" w:type="dxa"/>
            <w:vAlign w:val="bottom"/>
          </w:tcPr>
          <w:p>
            <w:pPr>
              <w:spacing w:after="0"/>
              <w:rPr>
                <w:sz w:val="24"/>
                <w:szCs w:val="24"/>
                <w:color w:val="auto"/>
              </w:rPr>
            </w:pPr>
          </w:p>
        </w:tc>
        <w:tc>
          <w:tcPr>
            <w:tcW w:w="10520" w:type="dxa"/>
            <w:vAlign w:val="bottom"/>
            <w:gridSpan w:val="10"/>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Comprehensive Income (Loss) for the Fiscal Years Ended February 2, 2019, February 3, 2018 and January 28, 2017</w:t>
              </w:r>
            </w:hyperlink>
          </w:p>
        </w:tc>
        <w:tc>
          <w:tcPr>
            <w:tcW w:w="560" w:type="dxa"/>
            <w:vAlign w:val="bottom"/>
          </w:tcPr>
          <w:p>
            <w:pPr>
              <w:ind w:lef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7"/>
        </w:trPr>
        <w:tc>
          <w:tcPr>
            <w:tcW w:w="440" w:type="dxa"/>
            <w:vAlign w:val="bottom"/>
          </w:tcPr>
          <w:p>
            <w:pPr>
              <w:spacing w:after="0"/>
              <w:rPr>
                <w:sz w:val="24"/>
                <w:szCs w:val="24"/>
                <w:color w:val="auto"/>
              </w:rPr>
            </w:pPr>
          </w:p>
        </w:tc>
        <w:tc>
          <w:tcPr>
            <w:tcW w:w="10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Changes in Stockholders’ Equity for the Fiscal Years Ended February 2, 2019, February 3, 2018 and January 28,</w:t>
              </w:r>
            </w:hyperlink>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2017</w:t>
              </w:r>
            </w:hyperlink>
          </w:p>
        </w:tc>
        <w:tc>
          <w:tcPr>
            <w:tcW w:w="2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ind w:left="1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40" w:type="dxa"/>
            <w:vAlign w:val="bottom"/>
          </w:tcPr>
          <w:p>
            <w:pPr>
              <w:spacing w:after="0"/>
              <w:rPr>
                <w:sz w:val="24"/>
                <w:szCs w:val="24"/>
                <w:color w:val="auto"/>
              </w:rPr>
            </w:pPr>
          </w:p>
        </w:tc>
        <w:tc>
          <w:tcPr>
            <w:tcW w:w="90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 for the Fiscal Years Ended February 2, 2019, February 3, 2018 and January 28, 2017</w:t>
              </w:r>
            </w:hyperlink>
          </w:p>
        </w:tc>
        <w:tc>
          <w:tcPr>
            <w:tcW w:w="1520" w:type="dxa"/>
            <w:vAlign w:val="bottom"/>
            <w:gridSpan w:val="3"/>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7"/>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7800" w:type="dxa"/>
            <w:vAlign w:val="bottom"/>
            <w:gridSpan w:val="7"/>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243" w:right="139" w:bottom="1440" w:gutter="0" w:footer="0" w:header="0"/>
        </w:sectPr>
      </w:pPr>
    </w:p>
    <w:bookmarkStart w:id="40" w:name="page41"/>
    <w:bookmarkEnd w:id="4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We have audited the accompanying consolidated balance sheets of Destination XL Group, Inc. and subsidiaries (the Company) as of February 2, 2019 and February 3, 2018, the related consolidated statements of operations, comprehensive income (loss), changes in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February 2, 2019, and the related notes (collectively, the consolidated financial statements). In our opinion, the consolidated financial statements present fairly, in all material respects, the financial position of the Company as of February 2, 2019 and February 3,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February 2, 2019, in conformity with U.S. generally accepted accounting principles.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2, 2019, based on criteria established in Internal Control – Integrated Framework (2013) issued by the Committee of Sponsoring Organizations of the Treadway Commission, and our report dated March 22, 2019 expressed an unqualified opinion on the effectiveness of the Company’s internal control over financial reporting.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February 2, 2019 and February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color w:val="auto"/>
                <w:w w:val="99"/>
              </w:rPr>
              <w:t>February 2, 2019</w:t>
            </w:r>
          </w:p>
        </w:tc>
        <w:tc>
          <w:tcPr>
            <w:tcW w:w="20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February 3, 2018</w:t>
            </w:r>
          </w:p>
        </w:tc>
      </w:tr>
      <w:tr>
        <w:trPr>
          <w:trHeight w:val="167"/>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2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106,837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103,332</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121,667</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226,076</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gain on sale-leaseback</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34,418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Borrowings under credit facility</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107,931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109,814</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10,669</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and lease incentives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Deferred gain on sale-leaseback, net of current portion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8,793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60,605</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Common stock, $0.01 par value, 100,000,000 shares authorized, 62,241,834 and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61,485,882 shares issued at February 2, 2019 and February 3, 2018, respectively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307,557</w:t>
            </w:r>
          </w:p>
        </w:tc>
        <w:tc>
          <w:tcPr>
            <w:tcW w:w="120" w:type="dxa"/>
            <w:vAlign w:val="bottom"/>
            <w:shd w:val="clear" w:color="auto" w:fill="CFF0FC"/>
          </w:tcPr>
          <w:p>
            <w:pPr>
              <w:spacing w:after="0"/>
              <w:rPr>
                <w:sz w:val="19"/>
                <w:szCs w:val="19"/>
                <w:color w:val="auto"/>
              </w:rPr>
            </w:pP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w w:val="97"/>
              </w:rPr>
              <w:t>Treasury stock at cost, 12,755,873 shares at February 2, 2019 and February 3, 2018, respectively</w:t>
            </w:r>
          </w:p>
        </w:tc>
        <w:tc>
          <w:tcPr>
            <w:tcW w:w="1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(92,658)</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(92,658)</w:t>
            </w:r>
          </w:p>
        </w:tc>
      </w:tr>
      <w:tr>
        <w:trPr>
          <w:trHeight w:val="229"/>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(153,534)</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(139,285)</w:t>
            </w:r>
          </w:p>
        </w:tc>
      </w:tr>
      <w:tr>
        <w:trPr>
          <w:trHeight w:val="229"/>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(6,183)</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(6,243)</w:t>
            </w: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226,076</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2019, February 3, 2018 and January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color w:val="auto"/>
                <w:w w:val="93"/>
              </w:rPr>
              <w:t>February 2, 2019</w:t>
            </w:r>
          </w:p>
        </w:tc>
        <w:tc>
          <w:tcPr>
            <w:tcW w:w="12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color w:val="auto"/>
                <w:w w:val="95"/>
              </w:rPr>
              <w:t>February 3,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January 28, 2017</w:t>
            </w:r>
          </w:p>
        </w:tc>
      </w:tr>
      <w:tr>
        <w:trPr>
          <w:trHeight w:val="167"/>
        </w:trPr>
        <w:tc>
          <w:tcPr>
            <w:tcW w:w="5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2018)</w:t>
            </w:r>
          </w:p>
        </w:tc>
        <w:tc>
          <w:tcPr>
            <w:tcW w:w="1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(Fiscal 2016)</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473,756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467,976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450,283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262,467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245,402</w:t>
            </w:r>
          </w:p>
        </w:tc>
        <w:tc>
          <w:tcPr>
            <w:tcW w:w="12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211,289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183,868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193,230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173,283</w:t>
            </w: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restructuring charge and CEO transition costs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Impairment of assets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30,245</w:t>
            </w:r>
          </w:p>
        </w:tc>
        <w:tc>
          <w:tcPr>
            <w:tcW w:w="120" w:type="dxa"/>
            <w:vAlign w:val="bottom"/>
            <w:shd w:val="clear" w:color="auto" w:fill="CFF0FC"/>
          </w:tcPr>
          <w:p>
            <w:pPr>
              <w:spacing w:after="0"/>
              <w:rPr>
                <w:sz w:val="19"/>
                <w:szCs w:val="19"/>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expenses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221,408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228,398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203,904</w:t>
            </w:r>
          </w:p>
        </w:tc>
        <w:tc>
          <w:tcPr>
            <w:tcW w:w="12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(10,119)</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(3,067)</w:t>
            </w:r>
          </w:p>
        </w:tc>
      </w:tr>
      <w:tr>
        <w:trPr>
          <w:trHeight w:val="223"/>
        </w:trPr>
        <w:tc>
          <w:tcPr>
            <w:tcW w:w="55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(13,581)</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(21,398)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(2,090)</w:t>
            </w:r>
          </w:p>
        </w:tc>
      </w:tr>
      <w:tr>
        <w:trPr>
          <w:trHeight w:val="229"/>
        </w:trPr>
        <w:tc>
          <w:tcPr>
            <w:tcW w:w="5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r>
      <w:tr>
        <w:trPr>
          <w:trHeight w:val="223"/>
        </w:trPr>
        <w:tc>
          <w:tcPr>
            <w:tcW w:w="55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69"/>
        </w:trPr>
        <w:tc>
          <w:tcPr>
            <w:tcW w:w="556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(13,531)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(18,826)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(2,256)</w:t>
            </w:r>
          </w:p>
        </w:tc>
      </w:tr>
      <w:tr>
        <w:trPr>
          <w:trHeight w:val="210"/>
        </w:trPr>
        <w:tc>
          <w:tcPr>
            <w:tcW w:w="55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459"/>
        </w:trPr>
        <w:tc>
          <w:tcPr>
            <w:tcW w:w="556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r>
      <w:tr>
        <w:trPr>
          <w:trHeight w:val="229"/>
        </w:trPr>
        <w:tc>
          <w:tcPr>
            <w:tcW w:w="5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ind w:left="26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49,544</w:t>
            </w:r>
          </w:p>
        </w:tc>
        <w:tc>
          <w:tcPr>
            <w:tcW w:w="120" w:type="dxa"/>
            <w:vAlign w:val="bottom"/>
          </w:tcPr>
          <w:p>
            <w:pPr>
              <w:spacing w:after="0"/>
              <w:rPr>
                <w:sz w:val="19"/>
                <w:szCs w:val="19"/>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49,544</w:t>
            </w:r>
          </w:p>
        </w:tc>
        <w:tc>
          <w:tcPr>
            <w:tcW w:w="12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COMPREHENSIVE INCOME (LOSS) For the fiscal years ended February 2, 2019, February 3, 2018 and January 28, 2017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February 2, 2019</w:t>
            </w:r>
          </w:p>
        </w:tc>
        <w:tc>
          <w:tcPr>
            <w:tcW w:w="14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February 3, 2018</w:t>
            </w:r>
          </w:p>
        </w:tc>
        <w:tc>
          <w:tcPr>
            <w:tcW w:w="14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January 28, 2017</w:t>
            </w:r>
          </w:p>
        </w:tc>
      </w:t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2018)</w:t>
            </w:r>
          </w:p>
        </w:tc>
        <w:tc>
          <w:tcPr>
            <w:tcW w:w="1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(Fiscal 2017)</w:t>
            </w: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2016)</w:t>
            </w: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plan</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FF0FC"/>
          </w:tcPr>
          <w:p>
            <w:pPr>
              <w:spacing w:after="0"/>
              <w:rPr>
                <w:sz w:val="19"/>
                <w:szCs w:val="19"/>
                <w:color w:val="auto"/>
              </w:rPr>
            </w:pPr>
          </w:p>
        </w:tc>
      </w:tr>
      <w:tr>
        <w:trPr>
          <w:trHeight w:val="223"/>
        </w:trPr>
        <w:tc>
          <w:tcPr>
            <w:tcW w:w="6760" w:type="dxa"/>
            <w:vAlign w:val="bottom"/>
          </w:tcPr>
          <w:p>
            <w:pPr>
              <w:ind w:left="500"/>
              <w:spacing w:after="0"/>
              <w:rPr>
                <w:sz w:val="20"/>
                <w:szCs w:val="20"/>
                <w:color w:val="auto"/>
              </w:rPr>
            </w:pPr>
            <w:r>
              <w:rPr>
                <w:rFonts w:ascii="Arial" w:cs="Arial" w:eastAsia="Arial" w:hAnsi="Arial"/>
                <w:sz w:val="18"/>
                <w:szCs w:val="18"/>
                <w:color w:val="auto"/>
              </w:rPr>
              <w:t>Other comprehensive income (loss) before taxes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 (loss)</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FF0FC"/>
            </w:tcBorders>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CHANGES IN STOCKHOLDERS’ EQUITY For the fiscal years ended February 2, 2019, February 3, 2018 and January 28, 2017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Paid-in</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w w:val="99"/>
              </w:rPr>
              <w:t>Treasury Stock</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ind w:left="80"/>
              <w:spacing w:after="0"/>
              <w:rPr>
                <w:sz w:val="20"/>
                <w:szCs w:val="20"/>
                <w:color w:val="auto"/>
              </w:rPr>
            </w:pPr>
            <w:r>
              <w:rPr>
                <w:rFonts w:ascii="Arial" w:cs="Arial" w:eastAsia="Arial" w:hAnsi="Arial"/>
                <w:sz w:val="14"/>
                <w:szCs w:val="14"/>
                <w:color w:val="auto"/>
              </w:rPr>
              <w:t>Accumulated</w:t>
            </w:r>
          </w:p>
        </w:tc>
        <w:tc>
          <w:tcPr>
            <w:tcW w:w="11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Amounts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w w:val="94"/>
              </w:rPr>
              <w:t>Amounts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28"/>
              <w:spacing w:after="0"/>
              <w:rPr>
                <w:sz w:val="20"/>
                <w:szCs w:val="20"/>
                <w:color w:val="auto"/>
              </w:rPr>
            </w:pPr>
            <w:r>
              <w:rPr>
                <w:rFonts w:ascii="Arial" w:cs="Arial" w:eastAsia="Arial" w:hAnsi="Arial"/>
                <w:sz w:val="14"/>
                <w:szCs w:val="14"/>
                <w:color w:val="auto"/>
              </w:rPr>
              <w:t>Deficit</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Income (Loss)</w:t>
            </w: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55"/>
        </w:trPr>
        <w:tc>
          <w:tcPr>
            <w:tcW w:w="3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30, 2016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302,727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(87,977</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(120,311</w:t>
            </w:r>
          </w:p>
        </w:tc>
        <w:tc>
          <w:tcPr>
            <w:tcW w:w="220" w:type="dxa"/>
            <w:vAlign w:val="bottom"/>
            <w:tcBorders>
              <w:top w:val="single" w:sz="8" w:color="CFF0FC"/>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(6,652)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88,404</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Cancellations of restricted stock, net of issuances</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Board of Directors compensation</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Unrecognized gain associated with Pension Plan</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Foreign currency</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(242)</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(2,256)</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(2,256)</w:t>
            </w:r>
          </w:p>
        </w:tc>
      </w:tr>
      <w:tr>
        <w:trPr>
          <w:trHeight w:val="195"/>
        </w:trPr>
        <w:tc>
          <w:tcPr>
            <w:tcW w:w="35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January 28, 2017</w:t>
            </w:r>
          </w:p>
        </w:tc>
        <w:tc>
          <w:tcPr>
            <w:tcW w:w="80" w:type="dxa"/>
            <w:vAlign w:val="bottom"/>
            <w:tcBorders>
              <w:bottom w:val="single" w:sz="8" w:color="CFF0FC"/>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61,637</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304,466</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(10,877)</w:t>
            </w:r>
          </w:p>
        </w:tc>
        <w:tc>
          <w:tcPr>
            <w:tcW w:w="22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(87,977</w:t>
            </w:r>
          </w:p>
        </w:tc>
        <w:tc>
          <w:tcPr>
            <w:tcW w:w="140" w:type="dxa"/>
            <w:vAlign w:val="bottom"/>
            <w:tcBorders>
              <w:bottom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(122,567</w:t>
            </w:r>
          </w:p>
        </w:tc>
        <w:tc>
          <w:tcPr>
            <w:tcW w:w="220" w:type="dxa"/>
            <w:vAlign w:val="bottom"/>
            <w:tcBorders>
              <w:bottom w:val="single" w:sz="8" w:color="CFF0FC"/>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(6,018)</w:t>
            </w:r>
          </w:p>
        </w:tc>
        <w:tc>
          <w:tcPr>
            <w:tcW w:w="22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88,520</w:t>
            </w:r>
          </w:p>
        </w:tc>
        <w:tc>
          <w:tcPr>
            <w:tcW w:w="60" w:type="dxa"/>
            <w:vAlign w:val="bottom"/>
            <w:tcBorders>
              <w:bottom w:val="single" w:sz="8" w:color="CFF0FC"/>
            </w:tcBorders>
          </w:tcPr>
          <w:p>
            <w:pPr>
              <w:spacing w:after="0"/>
              <w:rPr>
                <w:sz w:val="16"/>
                <w:szCs w:val="16"/>
                <w:color w:val="auto"/>
              </w:rPr>
            </w:pPr>
          </w:p>
        </w:tc>
      </w:tr>
      <w:tr>
        <w:trPr>
          <w:trHeight w:val="142"/>
        </w:trPr>
        <w:tc>
          <w:tcPr>
            <w:tcW w:w="3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1,636</w:t>
            </w:r>
          </w:p>
        </w:tc>
        <w:tc>
          <w:tcPr>
            <w:tcW w:w="60" w:type="dxa"/>
            <w:vAlign w:val="bottom"/>
          </w:tcPr>
          <w:p>
            <w:pPr>
              <w:spacing w:after="0"/>
              <w:rPr>
                <w:sz w:val="14"/>
                <w:szCs w:val="14"/>
                <w:color w:val="auto"/>
              </w:rPr>
            </w:pP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issued, reclass from liability to equity</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Cancellations of restricted stock, net of issuances</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Board of directors compensation</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(1,878)</w:t>
            </w:r>
          </w:p>
        </w:tc>
        <w:tc>
          <w:tcPr>
            <w:tcW w:w="80" w:type="dxa"/>
            <w:vAlign w:val="bottom"/>
          </w:tcPr>
          <w:p>
            <w:pPr>
              <w:spacing w:after="0"/>
              <w:rPr>
                <w:sz w:val="14"/>
                <w:szCs w:val="14"/>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(4,681)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(4,681)</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Unrecognized gain associated with Pension Plan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1,490</w:t>
            </w:r>
          </w:p>
        </w:tc>
        <w:tc>
          <w:tcPr>
            <w:tcW w:w="60" w:type="dxa"/>
            <w:vAlign w:val="bottom"/>
          </w:tcPr>
          <w:p>
            <w:pPr>
              <w:spacing w:after="0"/>
              <w:rPr>
                <w:sz w:val="14"/>
                <w:szCs w:val="14"/>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60" w:type="dxa"/>
            <w:vAlign w:val="bottom"/>
            <w:shd w:val="clear" w:color="auto" w:fill="CFF0FC"/>
          </w:tcPr>
          <w:p>
            <w:pPr>
              <w:spacing w:after="0"/>
              <w:rPr>
                <w:sz w:val="14"/>
                <w:szCs w:val="14"/>
                <w:color w:val="auto"/>
              </w:rPr>
            </w:pPr>
          </w:p>
        </w:tc>
      </w:tr>
      <w:tr>
        <w:trPr>
          <w:trHeight w:val="143"/>
        </w:trPr>
        <w:tc>
          <w:tcPr>
            <w:tcW w:w="3500" w:type="dxa"/>
            <w:vAlign w:val="bottom"/>
          </w:tcPr>
          <w:p>
            <w:pPr>
              <w:spacing w:after="0" w:line="143" w:lineRule="exact"/>
              <w:rPr>
                <w:sz w:val="20"/>
                <w:szCs w:val="20"/>
                <w:color w:val="auto"/>
              </w:rPr>
            </w:pPr>
            <w:r>
              <w:rPr>
                <w:rFonts w:ascii="Arial" w:cs="Arial" w:eastAsia="Arial" w:hAnsi="Arial"/>
                <w:sz w:val="14"/>
                <w:szCs w:val="14"/>
                <w:color w:val="auto"/>
              </w:rPr>
              <w:t>Adjustment to reclassify intraperiod tax allocation to</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500" w:type="dxa"/>
            <w:vAlign w:val="bottom"/>
          </w:tcPr>
          <w:p>
            <w:pPr>
              <w:spacing w:after="0"/>
              <w:rPr>
                <w:sz w:val="20"/>
                <w:szCs w:val="20"/>
                <w:color w:val="auto"/>
              </w:rPr>
            </w:pPr>
            <w:r>
              <w:rPr>
                <w:rFonts w:ascii="Arial" w:cs="Arial" w:eastAsia="Arial" w:hAnsi="Arial"/>
                <w:sz w:val="14"/>
                <w:szCs w:val="14"/>
                <w:color w:val="auto"/>
              </w:rPr>
              <w:t>accumulated deficit (Note 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(2,108)</w:t>
            </w: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(18,826)</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(18,826)</w:t>
            </w:r>
          </w:p>
        </w:tc>
      </w:tr>
      <w:tr>
        <w:trPr>
          <w:trHeight w:val="195"/>
        </w:trPr>
        <w:tc>
          <w:tcPr>
            <w:tcW w:w="35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February 3, 2018</w:t>
            </w:r>
          </w:p>
        </w:tc>
        <w:tc>
          <w:tcPr>
            <w:tcW w:w="80" w:type="dxa"/>
            <w:vAlign w:val="bottom"/>
            <w:tcBorders>
              <w:bottom w:val="single" w:sz="8" w:color="CFF0FC"/>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61,486</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307,557</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(12,755)</w:t>
            </w:r>
          </w:p>
        </w:tc>
        <w:tc>
          <w:tcPr>
            <w:tcW w:w="22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(92,658</w:t>
            </w:r>
          </w:p>
        </w:tc>
        <w:tc>
          <w:tcPr>
            <w:tcW w:w="140" w:type="dxa"/>
            <w:vAlign w:val="bottom"/>
            <w:tcBorders>
              <w:bottom w:val="single" w:sz="8" w:color="CFF0FC"/>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FF0FC"/>
            </w:tcBorders>
          </w:tcPr>
          <w:p>
            <w:pPr>
              <w:spacing w:after="0"/>
              <w:rPr>
                <w:sz w:val="16"/>
                <w:szCs w:val="16"/>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(139,285</w:t>
            </w:r>
          </w:p>
        </w:tc>
        <w:tc>
          <w:tcPr>
            <w:tcW w:w="220" w:type="dxa"/>
            <w:vAlign w:val="bottom"/>
            <w:tcBorders>
              <w:bottom w:val="single" w:sz="8" w:color="CFF0FC"/>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(6,243)</w:t>
            </w:r>
          </w:p>
        </w:tc>
        <w:tc>
          <w:tcPr>
            <w:tcW w:w="22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69,986</w:t>
            </w:r>
          </w:p>
        </w:tc>
        <w:tc>
          <w:tcPr>
            <w:tcW w:w="60" w:type="dxa"/>
            <w:vAlign w:val="bottom"/>
            <w:tcBorders>
              <w:bottom w:val="single" w:sz="8" w:color="CFF0FC"/>
            </w:tcBorders>
          </w:tcPr>
          <w:p>
            <w:pPr>
              <w:spacing w:after="0"/>
              <w:rPr>
                <w:sz w:val="16"/>
                <w:szCs w:val="16"/>
                <w:color w:val="auto"/>
              </w:rPr>
            </w:pPr>
          </w:p>
        </w:tc>
      </w:tr>
      <w:tr>
        <w:trPr>
          <w:trHeight w:val="142"/>
        </w:trPr>
        <w:tc>
          <w:tcPr>
            <w:tcW w:w="3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14"/>
                <w:szCs w:val="14"/>
                <w:color w:val="auto"/>
              </w:rPr>
            </w:pPr>
          </w:p>
        </w:tc>
      </w:tr>
      <w:tr>
        <w:trPr>
          <w:trHeight w:val="143"/>
        </w:trPr>
        <w:tc>
          <w:tcPr>
            <w:tcW w:w="35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8"/>
              </w:rPr>
              <w:t>Restricted stock units (RSUs) granted for achievement of</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35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performance-based</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w w:val="97"/>
              </w:rPr>
              <w:t>compensation, reclassified from liability to equity (Note G)</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Issuance of common stock, upon RSUs release</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35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5"/>
              </w:rPr>
              <w:t>Shares withheld for taxes related to net share settlement of</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RSUs</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(136)</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Deferred stock vested</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Stock option exercise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Cancellations of restricted stock, net of issuances</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Board of directors compensation</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w:t>
            </w:r>
          </w:p>
        </w:tc>
        <w:tc>
          <w:tcPr>
            <w:tcW w:w="60" w:type="dxa"/>
            <w:vAlign w:val="bottom"/>
            <w:shd w:val="clear" w:color="auto" w:fill="CFF0FC"/>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Unrecognized loss associated with Pension Plan</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(394)</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(394)</w:t>
            </w: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Foreign currency</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(264)</w:t>
            </w:r>
          </w:p>
        </w:tc>
      </w:tr>
      <w:tr>
        <w:trPr>
          <w:trHeight w:val="143"/>
        </w:trPr>
        <w:tc>
          <w:tcPr>
            <w:tcW w:w="35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5"/>
              </w:rPr>
              <w:t>Remeasurement and reclassification on stranded tax effect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3500" w:type="dxa"/>
            <w:vAlign w:val="bottom"/>
            <w:shd w:val="clear" w:color="auto" w:fill="CFF0FC"/>
          </w:tcPr>
          <w:p>
            <w:pPr>
              <w:spacing w:after="0"/>
              <w:rPr>
                <w:sz w:val="20"/>
                <w:szCs w:val="20"/>
                <w:color w:val="auto"/>
              </w:rPr>
            </w:pPr>
            <w:r>
              <w:rPr>
                <w:rFonts w:ascii="Arial" w:cs="Arial" w:eastAsia="Arial" w:hAnsi="Arial"/>
                <w:sz w:val="14"/>
                <w:szCs w:val="14"/>
                <w:color w:val="auto"/>
              </w:rPr>
              <w:t>(Note A)</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(718)</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(13,531)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(13,531)</w:t>
            </w:r>
          </w:p>
        </w:tc>
      </w:tr>
      <w:tr>
        <w:trPr>
          <w:trHeight w:val="155"/>
        </w:trPr>
        <w:tc>
          <w:tcPr>
            <w:tcW w:w="3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February 2, 2019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62,242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310,393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(92,658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(153,534</w:t>
            </w:r>
          </w:p>
        </w:tc>
        <w:tc>
          <w:tcPr>
            <w:tcW w:w="220" w:type="dxa"/>
            <w:vAlign w:val="bottom"/>
            <w:tcBorders>
              <w:top w:val="single" w:sz="8" w:color="CFF0FC"/>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(6,183)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58,640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2019, February 3, 2018 and January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February 2, 2019</w:t>
            </w:r>
          </w:p>
        </w:tc>
        <w:tc>
          <w:tcPr>
            <w:tcW w:w="14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February 3,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January 28, 2017</w:t>
            </w:r>
          </w:p>
        </w:tc>
        <w:tc>
          <w:tcPr>
            <w:tcW w:w="0" w:type="dxa"/>
            <w:vAlign w:val="bottom"/>
          </w:tcPr>
          <w:p>
            <w:pPr>
              <w:spacing w:after="0"/>
              <w:rPr>
                <w:sz w:val="1"/>
                <w:szCs w:val="1"/>
                <w:color w:val="auto"/>
              </w:rPr>
            </w:pPr>
          </w:p>
        </w:tc>
      </w:tr>
      <w:tr>
        <w:trPr>
          <w:trHeight w:val="167"/>
        </w:trPr>
        <w:tc>
          <w:tcPr>
            <w:tcW w:w="6760" w:type="dxa"/>
            <w:vAlign w:val="bottom"/>
            <w:vMerge w:val="restart"/>
          </w:tcPr>
          <w:p>
            <w:pPr>
              <w:ind w:left="26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2018)</w:t>
            </w:r>
          </w:p>
        </w:tc>
        <w:tc>
          <w:tcPr>
            <w:tcW w:w="1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(18,826)</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5"/>
        </w:trPr>
        <w:tc>
          <w:tcPr>
            <w:tcW w:w="6760" w:type="dxa"/>
            <w:vAlign w:val="bottom"/>
          </w:tcPr>
          <w:p>
            <w:pPr>
              <w:ind w:left="26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gain on sale-leaseback</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(1,465)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Amortization of deferred debt issuance costs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Write-off of deferred debt issuance costs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Impairment of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Deferred taxes, net of valuation allowance</w:t>
            </w: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compensation expense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Issuance of common stock to Board of Directors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(3,505)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Deferred rent and lease incentives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(3,879)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(4,153)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Additions to property and equipment, net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(11,811)</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(22,565)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Purchase of intangible asset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(12,961)</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Net borrowings (repayments) under credit facility</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(5,334)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issuance of long-term debt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(12,251)</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(7,088)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Costs associated with debt issuances</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(4,681)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 withholdings paid related to net share settlements of RSUs</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6" w:name="page47"/>
    <w:bookmarkEnd w:id="46"/>
    <w:p>
      <w:pPr>
        <w:ind w:left="43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Destination XL Group, Inc. (collectively with its subsidiaries referred to as the “Company”) is the largest specialty retailer in the United States of big &amp; tall men’s apparel. The Company operates under the trade names of Destination XL</w:t>
      </w:r>
      <w:r>
        <w:rPr>
          <w:rFonts w:ascii="Arial" w:cs="Arial" w:eastAsia="Arial" w:hAnsi="Arial"/>
          <w:sz w:val="13"/>
          <w:szCs w:val="13"/>
          <w:color w:val="auto"/>
        </w:rPr>
        <w:t>®</w:t>
      </w:r>
      <w:r>
        <w:rPr>
          <w:rFonts w:ascii="Arial" w:cs="Arial" w:eastAsia="Arial" w:hAnsi="Arial"/>
          <w:sz w:val="16"/>
          <w:szCs w:val="16"/>
          <w:color w:val="auto"/>
        </w:rPr>
        <w:t xml:space="preserve"> (DXL</w:t>
      </w:r>
      <w:r>
        <w:rPr>
          <w:rFonts w:ascii="Arial" w:cs="Arial" w:eastAsia="Arial" w:hAnsi="Arial"/>
          <w:sz w:val="13"/>
          <w:szCs w:val="13"/>
          <w:color w:val="auto"/>
        </w:rPr>
        <w:t>®</w:t>
      </w:r>
      <w:r>
        <w:rPr>
          <w:rFonts w:ascii="Arial" w:cs="Arial" w:eastAsia="Arial" w:hAnsi="Arial"/>
          <w:sz w:val="16"/>
          <w:szCs w:val="16"/>
          <w:color w:val="auto"/>
        </w:rPr>
        <w:t>), DXL Outlets</w:t>
      </w:r>
      <w:r>
        <w:rPr>
          <w:rFonts w:ascii="Arial" w:cs="Arial" w:eastAsia="Arial" w:hAnsi="Arial"/>
          <w:sz w:val="13"/>
          <w:szCs w:val="13"/>
          <w:color w:val="auto"/>
        </w:rPr>
        <w:t>®</w:t>
      </w:r>
      <w:r>
        <w:rPr>
          <w:rFonts w:ascii="Arial" w:cs="Arial" w:eastAsia="Arial" w:hAnsi="Arial"/>
          <w:sz w:val="16"/>
          <w:szCs w:val="16"/>
          <w:color w:val="auto"/>
        </w:rPr>
        <w:t>, Casual Male XL</w:t>
      </w:r>
      <w:r>
        <w:rPr>
          <w:rFonts w:ascii="Arial" w:cs="Arial" w:eastAsia="Arial" w:hAnsi="Arial"/>
          <w:sz w:val="13"/>
          <w:szCs w:val="13"/>
          <w:color w:val="auto"/>
        </w:rPr>
        <w:t>®</w:t>
      </w:r>
      <w:r>
        <w:rPr>
          <w:rFonts w:ascii="Arial" w:cs="Arial" w:eastAsia="Arial" w:hAnsi="Arial"/>
          <w:sz w:val="16"/>
          <w:szCs w:val="16"/>
          <w:color w:val="auto"/>
        </w:rPr>
        <w:t xml:space="preserve">, Casual Male XL Outlets and Rochester Clothing. At February 2, 2019, the Company operated 216 DXL stores, 66 Casual Male XL, 30 Casual Male XL outlets, 15 DXL outlets and 5 Rochester Clothing stores located throughout the United States, including one store in London, England and two stores in Canada and an e-commerce site at </w:t>
      </w:r>
      <w:r>
        <w:rPr>
          <w:rFonts w:ascii="Arial" w:cs="Arial" w:eastAsia="Arial" w:hAnsi="Arial"/>
          <w:sz w:val="16"/>
          <w:szCs w:val="16"/>
          <w:u w:val="single" w:color="auto"/>
          <w:color w:val="auto"/>
        </w:rPr>
        <w:t>www.dxl.com</w:t>
      </w:r>
      <w:r>
        <w:rPr>
          <w:rFonts w:ascii="Arial" w:cs="Arial" w:eastAsia="Arial" w:hAnsi="Arial"/>
          <w:sz w:val="16"/>
          <w:szCs w:val="16"/>
          <w:color w:val="auto"/>
        </w:rPr>
        <w:t>. In fiscal 2018, the Company launched a wholesale segment focused on product development and distribution relationships with key retailers.</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historically had two principal operating segments: its stores and direct businesses. The Company considers these two operating segments to be similar in terms of economic characteristics, production processes and operations, and has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at February 2, 2019, its operating results are aggregated with the retail segment for fiscal 2018.</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The Company’s fiscal year is a 52-week or 53-week period ending on the Saturday closest to January 31. Fiscal 2018 and Fiscal 2016 were 52-week periods, which ended on February 2, 2019 and January 28, 2017, respectively. Fiscal 2017 was a 53-week period, which ended on February 3, 2018.</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Accounts receivable primarily includes amounts due for tenant allowances, rebates from certain vendors and amounts due from wholesale customers. For fiscal 2018, fiscal 2017 and fiscal 2016, the Company did not incur any losses on its accounts receivable.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70" w:lineRule="exact"/>
        <w:rPr>
          <w:sz w:val="20"/>
          <w:szCs w:val="20"/>
          <w:color w:val="auto"/>
        </w:rPr>
      </w:pPr>
    </w:p>
    <w:p>
      <w:pPr>
        <w:ind w:right="520"/>
        <w:spacing w:after="0" w:line="341"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right="100"/>
        <w:spacing w:after="0" w:line="341"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fair value of long-term debt is classified with Level 2 of the valuation hierarchy. At February 2, 2019, long-term debt approximated the carrying amount based upon terms available to the Company for borrowings with similar arrangements and remaining maturities. See Note D, “</w:t>
      </w:r>
      <w:r>
        <w:rPr>
          <w:rFonts w:ascii="Arial" w:cs="Arial" w:eastAsia="Arial" w:hAnsi="Arial"/>
          <w:sz w:val="18"/>
          <w:szCs w:val="18"/>
          <w:i w:val="1"/>
          <w:iCs w:val="1"/>
          <w:color w:val="auto"/>
        </w:rPr>
        <w:t>Debt Obligations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discussion.</w:t>
      </w:r>
    </w:p>
    <w:p>
      <w:pPr>
        <w:spacing w:after="0" w:line="18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 xml:space="preserve">The fair value of indefinite-lived assets, which consists of the Company’s “dxl.com” domain name and its “Rochester” trademark, are measured on a non-recurring basis in connection with the Company’s annual impairment test and are classified within Level 3 of the valuation hierarchy. The fair value of the “Rochester” trademark was determined using the relief from royalty method based on unobservable inputs. At February 2, 2019, the fair value of the Company’s “dxl.com” domain name was determined to approximate carrying value, due to its recent acquisition in December 2018. See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below.</w:t>
      </w:r>
    </w:p>
    <w:p>
      <w:pPr>
        <w:spacing w:after="0" w:line="1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ectPr>
          <w:pgSz w:w="11900" w:h="16838" w:orient="portrait"/>
          <w:cols w:equalWidth="0" w:num="1">
            <w:col w:w="11420"/>
          </w:cols>
          <w:pgMar w:left="240" w:top="570" w:right="239" w:bottom="1440" w:gutter="0" w:footer="0" w:header="0"/>
        </w:sectPr>
      </w:pP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Leasehold improvements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Hardware and software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useful lives or related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440" w:space="720"/>
            <w:col w:w="5260"/>
          </w:cols>
          <w:pgMar w:left="240" w:top="570" w:right="239" w:bottom="1440" w:gutter="0" w:footer="0" w:header="0"/>
          <w:type w:val="continuous"/>
        </w:sectPr>
      </w:pP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requires that all business combinations be accounted for under the acquisition method. The statement further requires separate recognition of intangible assets that meet one of two criteria set forth in the statement. Under ASC Topic 350, “</w:t>
      </w:r>
      <w:r>
        <w:rPr>
          <w:rFonts w:ascii="Arial" w:cs="Arial" w:eastAsia="Arial" w:hAnsi="Arial"/>
          <w:sz w:val="18"/>
          <w:szCs w:val="18"/>
          <w:i w:val="1"/>
          <w:iCs w:val="1"/>
          <w:color w:val="auto"/>
        </w:rPr>
        <w:t>Intangibles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goodwill and intangible assets with indefinite lives are tested at least annually for impairment.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Trademarks</w:t>
      </w:r>
    </w:p>
    <w:p>
      <w:pPr>
        <w:spacing w:after="0" w:line="117"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At each reporting period, management analyzes current events and circumstances to determine whether the indefinite life classification for its “Rochester” trademark continues to be valid. The Company’s “Casual Male” trademark was considered a finite-lived asset and became fully amortized in fiscal 2018.</w:t>
      </w:r>
    </w:p>
    <w:p>
      <w:pPr>
        <w:spacing w:after="0" w:line="1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At least annually, as of the Company’s December month-end, the Company evaluates its “Rochester” trademark. The Company performs an impairment analysis and records an impairment charge for any intangible assets with a carrying value in excess of its fair value. In the fourth quarter of fiscal 2018, the “Rochester” trademark was tested for potential impairment, utilizing the relief from royalty method to determine the estimated fair value. In fiscal 2019, the Company expects to close its 5 Rochester Clothing stores and while the Company expects that the majority of its Rochester assortment will continue to be available on the Company’s website and in its DXL stores, the projected future cash flows were insufficient to support the carrying value of the “Rochester” trademark. As a result, the Company recorded an impairment charge of $1.5 million in the fourth quarter of fiscal 2018 to fully write-off the “Rochester” trademark.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212121"/>
        </w:rPr>
        <w:t>Domain Name</w:t>
      </w:r>
    </w:p>
    <w:p>
      <w:pPr>
        <w:spacing w:after="0" w:line="11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212121"/>
        </w:rPr>
        <w:t xml:space="preserve">On December 26, 2018, the Company purchased the rights to the </w:t>
      </w:r>
      <w:r>
        <w:rPr>
          <w:rFonts w:ascii="Arial" w:cs="Arial" w:eastAsia="Arial" w:hAnsi="Arial"/>
          <w:sz w:val="16"/>
          <w:szCs w:val="16"/>
          <w:color w:val="252525"/>
        </w:rPr>
        <w:t>domain</w:t>
      </w:r>
      <w:r>
        <w:rPr>
          <w:rFonts w:ascii="Arial" w:cs="Arial" w:eastAsia="Arial" w:hAnsi="Arial"/>
          <w:sz w:val="16"/>
          <w:szCs w:val="16"/>
          <w:color w:val="212121"/>
        </w:rPr>
        <w:t xml:space="preserve"> “dxl.com”, at a </w:t>
      </w:r>
      <w:r>
        <w:rPr>
          <w:rFonts w:ascii="Arial" w:cs="Arial" w:eastAsia="Arial" w:hAnsi="Arial"/>
          <w:sz w:val="16"/>
          <w:szCs w:val="16"/>
          <w:color w:val="252525"/>
        </w:rPr>
        <w:t>purchase</w:t>
      </w:r>
      <w:r>
        <w:rPr>
          <w:rFonts w:ascii="Arial" w:cs="Arial" w:eastAsia="Arial" w:hAnsi="Arial"/>
          <w:sz w:val="16"/>
          <w:szCs w:val="16"/>
          <w:color w:val="212121"/>
        </w:rPr>
        <w:t xml:space="preserve"> price of $1.0 million, plus transaction costs of $150,000. The domain “dxl.com” is now the main landing page for the Company’s direct business. As of February 2, 2019, the Company determined that this domain has an indefinite useful life, and as such, will not be subject to amortization. The Company will assess this intangible asset annually for impairment.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changes in the carrying value of the Company’s intangible assets from February 3, 2018 to February 2,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3"/>
          </w:tcPr>
          <w:p>
            <w:pPr>
              <w:spacing w:after="0"/>
              <w:rPr>
                <w:sz w:val="20"/>
                <w:szCs w:val="20"/>
                <w:color w:val="auto"/>
              </w:rPr>
            </w:pPr>
            <w:r>
              <w:rPr>
                <w:rFonts w:ascii="Arial" w:cs="Arial" w:eastAsia="Arial" w:hAnsi="Arial"/>
                <w:sz w:val="14"/>
                <w:szCs w:val="14"/>
                <w:color w:val="auto"/>
              </w:rPr>
              <w:t>February 3, 2018</w:t>
            </w:r>
          </w:p>
        </w:tc>
        <w:tc>
          <w:tcPr>
            <w:tcW w:w="160" w:type="dxa"/>
            <w:vAlign w:val="bottom"/>
          </w:tcPr>
          <w:p>
            <w:pPr>
              <w:spacing w:after="0"/>
              <w:rPr>
                <w:sz w:val="14"/>
                <w:szCs w:val="14"/>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color w:val="auto"/>
              </w:rPr>
              <w:t>Additions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Impairment</w:t>
            </w:r>
          </w:p>
        </w:tc>
        <w:tc>
          <w:tcPr>
            <w:tcW w:w="1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Amortization</w:t>
            </w: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February 2, 2019</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"Rochester" trademark</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"Casual Male" trademark</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"dxl.com" domain</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Other intangibles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intangibles consisted of customer lists and were amortized based on an estimated economic useful life of 16 years.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gross carrying amount and accumulated amortization of the customer lists and “Casual Male” trademark, subject to amortization, were $7.7 million and $7.7 million, respectively, at February 2, 2019 and $7.7 million and $7.4 million, respectively, at February 3, 2018. Amortization expense for fiscal 2018, 2017 and 2016 was $0.3 million, $0.4 million and $0.4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Because the Company’s finite-lived intangibles have been fully amortized as of February 2, 2019, no future amortization expense is expected.</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expenses in-store advertising costs as incurred. Television advertising costs are expensed in the period in which the advertising is first aired. Direct response advertising costs, if any, are deferred and amortized over the period of expected direct marketing revenues, which is less than one year. There were no deferred direct response costs at February 2, 2019 and February 3, 2018. Advertising expense, which is included in selling, general and administrative expenses, was $24.4 million, $29.5 million and $18.2 million for fiscal 2018, 2017 and 2016, respectively.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policies with respect to revenue recognition are discussed in Note B,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fiscal 2018, fiscal 2017 and fiscal 2016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w w:val="92"/>
              </w:rPr>
              <w:t>Fiscal 2018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2017</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2"/>
              </w:rPr>
              <w:t>Fiscal 2016</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4"/>
                <w:szCs w:val="14"/>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2"/>
              </w:rPr>
              <w:t>Foreign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w w:val="96"/>
              </w:rPr>
              <w:t>Foreign</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2"/>
              </w:rPr>
              <w:t>Foreign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Plans</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Currency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Plans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Currency</w:t>
            </w:r>
          </w:p>
        </w:tc>
        <w:tc>
          <w:tcPr>
            <w:tcW w:w="14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Plans</w:t>
            </w: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Currency</w:t>
            </w:r>
          </w:p>
        </w:tc>
        <w:tc>
          <w:tcPr>
            <w:tcW w:w="14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5"/>
        </w:trPr>
        <w:tc>
          <w:tcPr>
            <w:tcW w:w="3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beginning of fiscal year</w:t>
            </w: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(5,840)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(403)</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(6,243)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(781)</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(6,018)</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(6,113)</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(539)</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(6,652)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(264)</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before reclassifications, net of taxes</w:t>
            </w: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(242)</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Amounts reclassified from accumulated</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xml:space="preserve">net of taxes </w:t>
            </w:r>
            <w:r>
              <w:rPr>
                <w:rFonts w:ascii="Arial" w:cs="Arial" w:eastAsia="Arial" w:hAnsi="Arial"/>
                <w:sz w:val="12"/>
                <w:szCs w:val="12"/>
                <w:color w:val="auto"/>
              </w:rPr>
              <w:t>(1)</w:t>
            </w: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(264)</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for the period</w:t>
            </w: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(242)</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Remeasurement and reclassification of stranded tax</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effect </w:t>
            </w:r>
            <w:r>
              <w:rPr>
                <w:rFonts w:ascii="Arial" w:cs="Arial" w:eastAsia="Arial" w:hAnsi="Arial"/>
                <w:sz w:val="12"/>
                <w:szCs w:val="12"/>
                <w:color w:val="auto"/>
              </w:rPr>
              <w:t>(2)</w:t>
            </w: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 to reclassify intraperiod tax allocation to</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spacing w:after="0"/>
              <w:rPr>
                <w:sz w:val="20"/>
                <w:szCs w:val="20"/>
                <w:color w:val="auto"/>
              </w:rPr>
            </w:pPr>
            <w:r>
              <w:rPr>
                <w:rFonts w:ascii="Arial" w:cs="Arial" w:eastAsia="Arial" w:hAnsi="Arial"/>
                <w:sz w:val="14"/>
                <w:szCs w:val="14"/>
                <w:color w:val="auto"/>
              </w:rPr>
              <w:t>accumulated deficit (Note E)</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(2,093)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FF0FC"/>
          </w:tcPr>
          <w:p>
            <w:pPr>
              <w:spacing w:after="0"/>
              <w:rPr>
                <w:sz w:val="20"/>
                <w:szCs w:val="20"/>
                <w:color w:val="auto"/>
              </w:rPr>
            </w:pPr>
            <w:r>
              <w:rPr>
                <w:rFonts w:ascii="Arial" w:cs="Arial" w:eastAsia="Arial" w:hAnsi="Arial"/>
                <w:sz w:val="14"/>
                <w:szCs w:val="14"/>
                <w:color w:val="auto"/>
              </w:rPr>
              <w:t>Balance at end of fiscal year</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(5,521)</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(6,183)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(5,840)</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(6,243)</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(5,237)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(781)</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(6,018)</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40" w:hanging="512"/>
        <w:spacing w:after="0" w:line="281"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$352,000, $670,000 and $705,000 for fiscal 2018, fiscal 2017 and fiscal 2016, respectively. There was no corresponding tax benefit.</w:t>
      </w:r>
    </w:p>
    <w:p>
      <w:pPr>
        <w:spacing w:after="0" w:line="1" w:lineRule="exact"/>
        <w:rPr>
          <w:rFonts w:ascii="Arial" w:cs="Arial" w:eastAsia="Arial" w:hAnsi="Arial"/>
          <w:sz w:val="17"/>
          <w:szCs w:val="17"/>
          <w:color w:val="auto"/>
        </w:rPr>
      </w:pPr>
    </w:p>
    <w:p>
      <w:pPr>
        <w:ind w:left="520" w:right="280" w:hanging="512"/>
        <w:spacing w:after="0" w:line="307"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the reclassification to retained earnings of the tax benefit associated with comprehensive income earned, adjusted for the effects of ASU 2018-02 which allows for the reclassification to retained earnings of stranded tax effect as a result of the 2017 Tax Act.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February 2, 2019, the Company had one Rochester Clothing store located in London, England and two stores located in Toronto, Canada. Assets and liabilities for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2018, fiscal 2017 and fiscal 2016.</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2002, with remaining fiscal years subject to income tax examination by federal tax authorities.</w:t>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Basic earnings per share are computed by dividing net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560" w:type="dxa"/>
            <w:vAlign w:val="bottom"/>
            <w:gridSpan w:val="5"/>
          </w:tcPr>
          <w:p>
            <w:pPr>
              <w:jc w:val="center"/>
              <w:ind w:left="917"/>
              <w:spacing w:after="0"/>
              <w:rPr>
                <w:sz w:val="20"/>
                <w:szCs w:val="20"/>
                <w:color w:val="auto"/>
              </w:rPr>
            </w:pPr>
            <w:r>
              <w:rPr>
                <w:rFonts w:ascii="Arial" w:cs="Arial" w:eastAsia="Arial" w:hAnsi="Arial"/>
                <w:sz w:val="14"/>
                <w:szCs w:val="14"/>
                <w:color w:val="auto"/>
                <w:w w:val="99"/>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February 2, 2019</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February 3, 2018</w:t>
            </w:r>
          </w:p>
        </w:tc>
        <w:tc>
          <w:tcPr>
            <w:tcW w:w="1120" w:type="dxa"/>
            <w:vAlign w:val="bottom"/>
            <w:gridSpan w:val="2"/>
          </w:tcPr>
          <w:p>
            <w:pPr>
              <w:spacing w:after="0"/>
              <w:rPr>
                <w:sz w:val="20"/>
                <w:szCs w:val="20"/>
                <w:color w:val="auto"/>
              </w:rPr>
            </w:pPr>
            <w:r>
              <w:rPr>
                <w:rFonts w:ascii="Arial" w:cs="Arial" w:eastAsia="Arial" w:hAnsi="Arial"/>
                <w:sz w:val="14"/>
                <w:szCs w:val="14"/>
                <w:color w:val="auto"/>
              </w:rPr>
              <w:t>January 28, 2017</w:t>
            </w:r>
          </w:p>
        </w:tc>
        <w:tc>
          <w:tcPr>
            <w:tcW w:w="0" w:type="dxa"/>
            <w:vAlign w:val="bottom"/>
          </w:tcPr>
          <w:p>
            <w:pPr>
              <w:spacing w:after="0"/>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49,163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48,888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 stock options,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stock and restricted stock units (RSUs) </w:t>
            </w:r>
            <w:r>
              <w:rPr>
                <w:rFonts w:ascii="Arial" w:cs="Arial" w:eastAsia="Arial" w:hAnsi="Arial"/>
                <w:sz w:val="15"/>
                <w:szCs w:val="15"/>
                <w:color w:val="auto"/>
              </w:rPr>
              <w:t>(1)</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49,163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48,888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4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stock equivalents, in thousands, of 497 shares, 134 shares and 439 shares for February 2, 2019, February 3, 2018 and January 28, 2017, respectively, were excluded due to the net loss.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restricted or deferred stock had an anti-dilutive effect.</w:t>
      </w:r>
    </w:p>
    <w:p>
      <w:pPr>
        <w:spacing w:after="0" w:line="259"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620" w:type="dxa"/>
            <w:vAlign w:val="bottom"/>
            <w:gridSpan w:val="4"/>
          </w:tcPr>
          <w:p>
            <w:pPr>
              <w:ind w:left="1080"/>
              <w:spacing w:after="0"/>
              <w:rPr>
                <w:sz w:val="20"/>
                <w:szCs w:val="20"/>
                <w:color w:val="auto"/>
              </w:rPr>
            </w:pPr>
            <w:r>
              <w:rPr>
                <w:rFonts w:ascii="Arial" w:cs="Arial" w:eastAsia="Arial" w:hAnsi="Arial"/>
                <w:sz w:val="14"/>
                <w:szCs w:val="14"/>
                <w:color w:val="auto"/>
                <w:w w:val="99"/>
              </w:rPr>
              <w:t>FISCAL YEARS ENDED</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February 2, 2019</w:t>
            </w:r>
          </w:p>
        </w:tc>
        <w:tc>
          <w:tcPr>
            <w:tcW w:w="1260" w:type="dxa"/>
            <w:vAlign w:val="bottom"/>
            <w:gridSpan w:val="2"/>
          </w:tcPr>
          <w:p>
            <w:pPr>
              <w:ind w:left="40"/>
              <w:spacing w:after="0"/>
              <w:rPr>
                <w:sz w:val="20"/>
                <w:szCs w:val="20"/>
                <w:color w:val="auto"/>
              </w:rPr>
            </w:pPr>
            <w:r>
              <w:rPr>
                <w:rFonts w:ascii="Arial" w:cs="Arial" w:eastAsia="Arial" w:hAnsi="Arial"/>
                <w:sz w:val="14"/>
                <w:szCs w:val="14"/>
                <w:color w:val="auto"/>
              </w:rPr>
              <w:t>February 3, 2018</w:t>
            </w: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January 28, 2017</w:t>
            </w:r>
          </w:p>
        </w:tc>
        <w:tc>
          <w:tcPr>
            <w:tcW w:w="0" w:type="dxa"/>
            <w:vAlign w:val="bottom"/>
          </w:tcPr>
          <w:p>
            <w:pPr>
              <w:spacing w:after="0"/>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2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RSUs (time-vested)</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Restricted and deferred stock</w:t>
            </w:r>
          </w:p>
        </w:tc>
        <w:tc>
          <w:tcPr>
            <w:tcW w:w="12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$2.25 - $7.02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$1.85-$7.52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$4.49-$7.52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Excluded from the computation of basic earnings per shares in fiscal 2018 and fiscal 2017 were 30,000 shares and 36,666 shares, respectively, of unvested time-based restricted shares, and 204,040 shares and 115,457 shares, respectively, of deferred stock until such shares vest.</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shares of restricted stock are not considered outstanding for basic earnings per share purposes until vested, any outstanding shares of restricted stock are considered issued and outstanding at February 2, 2019. Each share of restricted stock has all of the rights of a holder of the Company’s common stock, including, but not limited to, the right to vote and the right to receive dividends, which rights are forfeited if the restricted stock is forfeited. Outstanding shares of deferred stock are not considered issued and outstanding until the vesting date of the deferral period.</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51" w:name="page52"/>
    <w:bookmarkEnd w:id="51"/>
    <w:p>
      <w:pPr>
        <w:ind w:right="100"/>
        <w:spacing w:after="0" w:line="263" w:lineRule="auto"/>
        <w:rPr>
          <w:sz w:val="20"/>
          <w:szCs w:val="20"/>
          <w:color w:val="auto"/>
        </w:rPr>
      </w:pPr>
      <w:r>
        <w:rPr>
          <w:rFonts w:ascii="Arial" w:cs="Arial" w:eastAsia="Arial" w:hAnsi="Arial"/>
          <w:sz w:val="18"/>
          <w:szCs w:val="18"/>
          <w:color w:val="auto"/>
        </w:rPr>
        <w:t>awards granted in future periods. The values derived from using the Black-Scholes model are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recognized total stock-based compensation expense, with no tax effect, of $2.0 million, $1.6 million and $1.3 million for fiscal 2018, fiscal 2017 and fiscal 2016, respectively.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stock-based compensation cost related to time-vested awards not yet recognized as of February 2, 2019 was approximately $2.0 million and will be expensed over a weighted average remaining life of approximately 32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grant-date fair value of awards vested was $2.0 million, $1.8 million and $2.9 million for fiscal 2018, 2017 and 2016, respectively.</w:t>
      </w:r>
    </w:p>
    <w:p>
      <w:pPr>
        <w:spacing w:after="0" w:line="225" w:lineRule="exact"/>
        <w:rPr>
          <w:sz w:val="20"/>
          <w:szCs w:val="20"/>
          <w:color w:val="auto"/>
        </w:rPr>
      </w:pPr>
    </w:p>
    <w:p>
      <w:pPr>
        <w:ind w:right="840"/>
        <w:spacing w:after="0" w:line="341" w:lineRule="auto"/>
        <w:rPr>
          <w:sz w:val="20"/>
          <w:szCs w:val="20"/>
          <w:color w:val="auto"/>
        </w:rPr>
      </w:pPr>
      <w:r>
        <w:rPr>
          <w:rFonts w:ascii="Arial" w:cs="Arial" w:eastAsia="Arial" w:hAnsi="Arial"/>
          <w:sz w:val="16"/>
          <w:szCs w:val="16"/>
          <w:color w:val="auto"/>
        </w:rPr>
        <w:t>Any excess tax benefits resulting from the exercise of stock options or the release of restricted shares are recognized as a component of income tax expense. Prior to the adoption of ASU 2016-09 in fiscal 2017, any excess tax benefits were recognized as additional paid-in capital.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2018, 2017 and 2016: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i w:val="1"/>
                <w:iCs w:val="1"/>
                <w:color w:val="auto"/>
              </w:rPr>
              <w:t>Fiscal years ended: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auto"/>
              </w:rPr>
              <w:t>February 2, 2019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color w:val="auto"/>
              </w:rPr>
              <w:t>February 3, 2018</w:t>
            </w:r>
          </w:p>
        </w:tc>
        <w:tc>
          <w:tcPr>
            <w:tcW w:w="1880" w:type="dxa"/>
            <w:vAlign w:val="bottom"/>
            <w:gridSpan w:val="2"/>
          </w:tcPr>
          <w:p>
            <w:pPr>
              <w:ind w:left="380"/>
              <w:spacing w:after="0"/>
              <w:rPr>
                <w:sz w:val="20"/>
                <w:szCs w:val="20"/>
                <w:color w:val="auto"/>
              </w:rPr>
            </w:pPr>
            <w:r>
              <w:rPr>
                <w:rFonts w:ascii="Arial" w:cs="Arial" w:eastAsia="Arial" w:hAnsi="Arial"/>
                <w:sz w:val="14"/>
                <w:szCs w:val="14"/>
                <w:color w:val="auto"/>
              </w:rPr>
              <w:t>January 28, 2017</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center"/>
              <w:ind w:right="173"/>
              <w:spacing w:after="0"/>
              <w:rPr>
                <w:sz w:val="20"/>
                <w:szCs w:val="20"/>
                <w:color w:val="auto"/>
              </w:rPr>
            </w:pPr>
            <w:r>
              <w:rPr>
                <w:rFonts w:ascii="Arial" w:cs="Arial" w:eastAsia="Arial" w:hAnsi="Arial"/>
                <w:sz w:val="18"/>
                <w:szCs w:val="18"/>
                <w:color w:val="auto"/>
                <w:w w:val="91"/>
              </w:rPr>
              <w:t>48.9% - 57.1%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center"/>
              <w:ind w:right="133"/>
              <w:spacing w:after="0"/>
              <w:rPr>
                <w:sz w:val="20"/>
                <w:szCs w:val="20"/>
                <w:color w:val="auto"/>
              </w:rPr>
            </w:pPr>
            <w:r>
              <w:rPr>
                <w:rFonts w:ascii="Arial" w:cs="Arial" w:eastAsia="Arial" w:hAnsi="Arial"/>
                <w:sz w:val="18"/>
                <w:szCs w:val="18"/>
                <w:color w:val="auto"/>
                <w:w w:val="90"/>
              </w:rPr>
              <w:t>49.9%</w:t>
            </w:r>
          </w:p>
        </w:tc>
        <w:tc>
          <w:tcPr>
            <w:tcW w:w="26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39.3%-42.7%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right="173"/>
              <w:spacing w:after="0"/>
              <w:rPr>
                <w:sz w:val="20"/>
                <w:szCs w:val="20"/>
                <w:color w:val="auto"/>
              </w:rPr>
            </w:pPr>
            <w:r>
              <w:rPr>
                <w:rFonts w:ascii="Arial" w:cs="Arial" w:eastAsia="Arial" w:hAnsi="Arial"/>
                <w:sz w:val="18"/>
                <w:szCs w:val="18"/>
                <w:color w:val="auto"/>
                <w:w w:val="91"/>
              </w:rPr>
              <w:t>2.55% -2.63%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33"/>
              <w:spacing w:after="0"/>
              <w:rPr>
                <w:sz w:val="20"/>
                <w:szCs w:val="20"/>
                <w:color w:val="auto"/>
              </w:rPr>
            </w:pPr>
            <w:r>
              <w:rPr>
                <w:rFonts w:ascii="Arial" w:cs="Arial" w:eastAsia="Arial" w:hAnsi="Arial"/>
                <w:sz w:val="18"/>
                <w:szCs w:val="18"/>
                <w:color w:val="auto"/>
                <w:w w:val="90"/>
              </w:rPr>
              <w:t>1.44%</w:t>
            </w:r>
          </w:p>
        </w:tc>
        <w:tc>
          <w:tcPr>
            <w:tcW w:w="26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0.78%-1.23%</w:t>
            </w:r>
          </w:p>
        </w:tc>
        <w:tc>
          <w:tcPr>
            <w:tcW w:w="12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center"/>
              <w:ind w:right="173"/>
              <w:spacing w:after="0"/>
              <w:rPr>
                <w:sz w:val="20"/>
                <w:szCs w:val="20"/>
                <w:color w:val="auto"/>
              </w:rPr>
            </w:pPr>
            <w:r>
              <w:rPr>
                <w:rFonts w:ascii="Arial" w:cs="Arial" w:eastAsia="Arial" w:hAnsi="Arial"/>
                <w:sz w:val="18"/>
                <w:szCs w:val="18"/>
                <w:color w:val="auto"/>
                <w:w w:val="90"/>
              </w:rPr>
              <w:t>3.0 - 4.5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133"/>
              <w:spacing w:after="0"/>
              <w:rPr>
                <w:sz w:val="20"/>
                <w:szCs w:val="20"/>
                <w:color w:val="auto"/>
              </w:rPr>
            </w:pPr>
            <w:r>
              <w:rPr>
                <w:rFonts w:ascii="Arial" w:cs="Arial" w:eastAsia="Arial" w:hAnsi="Arial"/>
                <w:sz w:val="18"/>
                <w:szCs w:val="18"/>
                <w:color w:val="auto"/>
                <w:w w:val="87"/>
              </w:rPr>
              <w:t>3.0</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Dividend rate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right="73"/>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fair value of options granted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633"/>
              <w:spacing w:after="0"/>
              <w:rPr>
                <w:sz w:val="20"/>
                <w:szCs w:val="20"/>
                <w:color w:val="auto"/>
              </w:rPr>
            </w:pPr>
            <w:r>
              <w:rPr>
                <w:rFonts w:ascii="Arial" w:cs="Arial" w:eastAsia="Arial" w:hAnsi="Arial"/>
                <w:sz w:val="18"/>
                <w:szCs w:val="18"/>
                <w:color w:val="auto"/>
              </w:rPr>
              <w:t>1.06</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573"/>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6"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color w:val="auto"/>
        </w:rPr>
        <w:t>For fiscal 2018, the Company recorded total impairment charges of $4.6 million, which consisted of $1.5 million for the write-off of its “Rochester” trademark and $3.1 million for the write-down of property and equipment. Impairment charges for property and equipment related to stores where the carrying value exceeded fair value. The fair value of these assets, based on Level 3 inputs, was determined using estimated discounted cash flows.</w:t>
      </w:r>
    </w:p>
    <w:p>
      <w:pPr>
        <w:spacing w:after="0" w:line="14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fiscal 2017 and fiscal 2016, the Company recorded impairment charges of $4.1 million and $0.4 million, respectively, for the write-down of property and equipment. Also included in the charge for fiscal 2017 was the write-off of certain costs of $1.9 million associated with technology projects that were abandoned.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which amends the accounting guidance on revenue recognition. The amendments in this ASU are intended to provide a framework for addressing revenue issues, improve comparability of revenue recognition practices, and improve disclosure requirements. This ASU sets forth a five-step model for determining when and how revenue is recognized. Under the model, an entity is required to recognize revenue to depict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2" w:name="page53"/>
    <w:bookmarkEnd w:id="52"/>
    <w:p>
      <w:pPr>
        <w:ind w:right="120"/>
        <w:spacing w:after="0" w:line="275" w:lineRule="auto"/>
        <w:rPr>
          <w:sz w:val="20"/>
          <w:szCs w:val="20"/>
          <w:color w:val="auto"/>
        </w:rPr>
      </w:pPr>
      <w:r>
        <w:rPr>
          <w:rFonts w:ascii="Arial" w:cs="Arial" w:eastAsia="Arial" w:hAnsi="Arial"/>
          <w:sz w:val="17"/>
          <w:szCs w:val="17"/>
          <w:color w:val="auto"/>
        </w:rPr>
        <w:t xml:space="preserve">transfer of goods or services to a customer at an amount reflecting the consideration it expects to receive in exchange for those goods or services. To assess the impact of ASU 2014-09, the Company reviewed its current accounting policies and practices, identified all material revenue streams, assessed the impact of the ASU on its material revenue streams and identified potential differences with current policies and practices. The Company adopted this standard on February 4, 2018, with no material impact on the Company’s </w:t>
      </w:r>
      <w:r>
        <w:rPr>
          <w:rFonts w:ascii="Arial" w:cs="Arial" w:eastAsia="Arial" w:hAnsi="Arial"/>
          <w:sz w:val="17"/>
          <w:szCs w:val="17"/>
          <w:color w:val="212121"/>
        </w:rPr>
        <w:t>Consolidated Financial Statements</w:t>
      </w:r>
      <w:r>
        <w:rPr>
          <w:rFonts w:ascii="Arial" w:cs="Arial" w:eastAsia="Arial" w:hAnsi="Arial"/>
          <w:sz w:val="17"/>
          <w:szCs w:val="17"/>
          <w:color w:val="auto"/>
        </w:rPr>
        <w:t xml:space="preserve">, using the modified retrospective approach. </w:t>
      </w:r>
      <w:r>
        <w:rPr>
          <w:rFonts w:ascii="Arial" w:cs="Arial" w:eastAsia="Arial" w:hAnsi="Arial"/>
          <w:sz w:val="17"/>
          <w:szCs w:val="17"/>
          <w:color w:val="212121"/>
        </w:rPr>
        <w:t>Further</w:t>
      </w:r>
      <w:r>
        <w:rPr>
          <w:rFonts w:ascii="Arial" w:cs="Arial" w:eastAsia="Arial" w:hAnsi="Arial"/>
          <w:sz w:val="17"/>
          <w:szCs w:val="17"/>
          <w:color w:val="auto"/>
        </w:rPr>
        <w:t xml:space="preserve"> </w:t>
      </w:r>
      <w:r>
        <w:rPr>
          <w:rFonts w:ascii="Arial" w:cs="Arial" w:eastAsia="Arial" w:hAnsi="Arial"/>
          <w:sz w:val="17"/>
          <w:szCs w:val="17"/>
          <w:color w:val="212121"/>
        </w:rPr>
        <w:t xml:space="preserve">disclosures related to the adoption of this standard are provided below in Note B, </w:t>
      </w:r>
      <w:r>
        <w:rPr>
          <w:rFonts w:ascii="Arial" w:cs="Arial" w:eastAsia="Arial" w:hAnsi="Arial"/>
          <w:sz w:val="17"/>
          <w:szCs w:val="17"/>
          <w:i w:val="1"/>
          <w:iCs w:val="1"/>
          <w:color w:val="212121"/>
        </w:rPr>
        <w:t>Revenue Recognition</w:t>
      </w:r>
      <w:r>
        <w:rPr>
          <w:rFonts w:ascii="Arial" w:cs="Arial" w:eastAsia="Arial" w:hAnsi="Arial"/>
          <w:sz w:val="17"/>
          <w:szCs w:val="17"/>
          <w:color w:val="212121"/>
        </w:rPr>
        <w:t>.</w:t>
      </w:r>
    </w:p>
    <w:p>
      <w:pPr>
        <w:spacing w:after="0" w:line="17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In March 2016, the FASB issued </w:t>
      </w:r>
      <w:r>
        <w:rPr>
          <w:rFonts w:ascii="Arial" w:cs="Arial" w:eastAsia="Arial" w:hAnsi="Arial"/>
          <w:sz w:val="16"/>
          <w:szCs w:val="16"/>
          <w:color w:val="252525"/>
        </w:rPr>
        <w:t>ASU 2016</w:t>
      </w:r>
      <w:r>
        <w:rPr>
          <w:rFonts w:ascii="Arial" w:cs="Arial" w:eastAsia="Arial" w:hAnsi="Arial"/>
          <w:sz w:val="16"/>
          <w:szCs w:val="16"/>
          <w:color w:val="auto"/>
        </w:rPr>
        <w:t>-</w:t>
      </w:r>
      <w:r>
        <w:rPr>
          <w:rFonts w:ascii="Arial" w:cs="Arial" w:eastAsia="Arial" w:hAnsi="Arial"/>
          <w:sz w:val="16"/>
          <w:szCs w:val="16"/>
          <w:color w:val="252525"/>
        </w:rPr>
        <w:t>04</w:t>
      </w:r>
      <w:r>
        <w:rPr>
          <w:rFonts w:ascii="Arial" w:cs="Arial" w:eastAsia="Arial" w:hAnsi="Arial"/>
          <w:sz w:val="16"/>
          <w:szCs w:val="16"/>
          <w:color w:val="auto"/>
        </w:rPr>
        <w:t>, “</w:t>
      </w:r>
      <w:r>
        <w:rPr>
          <w:rFonts w:ascii="Arial" w:cs="Arial" w:eastAsia="Arial" w:hAnsi="Arial"/>
          <w:sz w:val="16"/>
          <w:szCs w:val="16"/>
          <w:i w:val="1"/>
          <w:iCs w:val="1"/>
          <w:color w:val="auto"/>
        </w:rPr>
        <w:t>Liabilities—Extinguishments of Liabilities: Recognition of Breakage for Certain Prepaid Stored-Value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amends exempting gift cards and other prepaid stored-value products from the guidance on extinguishing financial liabilities. Rather, they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Company adopted this pronouncement as of February 4, 2018. The adoption of this standard did not have a material impact on the Company’s </w:t>
      </w:r>
      <w:r>
        <w:rPr>
          <w:rFonts w:ascii="Arial" w:cs="Arial" w:eastAsia="Arial" w:hAnsi="Arial"/>
          <w:sz w:val="16"/>
          <w:szCs w:val="16"/>
          <w:color w:val="212121"/>
        </w:rPr>
        <w:t>Consolidated Financial Statements</w:t>
      </w:r>
      <w:r>
        <w:rPr>
          <w:rFonts w:ascii="Arial" w:cs="Arial" w:eastAsia="Arial" w:hAnsi="Arial"/>
          <w:sz w:val="16"/>
          <w:szCs w:val="16"/>
          <w:color w:val="auto"/>
        </w:rPr>
        <w:t>.</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Company adopted this pronouncement as of February 4, 2018. The adoption of this standard did not have a material impact on the</w:t>
      </w:r>
      <w:r>
        <w:rPr>
          <w:rFonts w:ascii="Arial" w:cs="Arial" w:eastAsia="Arial" w:hAnsi="Arial"/>
          <w:sz w:val="18"/>
          <w:szCs w:val="18"/>
          <w:color w:val="212121"/>
        </w:rPr>
        <w:t xml:space="preserve"> </w:t>
      </w:r>
      <w:r>
        <w:rPr>
          <w:rFonts w:ascii="Arial" w:cs="Arial" w:eastAsia="Arial" w:hAnsi="Arial"/>
          <w:sz w:val="18"/>
          <w:szCs w:val="18"/>
          <w:color w:val="000000"/>
        </w:rPr>
        <w:t xml:space="preserve">Company’s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October 2016, the FASB issued ASU 2016-16, “</w:t>
      </w:r>
      <w:r>
        <w:rPr>
          <w:rFonts w:ascii="Arial" w:cs="Arial" w:eastAsia="Arial" w:hAnsi="Arial"/>
          <w:sz w:val="18"/>
          <w:szCs w:val="18"/>
          <w:i w:val="1"/>
          <w:iCs w:val="1"/>
          <w:color w:val="auto"/>
        </w:rPr>
        <w:t>Income Taxes (Topic 740): Intra-Entity Transfer of Assets Other Than Inventory</w:t>
      </w:r>
      <w:r>
        <w:rPr>
          <w:rFonts w:ascii="Arial" w:cs="Arial" w:eastAsia="Arial" w:hAnsi="Arial"/>
          <w:sz w:val="18"/>
          <w:szCs w:val="18"/>
          <w:color w:val="auto"/>
        </w:rPr>
        <w:t xml:space="preserve">,” which </w:t>
      </w:r>
      <w:r>
        <w:rPr>
          <w:rFonts w:ascii="Arial" w:cs="Arial" w:eastAsia="Arial" w:hAnsi="Arial"/>
          <w:sz w:val="18"/>
          <w:szCs w:val="18"/>
          <w:color w:val="212121"/>
        </w:rPr>
        <w:t>reduces the</w:t>
      </w:r>
      <w:r>
        <w:rPr>
          <w:rFonts w:ascii="Arial" w:cs="Arial" w:eastAsia="Arial" w:hAnsi="Arial"/>
          <w:sz w:val="18"/>
          <w:szCs w:val="18"/>
          <w:color w:val="auto"/>
        </w:rPr>
        <w:t xml:space="preserve"> </w:t>
      </w:r>
      <w:r>
        <w:rPr>
          <w:rFonts w:ascii="Arial" w:cs="Arial" w:eastAsia="Arial" w:hAnsi="Arial"/>
          <w:sz w:val="18"/>
          <w:szCs w:val="18"/>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8"/>
          <w:szCs w:val="18"/>
          <w:color w:val="252525"/>
        </w:rPr>
        <w:t>ASU 2016</w:t>
      </w:r>
      <w:r>
        <w:rPr>
          <w:rFonts w:ascii="Arial" w:cs="Arial" w:eastAsia="Arial" w:hAnsi="Arial"/>
          <w:sz w:val="18"/>
          <w:szCs w:val="18"/>
          <w:color w:val="212121"/>
        </w:rPr>
        <w:t>-</w:t>
      </w:r>
      <w:r>
        <w:rPr>
          <w:rFonts w:ascii="Arial" w:cs="Arial" w:eastAsia="Arial" w:hAnsi="Arial"/>
          <w:sz w:val="18"/>
          <w:szCs w:val="18"/>
          <w:color w:val="252525"/>
        </w:rPr>
        <w:t>16</w:t>
      </w:r>
      <w:r>
        <w:rPr>
          <w:rFonts w:ascii="Arial" w:cs="Arial" w:eastAsia="Arial" w:hAnsi="Arial"/>
          <w:sz w:val="18"/>
          <w:szCs w:val="18"/>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8"/>
          <w:szCs w:val="18"/>
          <w:color w:val="000000"/>
        </w:rPr>
        <w:t>. The Company adopted this pronouncement as of February 4, 2018. The adoption of this standard did not</w:t>
      </w:r>
      <w:r>
        <w:rPr>
          <w:rFonts w:ascii="Arial" w:cs="Arial" w:eastAsia="Arial" w:hAnsi="Arial"/>
          <w:sz w:val="18"/>
          <w:szCs w:val="18"/>
          <w:color w:val="212121"/>
        </w:rPr>
        <w:t xml:space="preserve"> </w:t>
      </w:r>
      <w:r>
        <w:rPr>
          <w:rFonts w:ascii="Arial" w:cs="Arial" w:eastAsia="Arial" w:hAnsi="Arial"/>
          <w:sz w:val="18"/>
          <w:szCs w:val="18"/>
          <w:color w:val="000000"/>
        </w:rPr>
        <w:t xml:space="preserve">have a material impact on the Company’s </w:t>
      </w:r>
      <w:r>
        <w:rPr>
          <w:rFonts w:ascii="Arial" w:cs="Arial" w:eastAsia="Arial" w:hAnsi="Arial"/>
          <w:sz w:val="18"/>
          <w:szCs w:val="18"/>
          <w:color w:val="212121"/>
        </w:rPr>
        <w:t>Consolidated Financial Statements</w:t>
      </w:r>
      <w:r>
        <w:rPr>
          <w:rFonts w:ascii="Arial" w:cs="Arial" w:eastAsia="Arial" w:hAnsi="Arial"/>
          <w:sz w:val="18"/>
          <w:szCs w:val="18"/>
          <w:color w:val="000000"/>
        </w:rPr>
        <w:t>.</w:t>
      </w:r>
    </w:p>
    <w:p>
      <w:pPr>
        <w:spacing w:after="0" w:line="19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212121"/>
        </w:rPr>
        <w:t xml:space="preserve">In May 2017, the FASB issued ASU </w:t>
      </w:r>
      <w:r>
        <w:rPr>
          <w:rFonts w:ascii="Arial" w:cs="Arial" w:eastAsia="Arial" w:hAnsi="Arial"/>
          <w:sz w:val="16"/>
          <w:szCs w:val="16"/>
          <w:color w:val="000000"/>
        </w:rPr>
        <w:t>2017-09</w:t>
      </w:r>
      <w:r>
        <w:rPr>
          <w:rFonts w:ascii="Arial" w:cs="Arial" w:eastAsia="Arial" w:hAnsi="Arial"/>
          <w:sz w:val="16"/>
          <w:szCs w:val="16"/>
          <w:color w:val="212121"/>
        </w:rPr>
        <w:t>, “</w:t>
      </w:r>
      <w:r>
        <w:rPr>
          <w:rFonts w:ascii="Arial" w:cs="Arial" w:eastAsia="Arial" w:hAnsi="Arial"/>
          <w:sz w:val="16"/>
          <w:szCs w:val="16"/>
          <w:i w:val="1"/>
          <w:iCs w:val="1"/>
          <w:color w:val="212121"/>
        </w:rPr>
        <w:t>Compensation—Stock Compensation (Topic 718)”</w:t>
      </w:r>
      <w:r>
        <w:rPr>
          <w:rFonts w:ascii="Arial" w:cs="Arial" w:eastAsia="Arial" w:hAnsi="Arial"/>
          <w:sz w:val="16"/>
          <w:szCs w:val="16"/>
          <w:color w:val="212121"/>
        </w:rPr>
        <w:t xml:space="preserve"> 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6"/>
          <w:szCs w:val="16"/>
          <w:color w:val="000000"/>
        </w:rPr>
        <w:t>The Company adopted this pronouncement as of</w:t>
      </w:r>
      <w:r>
        <w:rPr>
          <w:rFonts w:ascii="Arial" w:cs="Arial" w:eastAsia="Arial" w:hAnsi="Arial"/>
          <w:sz w:val="16"/>
          <w:szCs w:val="16"/>
          <w:color w:val="212121"/>
        </w:rPr>
        <w:t xml:space="preserve"> </w:t>
      </w:r>
      <w:r>
        <w:rPr>
          <w:rFonts w:ascii="Arial" w:cs="Arial" w:eastAsia="Arial" w:hAnsi="Arial"/>
          <w:sz w:val="16"/>
          <w:szCs w:val="16"/>
          <w:color w:val="000000"/>
        </w:rPr>
        <w:t xml:space="preserve">February 4, 2018. The adoption of this standard did not have a material impact on the Company’s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6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February 2018, the FASB issued ASU 2018-02, “</w:t>
      </w:r>
      <w:r>
        <w:rPr>
          <w:rFonts w:ascii="Arial" w:cs="Arial" w:eastAsia="Arial" w:hAnsi="Arial"/>
          <w:sz w:val="16"/>
          <w:szCs w:val="16"/>
          <w:i w:val="1"/>
          <w:iCs w:val="1"/>
          <w:color w:val="auto"/>
        </w:rPr>
        <w:t>Income Statement – 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from Accumulated Other Comprehensive Income.</w:t>
      </w:r>
      <w:r>
        <w:rPr>
          <w:rFonts w:ascii="Arial" w:cs="Arial" w:eastAsia="Arial" w:hAnsi="Arial"/>
          <w:sz w:val="16"/>
          <w:szCs w:val="16"/>
          <w:color w:val="auto"/>
        </w:rPr>
        <w:t>” The amendments in this update allow a reclassification from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 to retained earnings for stranded tax effects resulting from the Tax Cuts and Jobs Act. However, because the amendments only relate to the reclassification of the income tax effects of the Tax Cuts and Jobs Act (“2017 Tax Act”), the underlying guidance that requires that the effect of a change in tax laws or rates be included in income from continuing operations is not affected. The amendments in this update also require certain disclosures about stranded tax effects. The amendments in this update are effective for fiscal years beginning after December 15, 2018 and interim periods within those fiscal years. Early adoption is permitted. </w:t>
      </w:r>
      <w:r>
        <w:rPr>
          <w:rFonts w:ascii="Arial" w:cs="Arial" w:eastAsia="Arial" w:hAnsi="Arial"/>
          <w:sz w:val="16"/>
          <w:szCs w:val="16"/>
          <w:color w:val="212121"/>
        </w:rPr>
        <w:t>The Company</w:t>
      </w:r>
      <w:r>
        <w:rPr>
          <w:rFonts w:ascii="Arial" w:cs="Arial" w:eastAsia="Arial" w:hAnsi="Arial"/>
          <w:sz w:val="16"/>
          <w:szCs w:val="16"/>
          <w:color w:val="auto"/>
        </w:rPr>
        <w:t xml:space="preserve"> </w:t>
      </w:r>
      <w:r>
        <w:rPr>
          <w:rFonts w:ascii="Arial" w:cs="Arial" w:eastAsia="Arial" w:hAnsi="Arial"/>
          <w:sz w:val="16"/>
          <w:szCs w:val="16"/>
          <w:color w:val="252525"/>
        </w:rPr>
        <w:t>adopted</w:t>
      </w:r>
      <w:r>
        <w:rPr>
          <w:rFonts w:ascii="Arial" w:cs="Arial" w:eastAsia="Arial" w:hAnsi="Arial"/>
          <w:sz w:val="16"/>
          <w:szCs w:val="16"/>
          <w:color w:val="auto"/>
        </w:rPr>
        <w:t xml:space="preserve"> </w:t>
      </w:r>
      <w:r>
        <w:rPr>
          <w:rFonts w:ascii="Arial" w:cs="Arial" w:eastAsia="Arial" w:hAnsi="Arial"/>
          <w:sz w:val="16"/>
          <w:szCs w:val="16"/>
          <w:color w:val="212121"/>
        </w:rPr>
        <w:t>ASU</w:t>
      </w:r>
      <w:r>
        <w:rPr>
          <w:rFonts w:ascii="Arial" w:cs="Arial" w:eastAsia="Arial" w:hAnsi="Arial"/>
          <w:sz w:val="16"/>
          <w:szCs w:val="16"/>
          <w:color w:val="auto"/>
        </w:rPr>
        <w:t xml:space="preserve"> </w:t>
      </w:r>
      <w:r>
        <w:rPr>
          <w:rFonts w:ascii="Arial" w:cs="Arial" w:eastAsia="Arial" w:hAnsi="Arial"/>
          <w:sz w:val="16"/>
          <w:szCs w:val="16"/>
          <w:color w:val="252525"/>
        </w:rPr>
        <w:t>2018</w:t>
      </w:r>
      <w:r>
        <w:rPr>
          <w:rFonts w:ascii="Arial" w:cs="Arial" w:eastAsia="Arial" w:hAnsi="Arial"/>
          <w:sz w:val="16"/>
          <w:szCs w:val="16"/>
          <w:color w:val="212121"/>
        </w:rPr>
        <w:t>-</w:t>
      </w:r>
      <w:r>
        <w:rPr>
          <w:rFonts w:ascii="Arial" w:cs="Arial" w:eastAsia="Arial" w:hAnsi="Arial"/>
          <w:sz w:val="16"/>
          <w:szCs w:val="16"/>
          <w:color w:val="252525"/>
        </w:rPr>
        <w:t>02</w:t>
      </w:r>
      <w:r>
        <w:rPr>
          <w:rFonts w:ascii="Arial" w:cs="Arial" w:eastAsia="Arial" w:hAnsi="Arial"/>
          <w:sz w:val="16"/>
          <w:szCs w:val="16"/>
          <w:color w:val="auto"/>
        </w:rPr>
        <w:t xml:space="preserve"> </w:t>
      </w:r>
      <w:r>
        <w:rPr>
          <w:rFonts w:ascii="Arial" w:cs="Arial" w:eastAsia="Arial" w:hAnsi="Arial"/>
          <w:sz w:val="16"/>
          <w:szCs w:val="16"/>
          <w:color w:val="212121"/>
        </w:rPr>
        <w:t>in the fourth quarter of fiscal 2018, resulting in a $0.7 million decrease to retained</w:t>
      </w:r>
      <w:r>
        <w:rPr>
          <w:rFonts w:ascii="Arial" w:cs="Arial" w:eastAsia="Arial" w:hAnsi="Arial"/>
          <w:sz w:val="16"/>
          <w:szCs w:val="16"/>
          <w:color w:val="auto"/>
        </w:rPr>
        <w:t xml:space="preserve"> </w:t>
      </w:r>
      <w:r>
        <w:rPr>
          <w:rFonts w:ascii="Arial" w:cs="Arial" w:eastAsia="Arial" w:hAnsi="Arial"/>
          <w:sz w:val="16"/>
          <w:szCs w:val="16"/>
          <w:color w:val="212121"/>
        </w:rPr>
        <w:t>earnings (accumulated deficit) and an offsetting increase of $0.7 million to accumulated other comprehensive income (loss)</w:t>
      </w:r>
      <w:r>
        <w:rPr>
          <w:rFonts w:ascii="Arial" w:cs="Arial" w:eastAsia="Arial" w:hAnsi="Arial"/>
          <w:sz w:val="16"/>
          <w:szCs w:val="16"/>
          <w:color w:val="000000"/>
        </w:rPr>
        <w:t>.</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is a comprehensive new leases standard that amends various aspects of existing guidance for leases and requires additional disclosures about leasing arrangements. It will require lessees to recognize lease assets and lease liabilities for most leases, including those leases previously classified as operating leases under current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w:t>
      </w:r>
      <w:r>
        <w:rPr>
          <w:rFonts w:ascii="Arial" w:cs="Arial" w:eastAsia="Arial" w:hAnsi="Arial"/>
          <w:sz w:val="16"/>
          <w:szCs w:val="16"/>
          <w:color w:val="212121"/>
        </w:rPr>
        <w:t>In July 2018, the FASB issued</w:t>
      </w:r>
      <w:r>
        <w:rPr>
          <w:rFonts w:ascii="Arial" w:cs="Arial" w:eastAsia="Arial" w:hAnsi="Arial"/>
          <w:sz w:val="16"/>
          <w:szCs w:val="16"/>
          <w:color w:val="auto"/>
        </w:rPr>
        <w:t xml:space="preserve"> </w:t>
      </w:r>
      <w:r>
        <w:rPr>
          <w:rFonts w:ascii="Arial" w:cs="Arial" w:eastAsia="Arial" w:hAnsi="Arial"/>
          <w:sz w:val="16"/>
          <w:szCs w:val="16"/>
          <w:color w:val="252525"/>
        </w:rPr>
        <w:t>ASU 2018</w:t>
      </w:r>
      <w:r>
        <w:rPr>
          <w:rFonts w:ascii="Arial" w:cs="Arial" w:eastAsia="Arial" w:hAnsi="Arial"/>
          <w:sz w:val="16"/>
          <w:szCs w:val="16"/>
          <w:color w:val="212121"/>
        </w:rPr>
        <w:t>-</w:t>
      </w:r>
      <w:r>
        <w:rPr>
          <w:rFonts w:ascii="Arial" w:cs="Arial" w:eastAsia="Arial" w:hAnsi="Arial"/>
          <w:sz w:val="16"/>
          <w:szCs w:val="16"/>
          <w:color w:val="252525"/>
        </w:rPr>
        <w:t>11</w:t>
      </w:r>
      <w:r>
        <w:rPr>
          <w:rFonts w:ascii="Arial" w:cs="Arial" w:eastAsia="Arial" w:hAnsi="Arial"/>
          <w:sz w:val="16"/>
          <w:szCs w:val="16"/>
          <w:color w:val="auto"/>
        </w:rPr>
        <w:t xml:space="preserve"> </w:t>
      </w:r>
      <w:r>
        <w:rPr>
          <w:rFonts w:ascii="Arial" w:cs="Arial" w:eastAsia="Arial" w:hAnsi="Arial"/>
          <w:sz w:val="16"/>
          <w:szCs w:val="16"/>
          <w:color w:val="212121"/>
        </w:rPr>
        <w:t>“</w:t>
      </w:r>
      <w:r>
        <w:rPr>
          <w:rFonts w:ascii="Arial" w:cs="Arial" w:eastAsia="Arial" w:hAnsi="Arial"/>
          <w:sz w:val="16"/>
          <w:szCs w:val="16"/>
          <w:i w:val="1"/>
          <w:iCs w:val="1"/>
          <w:color w:val="212121"/>
        </w:rPr>
        <w:t>Leases</w:t>
      </w:r>
      <w:r>
        <w:rPr>
          <w:rFonts w:ascii="Arial" w:cs="Arial" w:eastAsia="Arial" w:hAnsi="Arial"/>
          <w:sz w:val="16"/>
          <w:szCs w:val="16"/>
          <w:color w:val="auto"/>
        </w:rPr>
        <w:t xml:space="preserve"> </w:t>
      </w:r>
      <w:r>
        <w:rPr>
          <w:rFonts w:ascii="Arial" w:cs="Arial" w:eastAsia="Arial" w:hAnsi="Arial"/>
          <w:sz w:val="16"/>
          <w:szCs w:val="16"/>
          <w:i w:val="1"/>
          <w:iCs w:val="1"/>
          <w:color w:val="212121"/>
        </w:rPr>
        <w:t>(Topic 842): Targeted Improvements.</w:t>
      </w:r>
      <w:r>
        <w:rPr>
          <w:rFonts w:ascii="Arial" w:cs="Arial" w:eastAsia="Arial" w:hAnsi="Arial"/>
          <w:sz w:val="16"/>
          <w:szCs w:val="16"/>
          <w:color w:val="212121"/>
        </w:rPr>
        <w:t>” Prior to</w:t>
      </w:r>
      <w:r>
        <w:rPr>
          <w:rFonts w:ascii="Arial" w:cs="Arial" w:eastAsia="Arial" w:hAnsi="Arial"/>
          <w:sz w:val="16"/>
          <w:szCs w:val="16"/>
          <w:i w:val="1"/>
          <w:iCs w:val="1"/>
          <w:color w:val="212121"/>
        </w:rPr>
        <w:t xml:space="preserve"> </w:t>
      </w:r>
      <w:r>
        <w:rPr>
          <w:rFonts w:ascii="Arial" w:cs="Arial" w:eastAsia="Arial" w:hAnsi="Arial"/>
          <w:sz w:val="16"/>
          <w:szCs w:val="16"/>
          <w:color w:val="252525"/>
        </w:rPr>
        <w:t>ASU 2018</w:t>
      </w:r>
      <w:r>
        <w:rPr>
          <w:rFonts w:ascii="Arial" w:cs="Arial" w:eastAsia="Arial" w:hAnsi="Arial"/>
          <w:sz w:val="16"/>
          <w:szCs w:val="16"/>
          <w:color w:val="212121"/>
        </w:rPr>
        <w:t>-</w:t>
      </w:r>
      <w:r>
        <w:rPr>
          <w:rFonts w:ascii="Arial" w:cs="Arial" w:eastAsia="Arial" w:hAnsi="Arial"/>
          <w:sz w:val="16"/>
          <w:szCs w:val="16"/>
          <w:color w:val="252525"/>
        </w:rPr>
        <w:t>11</w:t>
      </w:r>
      <w:r>
        <w:rPr>
          <w:rFonts w:ascii="Arial" w:cs="Arial" w:eastAsia="Arial" w:hAnsi="Arial"/>
          <w:sz w:val="16"/>
          <w:szCs w:val="16"/>
          <w:color w:val="212121"/>
        </w:rPr>
        <w:t>, a modified retrospective transition was required for financing or operating leases existing at or</w:t>
      </w:r>
      <w:r>
        <w:rPr>
          <w:rFonts w:ascii="Arial" w:cs="Arial" w:eastAsia="Arial" w:hAnsi="Arial"/>
          <w:sz w:val="16"/>
          <w:szCs w:val="16"/>
          <w:i w:val="1"/>
          <w:iCs w:val="1"/>
          <w:color w:val="212121"/>
        </w:rPr>
        <w:t xml:space="preserve"> </w:t>
      </w:r>
      <w:r>
        <w:rPr>
          <w:rFonts w:ascii="Arial" w:cs="Arial" w:eastAsia="Arial" w:hAnsi="Arial"/>
          <w:sz w:val="16"/>
          <w:szCs w:val="16"/>
          <w:color w:val="212121"/>
        </w:rPr>
        <w:t xml:space="preserve">entered into after the beginning of the earliest comparative period presented in the financial statements. </w:t>
      </w:r>
      <w:r>
        <w:rPr>
          <w:rFonts w:ascii="Arial" w:cs="Arial" w:eastAsia="Arial" w:hAnsi="Arial"/>
          <w:sz w:val="16"/>
          <w:szCs w:val="16"/>
          <w:color w:val="252525"/>
        </w:rPr>
        <w:t>ASU 2018</w:t>
      </w:r>
      <w:r>
        <w:rPr>
          <w:rFonts w:ascii="Arial" w:cs="Arial" w:eastAsia="Arial" w:hAnsi="Arial"/>
          <w:sz w:val="16"/>
          <w:szCs w:val="16"/>
          <w:color w:val="212121"/>
        </w:rPr>
        <w:t>-</w:t>
      </w:r>
      <w:r>
        <w:rPr>
          <w:rFonts w:ascii="Arial" w:cs="Arial" w:eastAsia="Arial" w:hAnsi="Arial"/>
          <w:sz w:val="16"/>
          <w:szCs w:val="16"/>
          <w:color w:val="252525"/>
        </w:rPr>
        <w:t>11</w:t>
      </w:r>
      <w:r>
        <w:rPr>
          <w:rFonts w:ascii="Arial" w:cs="Arial" w:eastAsia="Arial" w:hAnsi="Arial"/>
          <w:sz w:val="16"/>
          <w:szCs w:val="16"/>
          <w:color w:val="212121"/>
        </w:rPr>
        <w:t xml:space="preserve"> allows entities an additional transition method to the existing requirements whereby an entity could adopt the provisions of </w:t>
      </w:r>
      <w:r>
        <w:rPr>
          <w:rFonts w:ascii="Arial" w:cs="Arial" w:eastAsia="Arial" w:hAnsi="Arial"/>
          <w:sz w:val="16"/>
          <w:szCs w:val="16"/>
          <w:color w:val="252525"/>
        </w:rPr>
        <w:t>ASU</w:t>
      </w:r>
      <w:r>
        <w:rPr>
          <w:rFonts w:ascii="Arial" w:cs="Arial" w:eastAsia="Arial" w:hAnsi="Arial"/>
          <w:sz w:val="16"/>
          <w:szCs w:val="16"/>
          <w:color w:val="212121"/>
        </w:rPr>
        <w:t xml:space="preserve"> 2016-02 by recognizing a cumulative-effect adjustment to the opening balance of retained earnings in the period of adoption without adjustment to the financial statements for periods prior to adoption. </w:t>
      </w:r>
      <w:r>
        <w:rPr>
          <w:rFonts w:ascii="Arial" w:cs="Arial" w:eastAsia="Arial" w:hAnsi="Arial"/>
          <w:sz w:val="16"/>
          <w:szCs w:val="16"/>
          <w:color w:val="252525"/>
        </w:rPr>
        <w:t>ASU</w:t>
      </w:r>
      <w:r>
        <w:rPr>
          <w:rFonts w:ascii="Arial" w:cs="Arial" w:eastAsia="Arial" w:hAnsi="Arial"/>
          <w:sz w:val="16"/>
          <w:szCs w:val="16"/>
          <w:color w:val="212121"/>
        </w:rPr>
        <w:t xml:space="preserve"> 2016-02 is effective for interim and annual periods beginning after December 15, 2018. Early adoption is permitted.</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will adopt the standard in the first quarter of fiscal 2019 by not restating comparative periods and recognizing a cumulative-effect adjustment to the opening balance sheet of retained earnings in accordance with ASU 2018-11. The Company has implemented its leasing software solution to enable compliance with accounting and disclosure requirements. The Company has made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53" w:name="page54"/>
    <w:bookmarkEnd w:id="53"/>
    <w:p>
      <w:pPr>
        <w:ind w:right="60"/>
        <w:spacing w:after="0" w:line="286" w:lineRule="auto"/>
        <w:rPr>
          <w:sz w:val="20"/>
          <w:szCs w:val="20"/>
          <w:color w:val="auto"/>
        </w:rPr>
      </w:pPr>
      <w:r>
        <w:rPr>
          <w:rFonts w:ascii="Arial" w:cs="Arial" w:eastAsia="Arial" w:hAnsi="Arial"/>
          <w:sz w:val="16"/>
          <w:szCs w:val="16"/>
          <w:color w:val="auto"/>
        </w:rPr>
        <w:t>the necessary changes to its business processes and controls to support adoption of the new standard. The Company plans to elect the lessee non-lease component separation practical expedient, which permits the Company to not separate non-lease components from the lease components to which they relate. The Company expects to make an accounting policy election that will keep certain leases with a term of 12 months or less off the balance sheet and result in recognizing those lease payments on a straight-line basis over the lease term. As the Company’s leases do not provide an implicit rate, it plans to use its incremental borrowing rate based on information available at the date of adoption to determine the present value of future payments. While the analysis is not fully complete, the Company expects to recognize leases, primarily related to its stores and corporate headquarters, on its Consolidated Balance Sheet as right-of-use assets of approximately $217 million with corresponding lease liabilities of approximately $255 million. At the effective date, the right-of-use assets will be subject to impairment under ASC 360, which will require an analysis of impairment indicators at each reporting period. The $38 million difference between the right-of-use assets and lease liabilities upon adoption of the new lease standard will be primarily attributable to the elimination of certain existing lease-related assets and liabilities as a net adjustment to the right-of-use assets. The Company has also been amortizing a deferred gain from the sale-leaseback of its corporate office over the initial 20-year lease term. The Company’s annual rent expense under the sale-leaseback has been reduced by approximately $1.5 million each year. However, as part of our adoption of ASU 2016-02, the remaining balance of the deferred gain of $10.3 million related to the sale-leaseback will be recognized as an adjustment to opening retained earnings in fiscal 2019. The Company does not expect the adoption of this new lease accounting standard to have any other material impact on results of operations or cash flows in fiscal 2019.</w:t>
      </w:r>
    </w:p>
    <w:p>
      <w:pPr>
        <w:spacing w:after="0" w:line="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This guidance modifies the disclosure requirements on fair value measurements in Topic 820 by removing disclosures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between Level 1 and Level 2 of the fair value hierarchy, by modifying the measurement uncertainty disclosure, and by requiring additional disclosures for Level 3 fair value measurements, among others. The amendments are effective for all entities for fiscal years, and interim periods within those fiscal years, beginning after December 15, 2019. The Company is currently evaluating the impact this pronouncement will have on its Consolidated Financial Statements.</w:t>
      </w:r>
    </w:p>
    <w:p>
      <w:pPr>
        <w:spacing w:after="0" w:line="1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 other new accounting pronouncements, issued or effective during fiscal 2018, have had or are expected to have a significant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REVENUE RECOGNITION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12121"/>
        </w:rPr>
        <w:t xml:space="preserve">On February 4, 2018, the Company </w:t>
      </w:r>
      <w:r>
        <w:rPr>
          <w:rFonts w:ascii="Arial" w:cs="Arial" w:eastAsia="Arial" w:hAnsi="Arial"/>
          <w:sz w:val="18"/>
          <w:szCs w:val="18"/>
          <w:color w:val="252525"/>
        </w:rPr>
        <w:t>adopted</w:t>
      </w:r>
      <w:r>
        <w:rPr>
          <w:rFonts w:ascii="Arial" w:cs="Arial" w:eastAsia="Arial" w:hAnsi="Arial"/>
          <w:sz w:val="18"/>
          <w:szCs w:val="18"/>
          <w:color w:val="212121"/>
        </w:rPr>
        <w:t xml:space="preserve"> </w:t>
      </w:r>
      <w:r>
        <w:rPr>
          <w:rFonts w:ascii="Arial" w:cs="Arial" w:eastAsia="Arial" w:hAnsi="Arial"/>
          <w:sz w:val="18"/>
          <w:szCs w:val="18"/>
          <w:i w:val="1"/>
          <w:iCs w:val="1"/>
          <w:color w:val="212121"/>
        </w:rPr>
        <w:t>Revenue from Contracts with Customers</w:t>
      </w:r>
      <w:r>
        <w:rPr>
          <w:rFonts w:ascii="Arial" w:cs="Arial" w:eastAsia="Arial" w:hAnsi="Arial"/>
          <w:sz w:val="18"/>
          <w:szCs w:val="18"/>
          <w:color w:val="212121"/>
        </w:rPr>
        <w:t xml:space="preserve"> (“ASC </w:t>
      </w:r>
      <w:r>
        <w:rPr>
          <w:rFonts w:ascii="Arial" w:cs="Arial" w:eastAsia="Arial" w:hAnsi="Arial"/>
          <w:sz w:val="18"/>
          <w:szCs w:val="18"/>
          <w:color w:val="252525"/>
        </w:rPr>
        <w:t>606”)</w:t>
      </w:r>
      <w:r>
        <w:rPr>
          <w:rFonts w:ascii="Arial" w:cs="Arial" w:eastAsia="Arial" w:hAnsi="Arial"/>
          <w:sz w:val="18"/>
          <w:szCs w:val="18"/>
          <w:color w:val="212121"/>
        </w:rPr>
        <w:t xml:space="preserve"> using the modified retrospective approach for all contracts not completed as of the date of adoption. Results for the reporting periods beginning on February 4, 2018 are presented under ASC 606, while prior period amounts continue to be reported in accordance with accounting under ASC 605, </w:t>
      </w:r>
      <w:r>
        <w:rPr>
          <w:rFonts w:ascii="Arial" w:cs="Arial" w:eastAsia="Arial" w:hAnsi="Arial"/>
          <w:sz w:val="18"/>
          <w:szCs w:val="18"/>
          <w:i w:val="1"/>
          <w:iCs w:val="1"/>
          <w:color w:val="212121"/>
        </w:rPr>
        <w:t>Revenue Recognition</w:t>
      </w:r>
      <w:r>
        <w:rPr>
          <w:rFonts w:ascii="Arial" w:cs="Arial" w:eastAsia="Arial" w:hAnsi="Arial"/>
          <w:sz w:val="18"/>
          <w:szCs w:val="18"/>
          <w:color w:val="212121"/>
        </w:rPr>
        <w:t>. There was no material impact to the Company’s Consolidated Financial Statements as a result of adopting ASC 606.</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121"/>
        </w:rPr>
        <w:t xml:space="preserve">The Company operates as a retailer of big &amp; tall men’s apparel, which includes stores, direct and wholesale. </w:t>
      </w:r>
      <w:r>
        <w:rPr>
          <w:rFonts w:ascii="Arial" w:cs="Arial" w:eastAsia="Arial" w:hAnsi="Arial"/>
          <w:sz w:val="16"/>
          <w:szCs w:val="16"/>
          <w:color w:val="000000"/>
        </w:rPr>
        <w:t>Revenue is recognized by the operating segment</w:t>
      </w:r>
      <w:r>
        <w:rPr>
          <w:rFonts w:ascii="Arial" w:cs="Arial" w:eastAsia="Arial" w:hAnsi="Arial"/>
          <w:sz w:val="16"/>
          <w:szCs w:val="16"/>
          <w:color w:val="212121"/>
        </w:rPr>
        <w:t xml:space="preserve"> </w:t>
      </w:r>
      <w:r>
        <w:rPr>
          <w:rFonts w:ascii="Arial" w:cs="Arial" w:eastAsia="Arial" w:hAnsi="Arial"/>
          <w:sz w:val="16"/>
          <w:szCs w:val="16"/>
          <w:color w:val="000000"/>
        </w:rPr>
        <w:t xml:space="preserve">that initiates a customer’s order. Store sales are defined as sales that originate and are fulfilled directly at the store level. Direct sales are defined as sales that originate online, including those initiated online at the store level and third-party marketplaces. Wholesale sales are defined as sales made to wholesale customers pursuant to the terms of each customer’s contract with the Company. </w:t>
      </w:r>
      <w:r>
        <w:rPr>
          <w:rFonts w:ascii="Arial" w:cs="Arial" w:eastAsia="Arial" w:hAnsi="Arial"/>
          <w:sz w:val="16"/>
          <w:szCs w:val="16"/>
          <w:color w:val="212121"/>
        </w:rPr>
        <w:t>Generally, all revenues are recognized when control of the promised goods is</w:t>
      </w:r>
      <w:r>
        <w:rPr>
          <w:rFonts w:ascii="Arial" w:cs="Arial" w:eastAsia="Arial" w:hAnsi="Arial"/>
          <w:sz w:val="16"/>
          <w:szCs w:val="16"/>
          <w:color w:val="000000"/>
        </w:rPr>
        <w:t xml:space="preserve"> </w:t>
      </w:r>
      <w:r>
        <w:rPr>
          <w:rFonts w:ascii="Arial" w:cs="Arial" w:eastAsia="Arial" w:hAnsi="Arial"/>
          <w:sz w:val="16"/>
          <w:szCs w:val="16"/>
          <w:color w:val="212121"/>
        </w:rPr>
        <w:t xml:space="preserve">transferred to customers, in an amount that reflects the consideration in exchange for those goods. </w:t>
      </w:r>
      <w:r>
        <w:rPr>
          <w:rFonts w:ascii="Arial" w:cs="Arial" w:eastAsia="Arial" w:hAnsi="Arial"/>
          <w:sz w:val="16"/>
          <w:szCs w:val="16"/>
          <w:color w:val="000000"/>
        </w:rPr>
        <w:t>Sales tax collected from customers and remitted to taxing</w:t>
      </w:r>
      <w:r>
        <w:rPr>
          <w:rFonts w:ascii="Arial" w:cs="Arial" w:eastAsia="Arial" w:hAnsi="Arial"/>
          <w:sz w:val="16"/>
          <w:szCs w:val="16"/>
          <w:color w:val="212121"/>
        </w:rPr>
        <w:t xml:space="preserve"> </w:t>
      </w:r>
      <w:r>
        <w:rPr>
          <w:rFonts w:ascii="Arial" w:cs="Arial" w:eastAsia="Arial" w:hAnsi="Arial"/>
          <w:sz w:val="16"/>
          <w:szCs w:val="16"/>
          <w:color w:val="000000"/>
        </w:rPr>
        <w:t>authorities is excluded from revenue and is included as part of accrued expenses on the Consolidated Balance Sheets.</w:t>
      </w:r>
    </w:p>
    <w:p>
      <w:pPr>
        <w:spacing w:after="0" w:line="163" w:lineRule="exact"/>
        <w:rPr>
          <w:sz w:val="20"/>
          <w:szCs w:val="20"/>
          <w:color w:val="auto"/>
        </w:rPr>
      </w:pPr>
    </w:p>
    <w:p>
      <w:pPr>
        <w:ind w:left="760" w:hanging="374"/>
        <w:spacing w:after="0" w:line="277" w:lineRule="auto"/>
        <w:tabs>
          <w:tab w:leader="none" w:pos="760" w:val="left"/>
        </w:tabs>
        <w:numPr>
          <w:ilvl w:val="0"/>
          <w:numId w:val="16"/>
        </w:numPr>
        <w:rPr>
          <w:rFonts w:ascii="Arial" w:cs="Arial" w:eastAsia="Arial" w:hAnsi="Arial"/>
          <w:sz w:val="18"/>
          <w:szCs w:val="18"/>
          <w:color w:val="212121"/>
        </w:rPr>
      </w:pPr>
      <w:r>
        <w:rPr>
          <w:rFonts w:ascii="Arial" w:cs="Arial" w:eastAsia="Arial" w:hAnsi="Arial"/>
          <w:sz w:val="18"/>
          <w:szCs w:val="18"/>
          <w:color w:val="auto"/>
        </w:rPr>
        <w:t>Revenue from the Company’s store operations is recorded upon purchase of merchandise by customers, net of an allowance for sales returns, which is estimated based upon historical experience.</w:t>
      </w:r>
    </w:p>
    <w:p>
      <w:pPr>
        <w:spacing w:after="0" w:line="169" w:lineRule="exact"/>
        <w:rPr>
          <w:rFonts w:ascii="Arial" w:cs="Arial" w:eastAsia="Arial" w:hAnsi="Arial"/>
          <w:sz w:val="18"/>
          <w:szCs w:val="18"/>
          <w:color w:val="212121"/>
        </w:rPr>
      </w:pPr>
    </w:p>
    <w:p>
      <w:pPr>
        <w:ind w:left="760" w:right="20" w:hanging="374"/>
        <w:spacing w:after="0" w:line="277" w:lineRule="auto"/>
        <w:tabs>
          <w:tab w:leader="none" w:pos="760" w:val="left"/>
        </w:tabs>
        <w:numPr>
          <w:ilvl w:val="0"/>
          <w:numId w:val="16"/>
        </w:numPr>
        <w:rPr>
          <w:rFonts w:ascii="Arial" w:cs="Arial" w:eastAsia="Arial" w:hAnsi="Arial"/>
          <w:sz w:val="18"/>
          <w:szCs w:val="18"/>
          <w:color w:val="212121"/>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169" w:lineRule="exact"/>
        <w:rPr>
          <w:rFonts w:ascii="Arial" w:cs="Arial" w:eastAsia="Arial" w:hAnsi="Arial"/>
          <w:sz w:val="18"/>
          <w:szCs w:val="18"/>
          <w:color w:val="212121"/>
        </w:rPr>
      </w:pPr>
    </w:p>
    <w:p>
      <w:pPr>
        <w:jc w:val="both"/>
        <w:ind w:left="760" w:hanging="374"/>
        <w:spacing w:after="0" w:line="263" w:lineRule="auto"/>
        <w:tabs>
          <w:tab w:leader="none" w:pos="760" w:val="left"/>
        </w:tabs>
        <w:numPr>
          <w:ilvl w:val="0"/>
          <w:numId w:val="16"/>
        </w:numPr>
        <w:rPr>
          <w:rFonts w:ascii="Arial" w:cs="Arial" w:eastAsia="Arial" w:hAnsi="Arial"/>
          <w:sz w:val="18"/>
          <w:szCs w:val="18"/>
          <w:color w:val="212121"/>
        </w:rPr>
      </w:pPr>
      <w:r>
        <w:rPr>
          <w:rFonts w:ascii="Arial" w:cs="Arial" w:eastAsia="Arial" w:hAnsi="Arial"/>
          <w:sz w:val="18"/>
          <w:szCs w:val="18"/>
          <w:color w:val="auto"/>
        </w:rPr>
        <w:t>Revenue from the Company’s wholesale operations is recognized at the time the wholesale customer takes physical receipt of the merchandise, net of any identified discounts in accordance with each individual order. An allowance for chargebacks will be established once the Company has sufficient historical experience. For fiscal 2018, chargebacks were immaterial.</w:t>
      </w:r>
    </w:p>
    <w:p>
      <w:pPr>
        <w:spacing w:after="0" w:line="1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Over 90% of the Company’s customers participate in the loyalty program. Under ASC 606, these loyalty points provide the customer with a material right and a distinct performance obligation with revenue deferred and recognized when the points are redeemed or expired. The cycle of earning and redeeming loyalty points is generally under one year in duration. The loyalty accrual, net of breakage, was $1.0 million and $0.6 million at February 2, 2019 and February 3, 2018,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4" w:name="page55"/>
    <w:bookmarkEnd w:id="54"/>
    <w:p>
      <w:pPr>
        <w:ind w:right="100"/>
        <w:spacing w:after="0" w:line="287"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 its</w:t>
      </w:r>
      <w:r>
        <w:rPr>
          <w:rFonts w:ascii="Arial" w:cs="Arial" w:eastAsia="Arial" w:hAnsi="Arial"/>
          <w:sz w:val="16"/>
          <w:szCs w:val="16"/>
          <w:i w:val="1"/>
          <w:iCs w:val="1"/>
          <w:color w:val="auto"/>
        </w:rPr>
        <w:t xml:space="preserve"> </w:t>
      </w:r>
      <w:r>
        <w:rPr>
          <w:rFonts w:ascii="Arial" w:cs="Arial" w:eastAsia="Arial" w:hAnsi="Arial"/>
          <w:sz w:val="16"/>
          <w:szCs w:val="16"/>
          <w:color w:val="auto"/>
        </w:rPr>
        <w:t>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w:t>
      </w:r>
    </w:p>
    <w:p>
      <w:pPr>
        <w:spacing w:after="0" w:line="2"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"breakage". Breakage is recognized over two years in proportion to historical redemption trends and is recorded as sales in the Consolidated Statements of Operations. The gift card liability, net of breakage, was $2.4 million and $2.2 million at February 2, 2019 and February 3, 2018, respectively.</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121"/>
        </w:rPr>
        <w:t>Disaggregation of 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121"/>
        </w:rPr>
        <w:t xml:space="preserve">As noted above under </w:t>
      </w:r>
      <w:r>
        <w:rPr>
          <w:rFonts w:ascii="Arial" w:cs="Arial" w:eastAsia="Arial" w:hAnsi="Arial"/>
          <w:sz w:val="18"/>
          <w:szCs w:val="18"/>
          <w:i w:val="1"/>
          <w:iCs w:val="1"/>
          <w:color w:val="212121"/>
        </w:rPr>
        <w:t>Segment Information</w:t>
      </w:r>
      <w:r>
        <w:rPr>
          <w:rFonts w:ascii="Arial" w:cs="Arial" w:eastAsia="Arial" w:hAnsi="Arial"/>
          <w:sz w:val="18"/>
          <w:szCs w:val="18"/>
          <w:color w:val="212121"/>
        </w:rPr>
        <w:t xml:space="preserve"> in Note A, the Company’s business at February 2, 2019 consists of one reportable segment, its retail segment. Substantially all of the Company’s revenue is generated from its stores and direct businesses. The operating results from the wholesale segment have been aggregated with this reportable segment for fiscal 2019, but the revenues are separately reported below. Accordingly, the Company has determined that the following sales channels depict the nature, amount, timing, and uncertainty of how revenue and cash flows are affected by economic factors for each of the following fiscal years: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February 2, 2019</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February 3, 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color w:val="auto"/>
              </w:rPr>
              <w:t>January 28, 2017</w:t>
            </w:r>
          </w:p>
        </w:tc>
        <w:tc>
          <w:tcPr>
            <w:tcW w:w="1260" w:type="dxa"/>
            <w:vAlign w:val="bottom"/>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1180" w:type="dxa"/>
            <w:vAlign w:val="bottom"/>
          </w:tcPr>
          <w:p>
            <w:pPr>
              <w:ind w:left="100"/>
              <w:spacing w:after="0"/>
              <w:rPr>
                <w:sz w:val="20"/>
                <w:szCs w:val="20"/>
                <w:color w:val="auto"/>
              </w:rPr>
            </w:pPr>
            <w:r>
              <w:rPr>
                <w:rFonts w:ascii="Arial" w:cs="Arial" w:eastAsia="Arial" w:hAnsi="Arial"/>
                <w:sz w:val="18"/>
                <w:szCs w:val="18"/>
                <w:color w:val="auto"/>
              </w:rPr>
              <w:t>Store sales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369,200</w:t>
            </w:r>
          </w:p>
        </w:tc>
        <w:tc>
          <w:tcPr>
            <w:tcW w:w="740" w:type="dxa"/>
            <w:vAlign w:val="bottom"/>
          </w:tcPr>
          <w:p>
            <w:pPr>
              <w:ind w:left="100"/>
              <w:spacing w:after="0"/>
              <w:rPr>
                <w:sz w:val="20"/>
                <w:szCs w:val="20"/>
                <w:color w:val="auto"/>
              </w:rPr>
            </w:pPr>
            <w:r>
              <w:rPr>
                <w:rFonts w:ascii="Arial" w:cs="Arial" w:eastAsia="Arial" w:hAnsi="Arial"/>
                <w:sz w:val="14"/>
                <w:szCs w:val="14"/>
                <w:i w:val="1"/>
                <w:iCs w:val="1"/>
                <w:color w:val="auto"/>
              </w:rPr>
              <w:t>78.4%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369,422</w:t>
            </w:r>
          </w:p>
        </w:tc>
        <w:tc>
          <w:tcPr>
            <w:tcW w:w="700" w:type="dxa"/>
            <w:vAlign w:val="bottom"/>
            <w:gridSpan w:val="3"/>
          </w:tcPr>
          <w:p>
            <w:pPr>
              <w:ind w:left="100"/>
              <w:spacing w:after="0"/>
              <w:rPr>
                <w:sz w:val="20"/>
                <w:szCs w:val="20"/>
                <w:color w:val="auto"/>
              </w:rPr>
            </w:pPr>
            <w:r>
              <w:rPr>
                <w:rFonts w:ascii="Arial" w:cs="Arial" w:eastAsia="Arial" w:hAnsi="Arial"/>
                <w:sz w:val="14"/>
                <w:szCs w:val="14"/>
                <w:i w:val="1"/>
                <w:iCs w:val="1"/>
                <w:color w:val="auto"/>
              </w:rPr>
              <w:t>79.0%</w:t>
            </w:r>
          </w:p>
        </w:tc>
        <w:tc>
          <w:tcPr>
            <w:tcW w:w="380" w:type="dxa"/>
            <w:vAlign w:val="bottom"/>
          </w:tcPr>
          <w:p>
            <w:pPr>
              <w:spacing w:after="0"/>
              <w:rPr>
                <w:sz w:val="19"/>
                <w:szCs w:val="19"/>
                <w:color w:val="auto"/>
              </w:rPr>
            </w:pP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360,725</w:t>
            </w:r>
          </w:p>
        </w:tc>
        <w:tc>
          <w:tcPr>
            <w:tcW w:w="1260" w:type="dxa"/>
            <w:vAlign w:val="bottom"/>
          </w:tcPr>
          <w:p>
            <w:pPr>
              <w:ind w:left="60"/>
              <w:spacing w:after="0"/>
              <w:rPr>
                <w:sz w:val="20"/>
                <w:szCs w:val="20"/>
                <w:color w:val="auto"/>
              </w:rPr>
            </w:pPr>
            <w:r>
              <w:rPr>
                <w:rFonts w:ascii="Arial" w:cs="Arial" w:eastAsia="Arial" w:hAnsi="Arial"/>
                <w:sz w:val="14"/>
                <w:szCs w:val="14"/>
                <w:i w:val="1"/>
                <w:iCs w:val="1"/>
                <w:color w:val="auto"/>
              </w:rPr>
              <w:t>80.1%</w:t>
            </w:r>
          </w:p>
        </w:tc>
      </w:tr>
      <w:tr>
        <w:trPr>
          <w:trHeight w:val="229"/>
        </w:trPr>
        <w:tc>
          <w:tcPr>
            <w:tcW w:w="460" w:type="dxa"/>
            <w:vAlign w:val="bottom"/>
          </w:tcPr>
          <w:p>
            <w:pPr>
              <w:spacing w:after="0"/>
              <w:rPr>
                <w:sz w:val="19"/>
                <w:szCs w:val="19"/>
                <w:color w:val="auto"/>
              </w:rPr>
            </w:pPr>
          </w:p>
        </w:tc>
        <w:tc>
          <w:tcPr>
            <w:tcW w:w="11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Direct sales</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101,714</w:t>
            </w:r>
          </w:p>
        </w:tc>
        <w:tc>
          <w:tcPr>
            <w:tcW w:w="740" w:type="dxa"/>
            <w:vAlign w:val="bottom"/>
            <w:shd w:val="clear" w:color="auto" w:fill="CFF0FC"/>
          </w:tcPr>
          <w:p>
            <w:pPr>
              <w:ind w:left="100"/>
              <w:spacing w:after="0"/>
              <w:rPr>
                <w:sz w:val="20"/>
                <w:szCs w:val="20"/>
                <w:color w:val="auto"/>
              </w:rPr>
            </w:pPr>
            <w:r>
              <w:rPr>
                <w:rFonts w:ascii="Arial" w:cs="Arial" w:eastAsia="Arial" w:hAnsi="Arial"/>
                <w:sz w:val="14"/>
                <w:szCs w:val="14"/>
                <w:i w:val="1"/>
                <w:iCs w:val="1"/>
                <w:color w:val="auto"/>
              </w:rPr>
              <w:t>21.6%</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98,069</w:t>
            </w:r>
          </w:p>
        </w:tc>
        <w:tc>
          <w:tcPr>
            <w:tcW w:w="700" w:type="dxa"/>
            <w:vAlign w:val="bottom"/>
            <w:gridSpan w:val="3"/>
            <w:shd w:val="clear" w:color="auto" w:fill="CFF0FC"/>
          </w:tcPr>
          <w:p>
            <w:pPr>
              <w:ind w:left="100"/>
              <w:spacing w:after="0"/>
              <w:rPr>
                <w:sz w:val="20"/>
                <w:szCs w:val="20"/>
                <w:color w:val="auto"/>
              </w:rPr>
            </w:pPr>
            <w:r>
              <w:rPr>
                <w:rFonts w:ascii="Arial" w:cs="Arial" w:eastAsia="Arial" w:hAnsi="Arial"/>
                <w:sz w:val="14"/>
                <w:szCs w:val="14"/>
                <w:i w:val="1"/>
                <w:iCs w:val="1"/>
                <w:color w:val="auto"/>
              </w:rPr>
              <w:t>21.0%</w:t>
            </w:r>
          </w:p>
        </w:tc>
        <w:tc>
          <w:tcPr>
            <w:tcW w:w="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89,558</w:t>
            </w:r>
          </w:p>
        </w:tc>
        <w:tc>
          <w:tcPr>
            <w:tcW w:w="1260" w:type="dxa"/>
            <w:vAlign w:val="bottom"/>
            <w:shd w:val="clear" w:color="auto" w:fill="CFF0FC"/>
          </w:tcPr>
          <w:p>
            <w:pPr>
              <w:ind w:left="60"/>
              <w:spacing w:after="0"/>
              <w:rPr>
                <w:sz w:val="20"/>
                <w:szCs w:val="20"/>
                <w:color w:val="auto"/>
              </w:rPr>
            </w:pPr>
            <w:r>
              <w:rPr>
                <w:rFonts w:ascii="Arial" w:cs="Arial" w:eastAsia="Arial" w:hAnsi="Arial"/>
                <w:sz w:val="14"/>
                <w:szCs w:val="14"/>
                <w:i w:val="1"/>
                <w:iCs w:val="1"/>
                <w:color w:val="auto"/>
              </w:rPr>
              <w:t>19.9%</w:t>
            </w:r>
          </w:p>
        </w:tc>
      </w:tr>
      <w:tr>
        <w:trPr>
          <w:trHeight w:val="223"/>
        </w:trPr>
        <w:tc>
          <w:tcPr>
            <w:tcW w:w="46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6"/>
              </w:rPr>
              <w:t>Retail segment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470,914</w:t>
            </w:r>
          </w:p>
        </w:tc>
        <w:tc>
          <w:tcPr>
            <w:tcW w:w="740" w:type="dxa"/>
            <w:vAlign w:val="bottom"/>
          </w:tcPr>
          <w:p>
            <w:pPr>
              <w:ind w:left="100"/>
              <w:spacing w:after="0"/>
              <w:rPr>
                <w:sz w:val="20"/>
                <w:szCs w:val="20"/>
                <w:color w:val="auto"/>
              </w:rPr>
            </w:pPr>
            <w:r>
              <w:rPr>
                <w:rFonts w:ascii="Arial" w:cs="Arial" w:eastAsia="Arial" w:hAnsi="Arial"/>
                <w:sz w:val="14"/>
                <w:szCs w:val="14"/>
                <w:i w:val="1"/>
                <w:iCs w:val="1"/>
                <w:color w:val="auto"/>
              </w:rPr>
              <w:t>100.0%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467,491</w:t>
            </w:r>
          </w:p>
        </w:tc>
        <w:tc>
          <w:tcPr>
            <w:tcW w:w="700" w:type="dxa"/>
            <w:vAlign w:val="bottom"/>
            <w:gridSpan w:val="3"/>
          </w:tcPr>
          <w:p>
            <w:pPr>
              <w:ind w:left="100"/>
              <w:spacing w:after="0"/>
              <w:rPr>
                <w:sz w:val="20"/>
                <w:szCs w:val="20"/>
                <w:color w:val="auto"/>
              </w:rPr>
            </w:pPr>
            <w:r>
              <w:rPr>
                <w:rFonts w:ascii="Arial" w:cs="Arial" w:eastAsia="Arial" w:hAnsi="Arial"/>
                <w:sz w:val="14"/>
                <w:szCs w:val="14"/>
                <w:i w:val="1"/>
                <w:iCs w:val="1"/>
                <w:color w:val="auto"/>
              </w:rPr>
              <w:t>100.0%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450,283</w:t>
            </w:r>
          </w:p>
        </w:tc>
        <w:tc>
          <w:tcPr>
            <w:tcW w:w="1260" w:type="dxa"/>
            <w:vAlign w:val="bottom"/>
          </w:tcPr>
          <w:p>
            <w:pPr>
              <w:ind w:left="60"/>
              <w:spacing w:after="0"/>
              <w:rPr>
                <w:sz w:val="20"/>
                <w:szCs w:val="20"/>
                <w:color w:val="auto"/>
              </w:rPr>
            </w:pPr>
            <w:r>
              <w:rPr>
                <w:rFonts w:ascii="Arial" w:cs="Arial" w:eastAsia="Arial" w:hAnsi="Arial"/>
                <w:sz w:val="14"/>
                <w:szCs w:val="14"/>
                <w:i w:val="1"/>
                <w:iCs w:val="1"/>
                <w:color w:val="auto"/>
              </w:rPr>
              <w:t>100.0%</w:t>
            </w:r>
          </w:p>
        </w:tc>
      </w:tr>
      <w:tr>
        <w:trPr>
          <w:trHeight w:val="229"/>
        </w:trPr>
        <w:tc>
          <w:tcPr>
            <w:tcW w:w="460" w:type="dxa"/>
            <w:vAlign w:val="bottom"/>
          </w:tcPr>
          <w:p>
            <w:pPr>
              <w:spacing w:after="0"/>
              <w:rPr>
                <w:sz w:val="19"/>
                <w:szCs w:val="19"/>
                <w:color w:val="auto"/>
              </w:rPr>
            </w:pPr>
          </w:p>
        </w:tc>
        <w:tc>
          <w:tcPr>
            <w:tcW w:w="2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Wholesale segment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Total sales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473,756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450,283</w:t>
            </w:r>
          </w:p>
        </w:tc>
        <w:tc>
          <w:tcPr>
            <w:tcW w:w="1260" w:type="dxa"/>
            <w:vAlign w:val="bottom"/>
          </w:tcPr>
          <w:p>
            <w:pPr>
              <w:spacing w:after="0"/>
              <w:rPr>
                <w:sz w:val="19"/>
                <w:szCs w:val="19"/>
                <w:color w:val="auto"/>
              </w:rPr>
            </w:pPr>
          </w:p>
        </w:tc>
      </w:tr>
      <w:tr>
        <w:trPr>
          <w:trHeight w:val="20"/>
        </w:trPr>
        <w:tc>
          <w:tcPr>
            <w:tcW w:w="17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20"/>
        </w:trPr>
        <w:tc>
          <w:tcPr>
            <w:tcW w:w="4180" w:type="dxa"/>
            <w:vAlign w:val="bottom"/>
            <w:gridSpan w:val="7"/>
          </w:tcPr>
          <w:p>
            <w:pPr>
              <w:spacing w:after="0"/>
              <w:rPr>
                <w:sz w:val="20"/>
                <w:szCs w:val="20"/>
                <w:color w:val="auto"/>
              </w:rPr>
            </w:pPr>
            <w:r>
              <w:rPr>
                <w:rFonts w:ascii="Arial" w:cs="Arial" w:eastAsia="Arial" w:hAnsi="Arial"/>
                <w:sz w:val="18"/>
                <w:szCs w:val="18"/>
                <w:b w:val="1"/>
                <w:bCs w:val="1"/>
                <w:color w:val="auto"/>
              </w:rPr>
              <w:t>C. PROPERTY AND EQUIPMENT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5320" w:type="dxa"/>
            <w:vAlign w:val="bottom"/>
            <w:gridSpan w:val="10"/>
          </w:tcPr>
          <w:p>
            <w:pPr>
              <w:spacing w:after="0"/>
              <w:rPr>
                <w:sz w:val="20"/>
                <w:szCs w:val="20"/>
                <w:color w:val="auto"/>
              </w:rPr>
            </w:pPr>
            <w:r>
              <w:rPr>
                <w:rFonts w:ascii="Arial" w:cs="Arial" w:eastAsia="Arial" w:hAnsi="Arial"/>
                <w:sz w:val="18"/>
                <w:szCs w:val="18"/>
                <w:color w:val="auto"/>
                <w:w w:val="91"/>
              </w:rPr>
              <w:t>Property and equipment consisted of the following at the dates indicated:</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color w:val="auto"/>
              </w:rPr>
              <w:t>February 2, 2019</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w w:val="97"/>
              </w:rPr>
              <w:t>February 3, 2018</w:t>
            </w:r>
          </w:p>
        </w:tc>
        <w:tc>
          <w:tcPr>
            <w:tcW w:w="1260" w:type="dxa"/>
            <w:vAlign w:val="bottom"/>
          </w:tcPr>
          <w:p>
            <w:pPr>
              <w:spacing w:after="0"/>
              <w:rPr>
                <w:sz w:val="24"/>
                <w:szCs w:val="24"/>
                <w:color w:val="auto"/>
              </w:rPr>
            </w:pPr>
          </w:p>
        </w:tc>
      </w:tr>
      <w:tr>
        <w:trPr>
          <w:trHeight w:val="223"/>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tcBorders>
              <w:top w:val="single" w:sz="8" w:color="auto"/>
            </w:tcBorders>
            <w:gridSpan w:val="4"/>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76,809</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75,895</w:t>
            </w: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Equipment</w:t>
            </w:r>
          </w:p>
        </w:tc>
        <w:tc>
          <w:tcPr>
            <w:tcW w:w="1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22,141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21,612</w:t>
            </w: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119,314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117,274</w:t>
            </w:r>
          </w:p>
        </w:tc>
        <w:tc>
          <w:tcPr>
            <w:tcW w:w="60" w:type="dxa"/>
            <w:vAlign w:val="bottom"/>
            <w:tcBorders>
              <w:right w:val="single" w:sz="8" w:color="CFF0FC"/>
            </w:tcBorders>
            <w:shd w:val="clear" w:color="auto" w:fill="CFF0FC"/>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tcPr>
          <w:p>
            <w:pPr>
              <w:spacing w:after="0"/>
              <w:rPr>
                <w:sz w:val="20"/>
                <w:szCs w:val="20"/>
                <w:color w:val="auto"/>
              </w:rPr>
            </w:pPr>
            <w:r>
              <w:rPr>
                <w:rFonts w:ascii="Arial" w:cs="Arial" w:eastAsia="Arial" w:hAnsi="Arial"/>
                <w:sz w:val="18"/>
                <w:szCs w:val="18"/>
                <w:color w:val="auto"/>
              </w:rPr>
              <w:t>Hardware and software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89,688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84,532</w:t>
            </w: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60" w:type="dxa"/>
            <w:vAlign w:val="bottom"/>
            <w:tcBorders>
              <w:right w:val="single" w:sz="8" w:color="CFF0FC"/>
            </w:tcBorders>
            <w:shd w:val="clear" w:color="auto" w:fill="CFF0FC"/>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314,030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304,294</w:t>
            </w: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6"/>
              </w:rPr>
              <w:t>Less: accumulated depreciation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221,505</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193,262</w:t>
            </w:r>
          </w:p>
        </w:tc>
        <w:tc>
          <w:tcPr>
            <w:tcW w:w="60" w:type="dxa"/>
            <w:vAlign w:val="bottom"/>
            <w:tcBorders>
              <w:right w:val="single" w:sz="8" w:color="CFF0FC"/>
            </w:tcBorders>
            <w:shd w:val="clear" w:color="auto" w:fill="CFF0FC"/>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40" w:type="dxa"/>
            <w:vAlign w:val="bottom"/>
            <w:gridSpan w:val="5"/>
          </w:tcPr>
          <w:p>
            <w:pPr>
              <w:ind w:left="80"/>
              <w:spacing w:after="0"/>
              <w:rPr>
                <w:sz w:val="20"/>
                <w:szCs w:val="20"/>
                <w:color w:val="auto"/>
              </w:rPr>
            </w:pPr>
            <w:r>
              <w:rPr>
                <w:rFonts w:ascii="Arial" w:cs="Arial" w:eastAsia="Arial" w:hAnsi="Arial"/>
                <w:sz w:val="18"/>
                <w:szCs w:val="18"/>
                <w:color w:val="auto"/>
              </w:rPr>
              <w:t>Total property and equipment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92,525</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111,032</w:t>
            </w: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2018, 2017 and 2016 was $28.4 million, $30.7 million and $29.8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DEBT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225" w:lineRule="exact"/>
        <w:rPr>
          <w:sz w:val="20"/>
          <w:szCs w:val="20"/>
          <w:color w:val="auto"/>
        </w:rPr>
      </w:pPr>
    </w:p>
    <w:p>
      <w:pPr>
        <w:ind w:right="320"/>
        <w:spacing w:after="0" w:line="341" w:lineRule="auto"/>
        <w:rPr>
          <w:sz w:val="20"/>
          <w:szCs w:val="20"/>
          <w:color w:val="auto"/>
        </w:rPr>
      </w:pPr>
      <w:r>
        <w:rPr>
          <w:rFonts w:ascii="Arial" w:cs="Arial" w:eastAsia="Arial" w:hAnsi="Arial"/>
          <w:sz w:val="16"/>
          <w:szCs w:val="16"/>
          <w:color w:val="auto"/>
        </w:rPr>
        <w:t>On May 24, 2018, the Company entered into the Seventh Amended and Restated Credit Agreement with Bank of America, N.A., as agent, providing for a secured $140.0 million credit facility (the “Credit Facility”). The Credit Facility replaced the Company’s previous credit facility with Bank of America.</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Facility continues to provide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There were no changes to the sublimit of $20.0 million for commercial and standby letter of credits or the sublimit of up to $15.0 million for swingline loans. The Company’s ability to borrow under the Credit Facility (the “Loan Cap”) is determined using an availability formula based on eligible assets. The Credit Facility requires the Company to maintain a minimum consolidated fixed charge coverage ratio of 1.0:1.0 if its excess availability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55" w:name="page56"/>
    <w:bookmarkEnd w:id="55"/>
    <w:p>
      <w:pPr>
        <w:jc w:val="both"/>
        <w:spacing w:after="0" w:line="341" w:lineRule="auto"/>
        <w:rPr>
          <w:sz w:val="20"/>
          <w:szCs w:val="20"/>
          <w:color w:val="auto"/>
        </w:rPr>
      </w:pPr>
      <w:r>
        <w:rPr>
          <w:rFonts w:ascii="Arial" w:cs="Arial" w:eastAsia="Arial" w:hAnsi="Arial"/>
          <w:sz w:val="16"/>
          <w:szCs w:val="16"/>
          <w:color w:val="auto"/>
        </w:rPr>
        <w:t xml:space="preserve">under the Credit Facility fails to be equal to or greater than the greater of 10% of the Loan Cap and $7.5 million. </w:t>
      </w:r>
      <w:r>
        <w:rPr>
          <w:rFonts w:ascii="Arial" w:cs="Arial" w:eastAsia="Arial" w:hAnsi="Arial"/>
          <w:sz w:val="16"/>
          <w:szCs w:val="16"/>
          <w:color w:val="000033"/>
        </w:rPr>
        <w:t>The maturity date of the Credit Facility was</w:t>
      </w:r>
      <w:r>
        <w:rPr>
          <w:rFonts w:ascii="Arial" w:cs="Arial" w:eastAsia="Arial" w:hAnsi="Arial"/>
          <w:sz w:val="16"/>
          <w:szCs w:val="16"/>
          <w:color w:val="auto"/>
        </w:rPr>
        <w:t xml:space="preserve"> </w:t>
      </w:r>
      <w:r>
        <w:rPr>
          <w:rFonts w:ascii="Arial" w:cs="Arial" w:eastAsia="Arial" w:hAnsi="Arial"/>
          <w:sz w:val="16"/>
          <w:szCs w:val="16"/>
          <w:color w:val="000033"/>
        </w:rPr>
        <w:t xml:space="preserve">extended from October 29, 2019 to May 24, 2023. </w:t>
      </w:r>
      <w:r>
        <w:rPr>
          <w:rFonts w:ascii="Arial" w:cs="Arial" w:eastAsia="Arial" w:hAnsi="Arial"/>
          <w:sz w:val="16"/>
          <w:szCs w:val="16"/>
          <w:color w:val="000000"/>
        </w:rPr>
        <w:t>The Company’s obligations under the Credit Facility are secured by a lien on substantially all of its assets.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Credit Facility includes a new $15.0 million “first in, last out” (FILO) term facility (the “FILO Loan”), which is discussed below under long-term debt.</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Borrowings made pursuant to the Revolving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8"/>
          <w:szCs w:val="18"/>
          <w:color w:val="000033"/>
        </w:rPr>
        <w:t>0.50%,</w:t>
      </w:r>
      <w:r>
        <w:rPr>
          <w:rFonts w:ascii="Arial" w:cs="Arial" w:eastAsia="Arial" w:hAnsi="Arial"/>
          <w:sz w:val="18"/>
          <w:szCs w:val="18"/>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8"/>
          <w:szCs w:val="18"/>
          <w:color w:val="000033"/>
        </w:rPr>
        <w:t>1.25% or 1.50%.</w:t>
      </w:r>
    </w:p>
    <w:p>
      <w:pPr>
        <w:spacing w:after="0" w:line="186"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At February 2, 2019, the Company had outstanding borrowings under the Revolving Facility of $42.3 million, before unamortized debt issuance costs of $0.4 million. Outstanding standby letters of credit were $2.9 million and outstanding documentary letters of credit were $1.5 million. Unused excess availability at February 2, 2019 was $45.6 million. Average monthly borrowings outstanding under the previous credit facility and the new Revolving Facility during fiscal 2018 were $54.1 million, resulting in an average unused excess availability of approximately $37.8 million.</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is also subject to an unused line fee of 0.25%. In connection with the Credit Facility, the Company wrote-off $0.1 million of unamortized debt issuance costs. At February 2, 2019, the Company’s prime-based interest rate was 5.75%. At February 2, 2019, the Company had approximately $36.0 million of its outstanding borrowings in LIBOR-based contracts with an interest rate of 3.69%. The LIBOR-based contracts expired on February 7, 2019. When a LIBOR-based borrowing expires, the borrowings revert back to prime-based borrowings unless the Company enters into a new LIBOR-based borrowing arrangement.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fair value of the amount outstanding under the Revolving Facility at February 2, 2019 approximated the carrying value.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February 2, 2019</w:t>
            </w:r>
          </w:p>
        </w:tc>
        <w:tc>
          <w:tcPr>
            <w:tcW w:w="8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February 3, 2018</w:t>
            </w: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FILO loan</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3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Less: unamortized debt issuance costs</w:t>
            </w: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r>
      <w:tr>
        <w:trPr>
          <w:trHeight w:val="223"/>
        </w:trPr>
        <w:tc>
          <w:tcPr>
            <w:tcW w:w="5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10,669</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FILO Loan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loan during the first year. After its one-year anniversary, the FILO loan can be repaid, in whole or in part, subject to certain payment conditions. The term loan expires on May 24, 2023, if not repaid in full prior to that date.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000033"/>
        </w:rPr>
        <w:t xml:space="preserve">Borrowings made under the FILO loan will bear interest, </w:t>
      </w:r>
      <w:r>
        <w:rPr>
          <w:rFonts w:ascii="Arial" w:cs="Arial" w:eastAsia="Arial" w:hAnsi="Arial"/>
          <w:sz w:val="18"/>
          <w:szCs w:val="18"/>
          <w:color w:val="000000"/>
        </w:rPr>
        <w:t>calculated under either the Federal Funds rate or the LIBOR rate, at a rate equal to the following: (a)</w:t>
      </w:r>
      <w:r>
        <w:rPr>
          <w:rFonts w:ascii="Arial" w:cs="Arial" w:eastAsia="Arial" w:hAnsi="Arial"/>
          <w:sz w:val="18"/>
          <w:szCs w:val="18"/>
          <w:color w:val="000033"/>
        </w:rPr>
        <w:t xml:space="preserve"> </w:t>
      </w:r>
      <w:r>
        <w:rPr>
          <w:rFonts w:ascii="Arial" w:cs="Arial" w:eastAsia="Arial" w:hAnsi="Arial"/>
          <w:sz w:val="18"/>
          <w:szCs w:val="18"/>
          <w:color w:val="000000"/>
        </w:rPr>
        <w:t xml:space="preserve">the Federal Funds rate plus a varying percentage based on the Company’s excess availability, of either </w:t>
      </w:r>
      <w:r>
        <w:rPr>
          <w:rFonts w:ascii="Arial" w:cs="Arial" w:eastAsia="Arial" w:hAnsi="Arial"/>
          <w:sz w:val="18"/>
          <w:szCs w:val="18"/>
          <w:color w:val="000033"/>
        </w:rPr>
        <w:t>1.75% or 2.00%</w:t>
      </w:r>
      <w:r>
        <w:rPr>
          <w:rFonts w:ascii="Arial" w:cs="Arial" w:eastAsia="Arial" w:hAnsi="Arial"/>
          <w:sz w:val="18"/>
          <w:szCs w:val="18"/>
          <w:color w:val="000000"/>
        </w:rPr>
        <w:t xml:space="preserve"> or (b) the LIBOR rate (the Company being able to select interest periods of 1 week, 1 month, 2 months, 3 months or 6 months) plus a varying percentage based on the Company’s excess availability, of either 2.75% or 3.00%. At February 2, 2019, the outstanding balance of $15.0 million was in a 2-month LIBOR-based contract with an interest rate of 5.29%. The LIBOR-based contract expired on February 7, 2019. When a LIBOR-based borrowing expires, the Company can enter into a new LIBOR-based borrowing arrangement.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September 30, 2013 (the “Master Agreement”), the Company entered into twelve equipment security notes between September 2013</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6" w:name="page57"/>
    <w:bookmarkEnd w:id="56"/>
    <w:p>
      <w:pPr>
        <w:ind w:right="500"/>
        <w:spacing w:after="0" w:line="277" w:lineRule="auto"/>
        <w:rPr>
          <w:sz w:val="20"/>
          <w:szCs w:val="20"/>
          <w:color w:val="auto"/>
        </w:rPr>
      </w:pPr>
      <w:r>
        <w:rPr>
          <w:rFonts w:ascii="Arial" w:cs="Arial" w:eastAsia="Arial" w:hAnsi="Arial"/>
          <w:sz w:val="18"/>
          <w:szCs w:val="18"/>
          <w:color w:val="auto"/>
        </w:rPr>
        <w:t>and June 2014 (in aggregate, the “Notes”), whereby the Company borrowed an aggregate of $26.4 million. The Notes were for a term of 48 months and accrued interest at fixed rates ranging from 3.07% to 3.50%.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repaid, in full, without penalty, the remaining outstanding balance on the Notes during the second quarter of fiscal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October 30, 2014, the Company entered into a $15 million senior secured term loan facility with Wells Fargo Bank, National Association as administrative and collateral agent (the “Term Loan Facility”). The effective date of the Term Loan Facility was October 29, 2014 (the “Effective Date”). Interest on the Term Loan Facility was at a rate per annum equal to the greater of (a) 1.00% and (b) the one month LIBOR rate, plus 6.50%. In connection with the Credit Facility, discussed above, on May 24, 2018 this Term Loan Facility was repaid in full, without penalty. In connection with the repayment, the Company wrote-off approximately $0.1 million in unamortized debt issuance costs associated with this Term Loan Facility.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301"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i w:val="1"/>
                <w:iCs w:val="1"/>
                <w:color w:val="auto"/>
                <w:w w:val="94"/>
              </w:rPr>
              <w:t>(in thousands)</w:t>
            </w:r>
          </w:p>
        </w:tc>
        <w:tc>
          <w:tcPr>
            <w:tcW w:w="60" w:type="dxa"/>
            <w:vAlign w:val="bottom"/>
          </w:tcPr>
          <w:p>
            <w:pPr>
              <w:spacing w:after="0"/>
              <w:rPr>
                <w:sz w:val="14"/>
                <w:szCs w:val="14"/>
                <w:color w:val="auto"/>
              </w:rPr>
            </w:pPr>
          </w:p>
        </w:tc>
      </w:tr>
      <w:tr>
        <w:trPr>
          <w:trHeight w:val="398"/>
        </w:trPr>
        <w:tc>
          <w:tcPr>
            <w:tcW w:w="3200" w:type="dxa"/>
            <w:vAlign w:val="bottom"/>
          </w:tcPr>
          <w:p>
            <w:pPr>
              <w:spacing w:after="0"/>
              <w:rPr>
                <w:sz w:val="20"/>
                <w:szCs w:val="20"/>
                <w:color w:val="auto"/>
              </w:rPr>
            </w:pPr>
            <w:r>
              <w:rPr>
                <w:rFonts w:ascii="Arial" w:cs="Arial" w:eastAsia="Arial" w:hAnsi="Arial"/>
                <w:sz w:val="18"/>
                <w:szCs w:val="18"/>
                <w:color w:val="auto"/>
              </w:rPr>
              <w:t>Fiscal 2019</w:t>
            </w:r>
          </w:p>
        </w:tc>
        <w:tc>
          <w:tcPr>
            <w:tcW w:w="2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Fiscal 2021</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Fiscal 2023</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and fees totaling $3.0 million, $3.2 million and $2.8 million for fiscal 2018, 2017 and 2016,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INCOME TAXES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the fourth quarter of fiscal 2013, the Company has maintained a valuation allowance against its deferred tax assets. While the Company has projected it will return to profitability, generate taxable income and ultimately emerge from a three-year cumulative loss, based on operating results for fiscal 2018 and the Company’s forecast for fiscal 2019, the Company believes that a full allowance remains appropriate at this time. Realization of the Company’s deferred tax assets is dependent on generating sufficient taxable income in the near term.</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2017 Tax Act was enacted on December 22, 2017 and it reduced the U.S. federal corporate tax rate from 35% to 21%, eliminated the 20-year limit on the carryforward of post-enactment losses, and resulted in the Company remeasuring its existing deferred tax balances. In addition, the 2017 Tax Act limits the future deductibility of certain items, such as certain compensation and interest expenses, and allows qualifying capital expenditures to be deducted fully in the year of purchase. In fiscal 2017, the Company remeasured its deferred tax assets and liabilities based on the rates at which they are expected to reverse in the future, which is generally 21%. Because the Company’s valuation allowance against these deferred assets was also remeasured, there was no impact to the Company’s income tax provision in fiscal 2017, see the reconciliation table between the statutory and effective income tax rates. The 2017 Tax Act allows for the indefinite carryforward of future net operating losses and imposes an annual limitation on the utilization of future losses, based on 80% of taxable income.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February 2, 2019, for federal income tax purposes, the Company has net operating loss carryforwards of $141.5 million, which will expire from fiscal 2022 through fiscal 2036 and net operating loss carryforwards of $19.7 million that are not subject to expiration. For state income tax purposes, the Company has $89.4 million of net operating losses that are available to offset future taxable income, which will expire from fiscal 2019 through fiscal 2038. Additionally, the Company has $3.3 million of net operating loss carryforwards related to the Company’s operations in Canada, which will expire from fiscal 2025 through fiscal 2038.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7" w:name="page58"/>
    <w:bookmarkEnd w:id="57"/>
    <w:p>
      <w:pPr>
        <w:ind w:right="260"/>
        <w:spacing w:after="0" w:line="263"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fiscal 2017, as part of the 2017 Tax Act, the corporate alternative minimum tax (“AMT”) was repealed and the Company’s AMT credit of $2.1 million, net of the applicable sequestration rate, became refundable. Accordingly, in fiscal 2017, the Company reversed its valuation allowance against the AMT credit, recognized an income tax benefit for $2.1 million and established a receivable of $2.1 million, which will be realized over the next four fiscal years. Late in fiscal 2018, the IRS issued an announcement that federal sequestration rules would not apply to certain AMT refunds, accordingly, the Company recognized an additional income tax benefit of $0.2 million in fiscal 2018. At February 2, 2019, the balance of the AMT receivable is $2.3 million.</w:t>
      </w:r>
    </w:p>
    <w:p>
      <w:pPr>
        <w:spacing w:after="0" w:line="1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2017, the Company reclassified approximately $2.1 million to accumulated deficit from accumulated other comprehensive income (loss) due to intraperiod tax allocations. Approximately $1.4 million of this pertained to years prior to FY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as of February 2, 2019 and February 3, 2018 were as follows (in thousands):</w:t>
      </w:r>
    </w:p>
    <w:p>
      <w:pPr>
        <w:spacing w:after="0" w:line="301"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February 2, 2019</w:t>
            </w:r>
          </w:p>
        </w:tc>
        <w:tc>
          <w:tcPr>
            <w:tcW w:w="8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February 3, 2018</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4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39,804</w:t>
            </w:r>
          </w:p>
        </w:tc>
        <w:tc>
          <w:tcPr>
            <w:tcW w:w="120" w:type="dxa"/>
            <w:vAlign w:val="bottom"/>
          </w:tcPr>
          <w:p>
            <w:pPr>
              <w:spacing w:after="0"/>
              <w:rPr>
                <w:sz w:val="19"/>
                <w:szCs w:val="19"/>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Gain on sale-leaseback</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Lease accruals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Goodwill and intangibles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Unrecognized loss on pension and pension expense</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Capital loss carryforward</w:t>
            </w:r>
          </w:p>
        </w:tc>
        <w:tc>
          <w:tcPr>
            <w:tcW w:w="3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Inventory reserves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Foreign tax credit carryforward</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wage tax credit carryforward</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Unrecognized loss on foreign exchange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tax credits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Excess of tax over book depreciation/amortization</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(48,543)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fiscal 2018, the Company had total deferred tax assets of $52.6 million, total deferred tax liabilities of $4.1 million and a valuation allowance of $48.5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consisted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40" w:type="dxa"/>
            <w:vAlign w:val="bottom"/>
            <w:gridSpan w:val="7"/>
          </w:tcPr>
          <w:p>
            <w:pPr>
              <w:jc w:val="right"/>
              <w:ind w:right="348"/>
              <w:spacing w:after="0"/>
              <w:rPr>
                <w:sz w:val="20"/>
                <w:szCs w:val="20"/>
                <w:color w:val="auto"/>
              </w:rPr>
            </w:pPr>
            <w:r>
              <w:rPr>
                <w:rFonts w:ascii="Arial" w:cs="Arial" w:eastAsia="Arial" w:hAnsi="Arial"/>
                <w:sz w:val="14"/>
                <w:szCs w:val="14"/>
                <w:color w:val="auto"/>
              </w:rPr>
              <w:t>FISCAL YEARS ENDED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w w:val="93"/>
              </w:rPr>
              <w:t>February 2, 2019</w:t>
            </w: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February 3, 2018</w:t>
            </w:r>
          </w:p>
        </w:tc>
        <w:tc>
          <w:tcPr>
            <w:tcW w:w="8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January 28, 2017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Federal and state</w:t>
            </w:r>
          </w:p>
        </w:tc>
        <w:tc>
          <w:tcPr>
            <w:tcW w:w="27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52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Federal and state</w:t>
            </w: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(benefit)</w:t>
            </w:r>
          </w:p>
        </w:tc>
        <w:tc>
          <w:tcPr>
            <w:tcW w:w="2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80" w:type="dxa"/>
            <w:vAlign w:val="bottom"/>
            <w:vMerge w:val="restart"/>
          </w:tcPr>
          <w:p>
            <w:pPr>
              <w:jc w:val="right"/>
              <w:ind w:right="650"/>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62"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 for the provision (benefit) for income tax:</w:t>
      </w:r>
    </w:p>
    <w:p>
      <w:pPr>
        <w:spacing w:after="0" w:line="301"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7"/>
          </w:tcPr>
          <w:p>
            <w:pPr>
              <w:jc w:val="right"/>
              <w:ind w:right="339"/>
              <w:spacing w:after="0"/>
              <w:rPr>
                <w:sz w:val="20"/>
                <w:szCs w:val="20"/>
                <w:color w:val="auto"/>
              </w:rPr>
            </w:pPr>
            <w:r>
              <w:rPr>
                <w:rFonts w:ascii="Arial" w:cs="Arial" w:eastAsia="Arial" w:hAnsi="Arial"/>
                <w:sz w:val="14"/>
                <w:szCs w:val="14"/>
                <w:color w:val="auto"/>
              </w:rPr>
              <w:t>FISCAL YEARS ENDED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w w:val="93"/>
              </w:rPr>
              <w:t>February 2, 2019</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w w:val="93"/>
              </w:rPr>
              <w:t>February 3, 2018</w:t>
            </w:r>
          </w:p>
        </w:tc>
        <w:tc>
          <w:tcPr>
            <w:tcW w:w="2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January 28, 2017</w:t>
            </w:r>
          </w:p>
        </w:tc>
      </w:tr>
      <w:tr>
        <w:trPr>
          <w:trHeight w:val="384"/>
        </w:trPr>
        <w:tc>
          <w:tcPr>
            <w:tcW w:w="4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 xml:space="preserve">Federal income tax at the statutory rate </w:t>
            </w:r>
            <w:r>
              <w:rPr>
                <w:rFonts w:ascii="Arial" w:cs="Arial" w:eastAsia="Arial" w:hAnsi="Arial"/>
                <w:sz w:val="15"/>
                <w:szCs w:val="15"/>
                <w:color w:val="auto"/>
              </w:rPr>
              <w:t>(1)</w:t>
            </w: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(2,852)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(7,215)</w:t>
            </w:r>
          </w:p>
        </w:tc>
        <w:tc>
          <w:tcPr>
            <w:tcW w:w="42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 xml:space="preserve">Federal rate change on deferred assets </w:t>
            </w:r>
            <w:r>
              <w:rPr>
                <w:rFonts w:ascii="Arial" w:cs="Arial" w:eastAsia="Arial" w:hAnsi="Arial"/>
                <w:sz w:val="15"/>
                <w:szCs w:val="15"/>
                <w:color w:val="auto"/>
              </w:rPr>
              <w:t>(2)</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Federal rate change on valuation allowance </w:t>
            </w:r>
            <w:r>
              <w:rPr>
                <w:rFonts w:ascii="Arial" w:cs="Arial" w:eastAsia="Arial" w:hAnsi="Arial"/>
                <w:sz w:val="15"/>
                <w:szCs w:val="15"/>
                <w:color w:val="auto"/>
              </w:rPr>
              <w:t>(2)</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(22,796)</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Permanent items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Expiration of capital loss carryforward</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Change in uncertain tax provisions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Charge for valuation allowance</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Refundable AMT credit</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Total provision (benefit)</w:t>
            </w:r>
          </w:p>
        </w:tc>
        <w:tc>
          <w:tcPr>
            <w:tcW w:w="7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right="16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income tax at the statutory rate for fiscal 2017 reflects a blended rate of 33.72%, based on the statutory rate decreasing from 35% to 21% on January 1, 2018. The statutory rate for fiscal 2018 is 21%.</w:t>
      </w:r>
    </w:p>
    <w:p>
      <w:pPr>
        <w:spacing w:after="0" w:line="61"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represents the federal rate change impact as of the end of fiscal 2017. The rate change impact on deferred assets and valuation allowance as a result of the 2017 Tax Act was $22.8 million.</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February 2, 2019 and February 3, 2018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2018, 2017 and 2016, the Company made tax payments of $0.1 million in each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February 2, 2019, the Company was obligated under operating leases covering store and office space, automobiles and certain equipment for future minimum rentals and merchandise purchase obligations as follows:</w:t>
      </w:r>
    </w:p>
    <w:p>
      <w:pPr>
        <w:sectPr>
          <w:pgSz w:w="11900" w:h="16838" w:orient="portrait"/>
          <w:cols w:equalWidth="0" w:num="1">
            <w:col w:w="11400"/>
          </w:cols>
          <w:pgMar w:left="240" w:top="287" w:right="2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FISCAL YEAR</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2019</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2020</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2021</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2022</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2023</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2339"/>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53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 w:lineRule="exact"/>
        <w:rPr>
          <w:sz w:val="20"/>
          <w:szCs w:val="20"/>
          <w:color w:val="auto"/>
        </w:rPr>
      </w:pPr>
    </w:p>
    <w:p>
      <w:pPr>
        <w:jc w:val="center"/>
        <w:ind w:right="2339"/>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0</wp:posOffset>
            </wp:positionV>
            <wp:extent cx="434276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2765" cy="145415"/>
                    </a:xfrm>
                    <a:prstGeom prst="rect">
                      <a:avLst/>
                    </a:prstGeom>
                    <a:noFill/>
                  </pic:spPr>
                </pic:pic>
              </a:graphicData>
            </a:graphic>
          </wp:anchor>
        </w:drawing>
      </w:r>
    </w:p>
    <w:p>
      <w:pPr>
        <w:ind w:left="861" w:hanging="861"/>
        <w:spacing w:after="0"/>
        <w:tabs>
          <w:tab w:leader="none" w:pos="8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67.4</w:t>
      </w:r>
    </w:p>
    <w:p>
      <w:pPr>
        <w:spacing w:after="0" w:line="30"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6"/>
          <w:szCs w:val="16"/>
          <w:color w:val="auto"/>
        </w:rPr>
        <w:t>62.7</w:t>
      </w:r>
    </w:p>
    <w:p>
      <w:pPr>
        <w:spacing w:after="0" w:line="45"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6"/>
          <w:szCs w:val="16"/>
          <w:color w:val="auto"/>
        </w:rPr>
        <w:t>60.4</w:t>
      </w:r>
    </w:p>
    <w:p>
      <w:pPr>
        <w:spacing w:after="0" w:line="45"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6"/>
          <w:szCs w:val="16"/>
          <w:color w:val="auto"/>
        </w:rPr>
        <w:t>55.1</w:t>
      </w:r>
    </w:p>
    <w:p>
      <w:pPr>
        <w:spacing w:after="0" w:line="45"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6"/>
          <w:szCs w:val="16"/>
          <w:color w:val="auto"/>
        </w:rPr>
        <w:t>46.6</w:t>
      </w:r>
    </w:p>
    <w:p>
      <w:pPr>
        <w:spacing w:after="0" w:line="45" w:lineRule="exact"/>
        <w:rPr>
          <w:rFonts w:ascii="Arial" w:cs="Arial" w:eastAsia="Arial" w:hAnsi="Arial"/>
          <w:sz w:val="16"/>
          <w:szCs w:val="16"/>
          <w:color w:val="auto"/>
        </w:rPr>
      </w:pPr>
    </w:p>
    <w:p>
      <w:pPr>
        <w:ind w:left="861"/>
        <w:spacing w:after="0"/>
        <w:rPr>
          <w:rFonts w:ascii="Arial" w:cs="Arial" w:eastAsia="Arial" w:hAnsi="Arial"/>
          <w:sz w:val="16"/>
          <w:szCs w:val="16"/>
          <w:color w:val="auto"/>
        </w:rPr>
      </w:pPr>
      <w:r>
        <w:rPr>
          <w:rFonts w:ascii="Arial" w:cs="Arial" w:eastAsia="Arial" w:hAnsi="Arial"/>
          <w:sz w:val="16"/>
          <w:szCs w:val="16"/>
          <w:color w:val="auto"/>
        </w:rPr>
        <w:t>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-553085</wp:posOffset>
            </wp:positionV>
            <wp:extent cx="434276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2765" cy="14541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-261620</wp:posOffset>
            </wp:positionV>
            <wp:extent cx="434276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2765" cy="14541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28575</wp:posOffset>
            </wp:positionV>
            <wp:extent cx="434276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2765" cy="154305"/>
                    </a:xfrm>
                    <a:prstGeom prst="rect">
                      <a:avLst/>
                    </a:prstGeom>
                    <a:noFill/>
                  </pic:spPr>
                </pic:pic>
              </a:graphicData>
            </a:graphic>
          </wp:anchor>
        </w:drawing>
      </w:r>
    </w:p>
    <w:p>
      <w:pPr>
        <w:spacing w:after="0" w:line="38" w:lineRule="exact"/>
        <w:rPr>
          <w:sz w:val="20"/>
          <w:szCs w:val="20"/>
          <w:color w:val="auto"/>
        </w:rPr>
      </w:pPr>
    </w:p>
    <w:p>
      <w:pPr>
        <w:ind w:left="761" w:hanging="761"/>
        <w:spacing w:after="0"/>
        <w:tabs>
          <w:tab w:leader="none" w:pos="7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348.8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537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59" w:space="720"/>
            <w:col w:w="3521"/>
          </w:cols>
          <w:pgMar w:left="240" w:top="287" w:right="259" w:bottom="1440" w:gutter="0" w:footer="0" w:header="0"/>
          <w:type w:val="continuous"/>
        </w:sectPr>
      </w:pPr>
    </w:p>
    <w:p>
      <w:pPr>
        <w:spacing w:after="0" w:line="6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5 to 10 years in length and contain renewal options extending their terms by 5 to 10 years.</w:t>
      </w:r>
    </w:p>
    <w:p>
      <w:pPr>
        <w:spacing w:after="0" w:line="18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$64.9 million, $66.0 million, and $63.9 million for fiscal 2018, fiscal 2017 and fiscal 2016, respectively.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type w:val="continuous"/>
        </w:sectPr>
      </w:pPr>
    </w:p>
    <w:bookmarkStart w:id="59" w:name="page60"/>
    <w:bookmarkEnd w:id="59"/>
    <w:p>
      <w:pPr>
        <w:ind w:right="20"/>
        <w:spacing w:after="0" w:line="296"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20-year lease agreement (the “Lease Agreement”) for its corporate headquarters and distribution center whereby the Company agreed to lease the property it sold to Spirit back for an annual rent of $4.6 million. The Company realized a gain of approximately $29.3 million on the sale of this property, which was deferred and being amortized over the initial 20 years of the related lease agreement through the end of fiscal 2018. However, as part of the adoption of ASU 2016-02, the remaining balance of the deferred gain of $10.3 million, will be recognized as an adjustment to opening retained earnings in the first quarter of fiscal 2019.</w:t>
      </w:r>
    </w:p>
    <w:p>
      <w:pPr>
        <w:spacing w:after="0" w:line="16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$5.2 million is included in the above table of expected future minimum rentals obligations for fiscal 2019 and fiscal 2020 and $5.6 million thereafter.</w:t>
      </w:r>
    </w:p>
    <w:p>
      <w:pPr>
        <w:spacing w:after="0" w:line="1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the table above, is a merchandise purchase obligation for which the Company is contractually committed to meet minimum purchases of $10.0 million in each fiscal year through fiscal 2023.</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LONG-TERM INCENTIVE PLANS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summary of the Company’s long-term incentive plans. All equity awards granted under these long-term incentive plans were issued from the Company’s stockholder approved 2016 Incentive Compensation Plan. See Note H, “</w:t>
      </w:r>
      <w:r>
        <w:rPr>
          <w:rFonts w:ascii="Arial" w:cs="Arial" w:eastAsia="Arial" w:hAnsi="Arial"/>
          <w:sz w:val="18"/>
          <w:szCs w:val="18"/>
          <w:i w:val="1"/>
          <w:iCs w:val="1"/>
          <w:color w:val="auto"/>
        </w:rPr>
        <w:t>Stock Compensation Plans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2-Year Performance Periods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Company’s First Amended and Restated Long Term Incentive Plan (“LTIP”), for fiscal 2016 and fiscal 2017 the Compensation Committee established performance targets which covered a two-year performance period (each a “Performance Period”), thereby creating overlapping Performance Periods. Each participant in the plan was entitled to receive an award based on that participant’s “Target Cash Value” which is defined as the participant’s annual base salary (on the participant’s effective date) multiplied by his or her LTIP percentage, which was 100% for the Company’s Chief Executive Officer, 70% for senior executives and 25% for other participants in the plan. Effective October 22, 2018, the LTIP percentage for its vice president managing director level was increased from 25% to 50%. Because of the overlapping two-year Performance Periods, the Target Cash Value for any award was based on one year of annual salary. All awards granted under both the 2016-2017 LTIP and 2017-2018 LTIP were in restricted stock units (RSUs).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2016-2017 LTIP and 2017-2018 LTIP, 50% of each participant’s Target Cash Value was subject to time-based vesting and 50% was subject to performance-based vesting. The time-vested portion of the award vests in two installments with 50% of the time-vested portion vesting on April 1 following the fiscal year end which marks the end of the applicable Performance Period and 50% vesting on April 1 the succeeding year. The performance-based vesting was subject to the achievement of the performance target(s) for the applicable Performance Period. Awards for any achievement of performance targets are not granted until the performance targets are achieved and then are subject to additional vesting through August 31 following the end of the applicable Performance Period.</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first quarter of fiscal 2018, the Compensation Committee of the Board of Directors (the “Compensation Committee”) approved a 27.2% payout of its performance targets for the 2016-2017 LTIP, resulting in awards totaling $0.5 million, with a grant date of April 2, 2018. On that date, the Company granted 265,749 RSUs, which vested, net of any forfeitures, on August 31, 2018. In conjunction with the grant of the RSUs, the Company reclassified $0.4 million of the liability accrual from “Accrued expenses and other current liabilities” to “Additional paid-in capital” in the first quarter of fiscal 2018. See the Consolidated Statement of Changes in Stockholders’ Equity.</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the partial achievements of targets under the 2017-2018 LTIP, subsequent to the end of fiscal 2018, on March 19, 2019, the Compensation Committee approved the grant of RSUs awards totaling $0.5 million. The awards will be subject to further vesting through August 31, 2019. At February 2, 2019, $0.4 million of this $0.5 million award was accrued. In addition to the performance awards, the Company expects to incur approximately $2.0 million for its time-based awards, which is being expensed over thirty-six months, based on the respective vesting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3-Year Performance Period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2018, the Company amended its LTIP by executing the Second Amended and Restated LTIP, as further amended in October 2018 (the “Amended LTIP”), which among other things, extends the performance period for awards to three years, beginning with grants in fiscal 2018. For each participant, 50% of the Target Cash Value is subject to time-based vesting and 50% is subject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8"/>
          <w:szCs w:val="18"/>
          <w:color w:val="auto"/>
        </w:rPr>
        <w:t>performance-based vesting. The time-vested portion of the award vests in four installments with the first 25% vesting on the later of April 1 following the grant date or one-year from the date of grant. Each of the remaining three tranches will vest on April 1 of the second, third and fourth anniversaries following the date of grant. The performance-based vesting is subject to the achievement of the performance target(s) for the applicable Performance Period. Awards for any achievement of performance targets will not be granted until the performance targets are achieved and then will be subject to additional vesting through August 31 following the end of the applicable Performance Period.</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24, 2018, the Compensation Committee established performance targets for the 2018-2020 Performance Period under the Amended LTIP (the “2018-2020 LTIP”). Assuming that the Company achieves the performance target at target levels and all time-vested awards vest, the compensation expense associated with the 2018-2020 LTIP is estimated to be approximately $4.1 million. Approximately half of the compensation expense relates to the time-vested RSUs, which is being expensed straight-line over forty-one months. Through the end of fiscal 2018, the Company has accrued $0.1 million for performance awards under the 2018-2020 LTIP.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STOCK COMPENSATION PLANS</w:t>
      </w:r>
    </w:p>
    <w:p>
      <w:pPr>
        <w:spacing w:after="0" w:line="12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reduced the outstanding reserve by a fixed ratio of 1.9 shares for every share granted. At February 2, 2019, the Company had 4,544,136 shares available under the 2016 Plan.</w:t>
      </w:r>
    </w:p>
    <w:p>
      <w:pPr>
        <w:spacing w:after="0" w:line="8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February 2, 2019, there are 784,251 stock options and 125,399 full-value awards that remain outstanding under the 2006 Plan.</w:t>
      </w:r>
    </w:p>
    <w:p>
      <w:pPr>
        <w:spacing w:after="0" w:line="15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summarize the stock option activity and share activity for the Company’s 2006 Plan and 2016 Plan, on a combined basis, during fiscal 2018:</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Weighted-average</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Weighted-average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8"/>
        </w:trPr>
        <w:tc>
          <w:tcPr>
            <w:tcW w:w="466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exercise price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354"/>
              <w:spacing w:after="0" w:line="149" w:lineRule="exact"/>
              <w:rPr>
                <w:sz w:val="20"/>
                <w:szCs w:val="20"/>
                <w:color w:val="auto"/>
              </w:rPr>
            </w:pPr>
            <w:r>
              <w:rPr>
                <w:rFonts w:ascii="Arial" w:cs="Arial" w:eastAsia="Arial" w:hAnsi="Arial"/>
                <w:sz w:val="14"/>
                <w:szCs w:val="14"/>
                <w:color w:val="auto"/>
              </w:rPr>
              <w:t>Aggregate</w:t>
            </w:r>
          </w:p>
        </w:tc>
      </w:tr>
      <w:tr>
        <w:trPr>
          <w:trHeight w:val="167"/>
        </w:trPr>
        <w:tc>
          <w:tcPr>
            <w:tcW w:w="466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per option</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54"/>
              <w:spacing w:after="0"/>
              <w:rPr>
                <w:sz w:val="20"/>
                <w:szCs w:val="20"/>
                <w:color w:val="auto"/>
              </w:rPr>
            </w:pPr>
            <w:r>
              <w:rPr>
                <w:rFonts w:ascii="Arial" w:cs="Arial" w:eastAsia="Arial" w:hAnsi="Arial"/>
                <w:sz w:val="14"/>
                <w:szCs w:val="14"/>
                <w:color w:val="auto"/>
                <w:w w:val="99"/>
              </w:rPr>
              <w:t>intrinsic value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1,195,910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21,750</w:t>
            </w: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Options canceled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(387,398)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2,000</w:t>
            </w: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7,900</w:t>
            </w:r>
          </w:p>
        </w:tc>
      </w:tr>
      <w:tr>
        <w:trPr>
          <w:trHeight w:val="223"/>
        </w:trPr>
        <w:tc>
          <w:tcPr>
            <w:tcW w:w="46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957,400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9"/>
              </w:rPr>
              <w:t>5.0 years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16,878</w:t>
            </w:r>
          </w:p>
        </w:tc>
      </w:tr>
      <w:tr>
        <w:trPr>
          <w:trHeight w:val="229"/>
        </w:trPr>
        <w:tc>
          <w:tcPr>
            <w:tcW w:w="4660" w:type="dxa"/>
            <w:vAlign w:val="bottom"/>
          </w:tcPr>
          <w:p>
            <w:pPr>
              <w:ind w:left="240"/>
              <w:spacing w:after="0"/>
              <w:rPr>
                <w:sz w:val="20"/>
                <w:szCs w:val="20"/>
                <w:color w:val="auto"/>
              </w:rPr>
            </w:pPr>
            <w:r>
              <w:rPr>
                <w:rFonts w:ascii="Arial" w:cs="Arial" w:eastAsia="Arial" w:hAnsi="Arial"/>
                <w:sz w:val="18"/>
                <w:szCs w:val="18"/>
                <w:color w:val="auto"/>
              </w:rPr>
              <w:t>Options exercisable at end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803,512</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9"/>
                <w:szCs w:val="19"/>
                <w:color w:val="auto"/>
              </w:rPr>
            </w:pPr>
          </w:p>
        </w:tc>
        <w:tc>
          <w:tcPr>
            <w:tcW w:w="1340" w:type="dxa"/>
            <w:vAlign w:val="bottom"/>
          </w:tcPr>
          <w:p>
            <w:pPr>
              <w:ind w:left="660"/>
              <w:spacing w:after="0"/>
              <w:rPr>
                <w:sz w:val="20"/>
                <w:szCs w:val="20"/>
                <w:color w:val="auto"/>
              </w:rPr>
            </w:pPr>
            <w:r>
              <w:rPr>
                <w:rFonts w:ascii="Arial" w:cs="Arial" w:eastAsia="Arial" w:hAnsi="Arial"/>
                <w:sz w:val="18"/>
                <w:szCs w:val="18"/>
                <w:color w:val="auto"/>
                <w:w w:val="89"/>
              </w:rPr>
              <w:t>4.2 years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8,050</w:t>
            </w:r>
          </w:p>
        </w:tc>
      </w:tr>
      <w:tr>
        <w:trPr>
          <w:trHeight w:val="229"/>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expected to vest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935,539</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9"/>
              </w:rPr>
              <w:t>4.9 years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16,441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2018 5,000 stock options were net settled, resulting in the issuance of 2,303 shares. There were no exercises of options during fiscal 2017.</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i w:val="1"/>
          <w:iCs w:val="1"/>
          <w:color w:val="auto"/>
        </w:rPr>
        <w:t>Non-Vested Share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non-vested shares under the plans for fiscal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Weighted-</w:t>
            </w:r>
          </w:p>
        </w:tc>
      </w:tr>
      <w:tr>
        <w:trPr>
          <w:trHeight w:val="148"/>
        </w:trPr>
        <w:tc>
          <w:tcPr>
            <w:tcW w:w="4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average</w:t>
            </w:r>
          </w:p>
        </w:tc>
      </w:tr>
      <w:tr>
        <w:trPr>
          <w:trHeight w:val="148"/>
        </w:trPr>
        <w:tc>
          <w:tcPr>
            <w:tcW w:w="484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Restricted</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Restricted</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Deferred</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Fully-vested</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Total 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grant-date</w:t>
            </w:r>
          </w:p>
        </w:tc>
      </w:tr>
      <w:tr>
        <w:trPr>
          <w:trHeight w:val="167"/>
        </w:trPr>
        <w:tc>
          <w:tcPr>
            <w:tcW w:w="484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 xml:space="preserve">Stock Units </w:t>
            </w:r>
            <w:r>
              <w:rPr>
                <w:rFonts w:ascii="Arial" w:cs="Arial" w:eastAsia="Arial" w:hAnsi="Arial"/>
                <w:sz w:val="12"/>
                <w:szCs w:val="12"/>
                <w:color w:val="auto"/>
                <w:w w:val="93"/>
              </w:rPr>
              <w:t>(1)</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(2)</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 xml:space="preserve">fair value </w:t>
            </w:r>
            <w:r>
              <w:rPr>
                <w:rFonts w:ascii="Arial" w:cs="Arial" w:eastAsia="Arial" w:hAnsi="Arial"/>
                <w:sz w:val="12"/>
                <w:szCs w:val="12"/>
                <w:color w:val="auto"/>
                <w:w w:val="95"/>
              </w:rPr>
              <w:t>(4)</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840" w:type="dxa"/>
            <w:vAlign w:val="bottom"/>
          </w:tcPr>
          <w:p>
            <w:pPr>
              <w:ind w:left="260"/>
              <w:spacing w:after="0"/>
              <w:rPr>
                <w:sz w:val="20"/>
                <w:szCs w:val="20"/>
                <w:color w:val="auto"/>
              </w:rPr>
            </w:pPr>
            <w:r>
              <w:rPr>
                <w:rFonts w:ascii="Arial" w:cs="Arial" w:eastAsia="Arial" w:hAnsi="Arial"/>
                <w:sz w:val="18"/>
                <w:szCs w:val="18"/>
                <w:color w:val="auto"/>
              </w:rPr>
              <w:t>Outstanding non-vested shares at beginning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ind w:left="380"/>
              <w:spacing w:after="0"/>
              <w:rPr>
                <w:sz w:val="20"/>
                <w:szCs w:val="20"/>
                <w:color w:val="auto"/>
              </w:rPr>
            </w:pPr>
            <w:r>
              <w:rPr>
                <w:rFonts w:ascii="Arial" w:cs="Arial" w:eastAsia="Arial" w:hAnsi="Arial"/>
                <w:sz w:val="18"/>
                <w:szCs w:val="18"/>
                <w:color w:val="auto"/>
              </w:rPr>
              <w:t>year</w:t>
            </w:r>
          </w:p>
        </w:tc>
        <w:tc>
          <w:tcPr>
            <w:tcW w:w="880" w:type="dxa"/>
            <w:vAlign w:val="bottom"/>
          </w:tcPr>
          <w:p>
            <w:pPr>
              <w:jc w:val="right"/>
              <w:spacing w:after="0"/>
              <w:rPr>
                <w:sz w:val="20"/>
                <w:szCs w:val="20"/>
                <w:color w:val="auto"/>
              </w:rPr>
            </w:pPr>
            <w:r>
              <w:rPr>
                <w:rFonts w:ascii="Arial" w:cs="Arial" w:eastAsia="Arial" w:hAnsi="Arial"/>
                <w:sz w:val="18"/>
                <w:szCs w:val="18"/>
                <w:color w:val="auto"/>
              </w:rPr>
              <w:t>36,666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1,048,552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115,457</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1,200,675</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granted</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1,057,071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124,275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1,310,646</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Shares vested/issued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(627,220)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(10,717)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(124,275)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(765,545)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canceled</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(33,333)</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(105,775)</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(139,108)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3"/>
        </w:trPr>
        <w:tc>
          <w:tcPr>
            <w:tcW w:w="4840" w:type="dxa"/>
            <w:vAlign w:val="bottom"/>
          </w:tcPr>
          <w:p>
            <w:pPr>
              <w:ind w:left="260"/>
              <w:spacing w:after="0"/>
              <w:rPr>
                <w:sz w:val="20"/>
                <w:szCs w:val="20"/>
                <w:color w:val="auto"/>
              </w:rPr>
            </w:pPr>
            <w:r>
              <w:rPr>
                <w:rFonts w:ascii="Arial" w:cs="Arial" w:eastAsia="Arial" w:hAnsi="Arial"/>
                <w:sz w:val="18"/>
                <w:szCs w:val="18"/>
                <w:color w:val="auto"/>
              </w:rPr>
              <w:t>Outstanding non-vested shares at end of year</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1,372,628</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204,040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r>
      <w:tr>
        <w:trPr>
          <w:trHeight w:val="229"/>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expected to vest at end of year</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1,166,734</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204,040</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1,400,774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right="360" w:hanging="512"/>
        <w:spacing w:after="0" w:line="255"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RSU were primarily granted in connection with the partial achievement of performance targets under the 2016-2017 LTIP and time-based awards under the 2018-2020 LTIP, see Note G, </w:t>
      </w:r>
      <w:r>
        <w:rPr>
          <w:rFonts w:ascii="Arial" w:cs="Arial" w:eastAsia="Arial" w:hAnsi="Arial"/>
          <w:sz w:val="18"/>
          <w:szCs w:val="18"/>
          <w:i w:val="1"/>
          <w:iCs w:val="1"/>
          <w:color w:val="auto"/>
        </w:rPr>
        <w:t>Long-Term Incentive Plans</w:t>
      </w:r>
      <w:r>
        <w:rPr>
          <w:rFonts w:ascii="Arial" w:cs="Arial" w:eastAsia="Arial" w:hAnsi="Arial"/>
          <w:sz w:val="18"/>
          <w:szCs w:val="18"/>
          <w:color w:val="auto"/>
        </w:rPr>
        <w:t>. As a result of net share settlements, of the 627,220 RSUs which vested during fiscal 2018, only 573,094 shares of common stock were issued.</w:t>
      </w:r>
    </w:p>
    <w:p>
      <w:pPr>
        <w:spacing w:after="0" w:line="2" w:lineRule="exact"/>
        <w:rPr>
          <w:rFonts w:ascii="Arial" w:cs="Arial" w:eastAsia="Arial" w:hAnsi="Arial"/>
          <w:sz w:val="18"/>
          <w:szCs w:val="18"/>
          <w:color w:val="auto"/>
        </w:rPr>
      </w:pPr>
    </w:p>
    <w:p>
      <w:pPr>
        <w:ind w:left="520" w:right="24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99,300 shares of deferred stock, with a fair value of approximately $218,198, represent compensation to certain directors in lieu of cash, in accordance with their irrevocable elections. The shares of deferred stock vest three years from the date of grant or at separation of service, based on the irrevocable election of each director.</w:t>
      </w:r>
    </w:p>
    <w:p>
      <w:pPr>
        <w:jc w:val="both"/>
        <w:ind w:left="520" w:right="100" w:hanging="512"/>
        <w:spacing w:after="0" w:line="28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124,275 shares of stock, with a fair value of approximately $268,376 to certain directors as compensation in lieu of cash, in accordance with their irrevocable elections. Directors are required to elect 50% of their quarterly retainer in equity. Any shares in excess of the minimum required election are issued from the Fourth Amended and Restated Non-Employee Director Stock Purchase Plan (the “Non-Employee Director Compensation Plan”).</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fair value of a restricted share, deferred share and fully-vested share is equal to the Company’s closing stock price on the date of grant.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Total unrecognized stock compensation of $2.0 million at February 2, 2019 is expected to be recognized over a weighted-average period of 32 months.</w:t>
      </w:r>
    </w:p>
    <w:p>
      <w:pPr>
        <w:spacing w:after="0" w:line="344"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1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Fourth Amended and Restated Non-Employee Director Compensation Plan.</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Non-employee directors are required to take 50% of their annual retainer, which is paid quarterly, in equity. Any shares of stock, deferred stock or stock options issued to a director as part of this 50% requirement are issued from the 2016 Plan. Only discretionary elections of equity will be issued from the Non-Employee Director Compensation Plan.</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2018, fiscal 2017 and fiscal 2016:</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w w:val="94"/>
              </w:rPr>
              <w:t>Number of shares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Fair value of</w:t>
            </w:r>
          </w:p>
        </w:tc>
      </w:tr>
      <w:tr>
        <w:trPr>
          <w:trHeight w:val="167"/>
        </w:trPr>
        <w:tc>
          <w:tcPr>
            <w:tcW w:w="5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w w:val="92"/>
              </w:rPr>
              <w:t>common stock issued</w:t>
            </w:r>
          </w:p>
        </w:tc>
        <w:tc>
          <w:tcPr>
            <w:tcW w:w="200" w:type="dxa"/>
            <w:vAlign w:val="bottom"/>
          </w:tcPr>
          <w:p>
            <w:pPr>
              <w:spacing w:after="0"/>
              <w:rPr>
                <w:sz w:val="14"/>
                <w:szCs w:val="14"/>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common stock issued</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2018</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107,605</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Fiscal 2017</w:t>
            </w:r>
          </w:p>
        </w:tc>
        <w:tc>
          <w:tcPr>
            <w:tcW w:w="1280" w:type="dxa"/>
            <w:vAlign w:val="bottom"/>
          </w:tcPr>
          <w:p>
            <w:pPr>
              <w:jc w:val="right"/>
              <w:spacing w:after="0"/>
              <w:rPr>
                <w:sz w:val="20"/>
                <w:szCs w:val="20"/>
                <w:color w:val="auto"/>
              </w:rPr>
            </w:pPr>
            <w:r>
              <w:rPr>
                <w:rFonts w:ascii="Arial" w:cs="Arial" w:eastAsia="Arial" w:hAnsi="Arial"/>
                <w:sz w:val="18"/>
                <w:szCs w:val="18"/>
                <w:color w:val="auto"/>
              </w:rPr>
              <w:t>42,450</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96,856</w:t>
            </w:r>
          </w:p>
        </w:tc>
        <w:tc>
          <w:tcPr>
            <w:tcW w:w="6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Fiscal 2016</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14,509</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68,456</w:t>
            </w:r>
          </w:p>
        </w:tc>
        <w:tc>
          <w:tcPr>
            <w:tcW w:w="6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RELATED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Seymour Holtzman currently serves as a director of the Company’s Board of Directors (the “Board”). From August 2014 through January 2019, Mr. Holtzman served as the Company’s Executive Chairman of the Board and as it Chairman of the Board from April 2000 to August 2014. Mr. Holtzman is the chairman, chief executive officer and president and, together with his wife, indirectly,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62" w:name="page63"/>
    <w:bookmarkEnd w:id="62"/>
    <w:p>
      <w:pPr>
        <w:ind w:right="460"/>
        <w:spacing w:after="0" w:line="277" w:lineRule="auto"/>
        <w:rPr>
          <w:sz w:val="20"/>
          <w:szCs w:val="20"/>
          <w:color w:val="auto"/>
        </w:rPr>
      </w:pPr>
      <w:r>
        <w:rPr>
          <w:rFonts w:ascii="Arial" w:cs="Arial" w:eastAsia="Arial" w:hAnsi="Arial"/>
          <w:sz w:val="18"/>
          <w:szCs w:val="18"/>
          <w:color w:val="auto"/>
        </w:rPr>
        <w:t>majority shareholder of Jewelcor Management, Inc. (“JMI”) and is the beneficial holder of approximately 9.2% of the outstanding common stock of the Company at February 2, 2019.</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August 2014, the Company and Mr. Holtzman entered into an Employment and Chairman Compensation Agreement (the “Compensation Agreement”), pursuant to which Mr. Holtzman was entitled to receive annual compensation of $372,500 for his services as Executive Chairman and $24,000 for his services as an employee of the Company, reporting to the Board. In May 2017, the Compensation Agreement was amended to reduce his compensation as Executive Chairman to $200,000.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7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January 24, 2019, the Board voted to adopt an independent Board chairman structure and elected John Kyees as the Company’s new independent, non-executive Chairman, replacing Mr. Holtzman. While Mr. Holtzman continues to serve as a director of the Company, Mr. Holtzman will continue to receive his annual compensation of $176,000 as a director and an annual base salary of $24,000 for his services as an employee of the Company through August 7,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EMPLOYEE BENEFIT PLANS</w:t>
      </w:r>
    </w:p>
    <w:p>
      <w:pPr>
        <w:spacing w:after="0" w:line="12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w:t>
      </w:r>
    </w:p>
    <w:p>
      <w:pPr>
        <w:spacing w:after="0" w:line="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measure a plan’s assets and its obligations that determine its funded status as of the end of the employer’s fiscal year (with limited exceptions);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recognize changes in the funded status of a defined benefit postretirement plan in the year in which the changes occur.</w:t>
      </w:r>
    </w:p>
    <w:p>
      <w:pPr>
        <w:spacing w:after="0" w:line="21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income (loss). The amortization of the unrecognized loss included in accumulated other comprehensive income (loss) and expected to be recognized in net periodic pension cost in fiscal 2019 is approximately $669,000.</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following table sets forth the Pension Plan’s funded status at February 2, 2019 and February 3, 2018:</w:t>
      </w:r>
    </w:p>
    <w:p>
      <w:pPr>
        <w:spacing w:after="0" w:line="301"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February 2, 2019</w:t>
            </w:r>
          </w:p>
        </w:tc>
        <w:tc>
          <w:tcPr>
            <w:tcW w:w="8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February 3, 2018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right"/>
              <w:ind w:right="107"/>
              <w:spacing w:after="0" w:line="155" w:lineRule="exact"/>
              <w:rPr>
                <w:sz w:val="20"/>
                <w:szCs w:val="20"/>
                <w:color w:val="auto"/>
              </w:rPr>
            </w:pPr>
            <w:r>
              <w:rPr>
                <w:rFonts w:ascii="Arial" w:cs="Arial" w:eastAsia="Arial" w:hAnsi="Arial"/>
                <w:sz w:val="14"/>
                <w:szCs w:val="14"/>
                <w:i w:val="1"/>
                <w:iCs w:val="1"/>
                <w:color w:val="auto"/>
              </w:rPr>
              <w:t>in thousands</w:t>
            </w: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14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18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16,284</w:t>
            </w:r>
          </w:p>
        </w:tc>
        <w:tc>
          <w:tcPr>
            <w:tcW w:w="12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1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Interest costs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1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Actuarial (gain) loss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6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1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Balance at beginning of period</w:t>
            </w:r>
          </w:p>
        </w:tc>
        <w:tc>
          <w:tcPr>
            <w:tcW w:w="146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gridSpan w:val="2"/>
          </w:tcPr>
          <w:p>
            <w:pPr>
              <w:jc w:val="right"/>
              <w:ind w:right="187"/>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12,855</w:t>
            </w:r>
          </w:p>
        </w:tc>
        <w:tc>
          <w:tcPr>
            <w:tcW w:w="120" w:type="dxa"/>
            <w:vAlign w:val="bottom"/>
            <w:tcBorders>
              <w:top w:val="single" w:sz="8" w:color="CFF0FC"/>
            </w:tcBorders>
          </w:tcPr>
          <w:p>
            <w:pPr>
              <w:spacing w:after="0"/>
              <w:rPr>
                <w:sz w:val="19"/>
                <w:szCs w:val="19"/>
                <w:color w:val="auto"/>
              </w:rPr>
            </w:pPr>
          </w:p>
        </w:tc>
        <w:tc>
          <w:tcPr>
            <w:tcW w:w="520" w:type="dxa"/>
            <w:vAlign w:val="bottom"/>
            <w:tcBorders>
              <w:top w:val="single" w:sz="8" w:color="CFF0FC"/>
            </w:tcBorders>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11,734</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1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Employer contributions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1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Benefits and expenses paid</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90"/>
              </w:rPr>
              <w:t>Reconciliation of funded status:</w:t>
            </w:r>
          </w:p>
        </w:tc>
        <w:tc>
          <w:tcPr>
            <w:tcW w:w="1680" w:type="dxa"/>
            <w:vAlign w:val="bottom"/>
            <w:tcBorders>
              <w:bottom w:val="single" w:sz="8" w:color="CFF0FC"/>
            </w:tcBorders>
            <w:gridSpan w:val="2"/>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tcPr>
          <w:p>
            <w:pPr>
              <w:spacing w:after="0"/>
              <w:rPr>
                <w:sz w:val="20"/>
                <w:szCs w:val="20"/>
                <w:color w:val="auto"/>
              </w:rPr>
            </w:pPr>
            <w:r>
              <w:rPr>
                <w:rFonts w:ascii="Arial" w:cs="Arial" w:eastAsia="Arial" w:hAnsi="Arial"/>
                <w:sz w:val="18"/>
                <w:szCs w:val="18"/>
                <w:color w:val="auto"/>
              </w:rPr>
              <w:t>Projected benefit obligation</w:t>
            </w:r>
          </w:p>
        </w:tc>
        <w:tc>
          <w:tcPr>
            <w:tcW w:w="18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14,975</w:t>
            </w:r>
          </w:p>
        </w:tc>
        <w:tc>
          <w:tcPr>
            <w:tcW w:w="12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4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gridSpan w:val="6"/>
          </w:tcPr>
          <w:p>
            <w:pPr>
              <w:spacing w:after="0"/>
              <w:rPr>
                <w:sz w:val="20"/>
                <w:szCs w:val="20"/>
                <w:color w:val="auto"/>
              </w:rPr>
            </w:pPr>
            <w:r>
              <w:rPr>
                <w:rFonts w:ascii="Arial" w:cs="Arial" w:eastAsia="Arial" w:hAnsi="Arial"/>
                <w:sz w:val="18"/>
                <w:szCs w:val="18"/>
                <w:color w:val="auto"/>
              </w:rPr>
              <w:t>Unfunded Status</w:t>
            </w:r>
          </w:p>
        </w:tc>
        <w:tc>
          <w:tcPr>
            <w:tcW w:w="148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5"/>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8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years ended February 2, 2019, February 3, 2018 and January 28, 2017 include the following components:</w:t>
      </w: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67"/>
        </w:trPr>
        <w:tc>
          <w:tcPr>
            <w:tcW w:w="1240" w:type="dxa"/>
            <w:vAlign w:val="bottom"/>
            <w:gridSpan w:val="2"/>
            <w:vMerge w:val="restart"/>
          </w:tcPr>
          <w:p>
            <w:pPr>
              <w:spacing w:after="0"/>
              <w:rPr>
                <w:sz w:val="20"/>
                <w:szCs w:val="20"/>
                <w:color w:val="auto"/>
              </w:rPr>
            </w:pPr>
            <w:r>
              <w:rPr>
                <w:rFonts w:ascii="Arial" w:cs="Arial" w:eastAsia="Arial" w:hAnsi="Arial"/>
                <w:sz w:val="18"/>
                <w:szCs w:val="18"/>
                <w:color w:val="auto"/>
                <w:w w:val="87"/>
              </w:rPr>
              <w:t>Net pension cost:</w:t>
            </w:r>
          </w:p>
        </w:tc>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February 2, 2019</w:t>
            </w:r>
          </w:p>
        </w:tc>
        <w:tc>
          <w:tcPr>
            <w:tcW w:w="10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February 3, 2018</w:t>
            </w:r>
          </w:p>
        </w:tc>
        <w:tc>
          <w:tcPr>
            <w:tcW w:w="8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2"/>
              </w:rPr>
              <w:t>January 28, 2017</w:t>
            </w: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gridSpan w:val="2"/>
            <w:vMerge w:val="continue"/>
          </w:tcPr>
          <w:p>
            <w:pPr>
              <w:spacing w:after="0"/>
              <w:rPr>
                <w:sz w:val="15"/>
                <w:szCs w:val="15"/>
                <w:color w:val="auto"/>
              </w:rPr>
            </w:pPr>
          </w:p>
        </w:tc>
        <w:tc>
          <w:tcPr>
            <w:tcW w:w="2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i w:val="1"/>
                <w:iCs w:val="1"/>
                <w:color w:val="auto"/>
                <w:w w:val="92"/>
              </w:rPr>
              <w:t>(in thousands)</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040" w:type="dxa"/>
            <w:vAlign w:val="bottom"/>
            <w:gridSpan w:val="2"/>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4"/>
          </w:tcPr>
          <w:p>
            <w:pPr>
              <w:spacing w:after="0"/>
              <w:rPr>
                <w:sz w:val="20"/>
                <w:szCs w:val="20"/>
                <w:color w:val="auto"/>
              </w:rPr>
            </w:pPr>
            <w:r>
              <w:rPr>
                <w:rFonts w:ascii="Arial" w:cs="Arial" w:eastAsia="Arial" w:hAnsi="Arial"/>
                <w:sz w:val="18"/>
                <w:szCs w:val="18"/>
                <w:color w:val="auto"/>
              </w:rPr>
              <w:t>Expected return on plan assets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46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Amortization of unrecognized loss</w:t>
            </w:r>
          </w:p>
        </w:tc>
        <w:tc>
          <w:tcPr>
            <w:tcW w:w="6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Net pension cost</w:t>
            </w:r>
          </w:p>
        </w:tc>
        <w:tc>
          <w:tcPr>
            <w:tcW w:w="66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40" w:type="dxa"/>
            <w:vAlign w:val="bottom"/>
            <w:gridSpan w:val="4"/>
          </w:tcPr>
          <w:p>
            <w:pPr>
              <w:spacing w:after="0" w:line="189" w:lineRule="exact"/>
              <w:rPr>
                <w:sz w:val="20"/>
                <w:szCs w:val="20"/>
                <w:color w:val="auto"/>
              </w:rPr>
            </w:pPr>
            <w:r>
              <w:rPr>
                <w:rFonts w:ascii="Arial" w:cs="Arial" w:eastAsia="Arial" w:hAnsi="Arial"/>
                <w:sz w:val="18"/>
                <w:szCs w:val="18"/>
                <w:color w:val="auto"/>
              </w:rPr>
              <w:t>Other changes recognized in other comprehensive loss,</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auto"/>
            </w:tcBorders>
            <w:gridSpan w:val="3"/>
          </w:tcPr>
          <w:p>
            <w:pPr>
              <w:ind w:left="120"/>
              <w:spacing w:after="0" w:line="196" w:lineRule="exact"/>
              <w:rPr>
                <w:sz w:val="20"/>
                <w:szCs w:val="20"/>
                <w:color w:val="auto"/>
              </w:rPr>
            </w:pPr>
            <w:r>
              <w:rPr>
                <w:rFonts w:ascii="Arial" w:cs="Arial" w:eastAsia="Arial" w:hAnsi="Arial"/>
                <w:sz w:val="18"/>
                <w:szCs w:val="18"/>
                <w:color w:val="auto"/>
              </w:rPr>
              <w:t>before taxes:</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040" w:type="dxa"/>
            <w:vAlign w:val="bottom"/>
            <w:gridSpan w:val="2"/>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4"/>
          </w:tcPr>
          <w:p>
            <w:pPr>
              <w:spacing w:after="0"/>
              <w:rPr>
                <w:sz w:val="20"/>
                <w:szCs w:val="20"/>
                <w:color w:val="auto"/>
              </w:rPr>
            </w:pPr>
            <w:r>
              <w:rPr>
                <w:rFonts w:ascii="Arial" w:cs="Arial" w:eastAsia="Arial" w:hAnsi="Arial"/>
                <w:sz w:val="18"/>
                <w:szCs w:val="18"/>
                <w:color w:val="auto"/>
              </w:rPr>
              <w:t>Net periodic pension cost</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9"/>
        </w:trPr>
        <w:tc>
          <w:tcPr>
            <w:tcW w:w="46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gridSpan w:val="4"/>
          </w:tcPr>
          <w:p>
            <w:pPr>
              <w:spacing w:after="0"/>
              <w:rPr>
                <w:sz w:val="20"/>
                <w:szCs w:val="20"/>
                <w:color w:val="auto"/>
              </w:rPr>
            </w:pPr>
            <w:r>
              <w:rPr>
                <w:rFonts w:ascii="Arial" w:cs="Arial" w:eastAsia="Arial" w:hAnsi="Arial"/>
                <w:sz w:val="18"/>
                <w:szCs w:val="18"/>
                <w:color w:val="auto"/>
              </w:rPr>
              <w:t>Change in plan assets and benefit obligations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 for fiscal 2019 is estimated to be approximately $420,000.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Assumptions used to determine the benefit obligations as of February 2, 2019 and February 3, 2018 include a discount rate of 3.98% for fiscal 2018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3.68% for fiscal 2017. Assumptions used to determine the net periodic benefit cost for the years ended February 2, 2019, February 3, 2018 and January 28,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included a discount rate of 3.98% for fiscal 2018, 3.68% for fiscal 2017 and 4.00% for fiscal 2016.</w:t>
      </w: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462" w:right="499" w:bottom="1440" w:gutter="0" w:footer="0" w:header="0"/>
        </w:sectPr>
      </w:pPr>
    </w:p>
    <w:bookmarkStart w:id="64" w:name="page65"/>
    <w:bookmarkEnd w:id="64"/>
    <w:p>
      <w:pPr>
        <w:ind w:right="420"/>
        <w:spacing w:after="0" w:line="277" w:lineRule="auto"/>
        <w:rPr>
          <w:sz w:val="20"/>
          <w:szCs w:val="20"/>
          <w:color w:val="auto"/>
        </w:rPr>
      </w:pPr>
      <w:r>
        <w:rPr>
          <w:rFonts w:ascii="Arial" w:cs="Arial" w:eastAsia="Arial" w:hAnsi="Arial"/>
          <w:sz w:val="18"/>
          <w:szCs w:val="18"/>
          <w:color w:val="auto"/>
        </w:rPr>
        <w:t>The expected long-term rate of return for plan assets was assumed to be 6.50% for fiscal 2018 and 7.00% for fiscal 2017. The expected long-term rate of return assumption was developed considering historical and future expectations for returns for each asset class.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301"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69"/>
        </w:trPr>
        <w:tc>
          <w:tcPr>
            <w:tcW w:w="3260" w:type="dxa"/>
            <w:vAlign w:val="bottom"/>
          </w:tcPr>
          <w:p>
            <w:pPr>
              <w:spacing w:after="0"/>
              <w:rPr>
                <w:sz w:val="20"/>
                <w:szCs w:val="20"/>
                <w:color w:val="auto"/>
              </w:rPr>
            </w:pPr>
            <w:r>
              <w:rPr>
                <w:rFonts w:ascii="Arial" w:cs="Arial" w:eastAsia="Arial" w:hAnsi="Arial"/>
                <w:sz w:val="14"/>
                <w:szCs w:val="14"/>
                <w:color w:val="auto"/>
              </w:rPr>
              <w:t>FISCAL YEAR</w:t>
            </w: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75"/>
              <w:spacing w:after="0"/>
              <w:rPr>
                <w:sz w:val="20"/>
                <w:szCs w:val="20"/>
                <w:color w:val="auto"/>
              </w:rPr>
            </w:pPr>
            <w:r>
              <w:rPr>
                <w:rFonts w:ascii="Arial" w:cs="Arial" w:eastAsia="Arial" w:hAnsi="Arial"/>
                <w:sz w:val="14"/>
                <w:szCs w:val="14"/>
                <w:i w:val="1"/>
                <w:iCs w:val="1"/>
                <w:color w:val="auto"/>
                <w:w w:val="94"/>
              </w:rPr>
              <w:t>(in thousands)</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2021</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2023</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2025-2029</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4,877</w:t>
            </w: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Plan Assets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2018 and fiscal 2017, by asset category,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4"/>
                <w:szCs w:val="14"/>
                <w:color w:val="auto"/>
                <w:w w:val="91"/>
              </w:rPr>
              <w:t>Fair Value Measurement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240"/>
              <w:spacing w:after="0" w:line="155" w:lineRule="exact"/>
              <w:rPr>
                <w:sz w:val="20"/>
                <w:szCs w:val="20"/>
                <w:color w:val="auto"/>
              </w:rPr>
            </w:pPr>
            <w:r>
              <w:rPr>
                <w:rFonts w:ascii="Arial" w:cs="Arial" w:eastAsia="Arial" w:hAnsi="Arial"/>
                <w:sz w:val="14"/>
                <w:szCs w:val="14"/>
                <w:color w:val="auto"/>
              </w:rPr>
              <w:t>February 2, 2019</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220"/>
              <w:spacing w:after="0" w:line="155" w:lineRule="exact"/>
              <w:rPr>
                <w:sz w:val="20"/>
                <w:szCs w:val="20"/>
                <w:color w:val="auto"/>
              </w:rPr>
            </w:pPr>
            <w:r>
              <w:rPr>
                <w:rFonts w:ascii="Arial" w:cs="Arial" w:eastAsia="Arial" w:hAnsi="Arial"/>
                <w:sz w:val="14"/>
                <w:szCs w:val="14"/>
                <w:color w:val="auto"/>
              </w:rPr>
              <w:t>February 3, 2018</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0"/>
              </w:rPr>
              <w:t>Quoted Prices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0"/>
              </w:rPr>
              <w:t>Quoted Prices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8"/>
              </w:rPr>
              <w:t>in Active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3"/>
              <w:spacing w:after="0" w:line="149" w:lineRule="exact"/>
              <w:rPr>
                <w:sz w:val="20"/>
                <w:szCs w:val="20"/>
                <w:color w:val="auto"/>
              </w:rPr>
            </w:pPr>
            <w:r>
              <w:rPr>
                <w:rFonts w:ascii="Arial" w:cs="Arial" w:eastAsia="Arial" w:hAnsi="Arial"/>
                <w:sz w:val="14"/>
                <w:szCs w:val="14"/>
                <w:color w:val="auto"/>
              </w:rPr>
              <w:t>in Active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Markets for</w:t>
            </w:r>
          </w:p>
        </w:tc>
        <w:tc>
          <w:tcPr>
            <w:tcW w:w="22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6"/>
              </w:rPr>
              <w:t>Markets</w:t>
            </w:r>
          </w:p>
        </w:tc>
        <w:tc>
          <w:tcPr>
            <w:tcW w:w="20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Significant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5"/>
              </w:rPr>
              <w:t>Identical</w:t>
            </w:r>
          </w:p>
        </w:tc>
        <w:tc>
          <w:tcPr>
            <w:tcW w:w="22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Observable</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0"/>
              </w:rPr>
              <w:t>Unobservable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for Identical</w:t>
            </w:r>
          </w:p>
        </w:tc>
        <w:tc>
          <w:tcPr>
            <w:tcW w:w="20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Observable</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0"/>
              </w:rPr>
              <w:t>Unobservable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0"/>
              </w:rPr>
              <w:t>Assets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3"/>
              <w:spacing w:after="0" w:line="149" w:lineRule="exact"/>
              <w:rPr>
                <w:sz w:val="20"/>
                <w:szCs w:val="20"/>
                <w:color w:val="auto"/>
              </w:rPr>
            </w:pPr>
            <w:r>
              <w:rPr>
                <w:rFonts w:ascii="Arial" w:cs="Arial" w:eastAsia="Arial" w:hAnsi="Arial"/>
                <w:sz w:val="14"/>
                <w:szCs w:val="14"/>
                <w:color w:val="auto"/>
                <w:w w:val="90"/>
              </w:rPr>
              <w:t>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Inputs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4"/>
                <w:szCs w:val="14"/>
                <w:color w:val="auto"/>
                <w:w w:val="95"/>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2)</w:t>
            </w: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720" w:type="dxa"/>
            <w:vAlign w:val="bottom"/>
          </w:tcPr>
          <w:p>
            <w:pPr>
              <w:jc w:val="center"/>
              <w:ind w:right="63"/>
              <w:spacing w:after="0"/>
              <w:rPr>
                <w:sz w:val="20"/>
                <w:szCs w:val="20"/>
                <w:color w:val="auto"/>
              </w:rPr>
            </w:pPr>
            <w:r>
              <w:rPr>
                <w:rFonts w:ascii="Arial" w:cs="Arial" w:eastAsia="Arial" w:hAnsi="Arial"/>
                <w:sz w:val="14"/>
                <w:szCs w:val="14"/>
                <w:color w:val="auto"/>
                <w:w w:val="99"/>
              </w:rPr>
              <w:t>(Level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2)</w:t>
            </w: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1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Total</w:t>
            </w:r>
          </w:p>
        </w:tc>
      </w:tr>
      <w:tr>
        <w:trPr>
          <w:trHeight w:val="20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 category:</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22"/>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3600" w:type="dxa"/>
            <w:vAlign w:val="bottom"/>
          </w:tcPr>
          <w:p>
            <w:pPr>
              <w:ind w:left="80"/>
              <w:spacing w:after="0"/>
              <w:rPr>
                <w:sz w:val="20"/>
                <w:szCs w:val="20"/>
                <w:color w:val="auto"/>
              </w:rPr>
            </w:pPr>
            <w:r>
              <w:rPr>
                <w:rFonts w:ascii="Arial" w:cs="Arial" w:eastAsia="Arial" w:hAnsi="Arial"/>
                <w:sz w:val="16"/>
                <w:szCs w:val="16"/>
                <w:color w:val="auto"/>
              </w:rPr>
              <w:t>U.S. Equity</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4,247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4,789</w:t>
            </w:r>
          </w:p>
        </w:tc>
        <w:tc>
          <w:tcPr>
            <w:tcW w:w="60" w:type="dxa"/>
            <w:vAlign w:val="bottom"/>
          </w:tcPr>
          <w:p>
            <w:pPr>
              <w:spacing w:after="0"/>
              <w:rPr>
                <w:sz w:val="18"/>
                <w:szCs w:val="18"/>
                <w:color w:val="auto"/>
              </w:rPr>
            </w:pPr>
          </w:p>
        </w:tc>
      </w:tr>
      <w:tr>
        <w:trPr>
          <w:trHeight w:val="219"/>
        </w:trPr>
        <w:tc>
          <w:tcPr>
            <w:tcW w:w="3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International Equity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3,662</w:t>
            </w:r>
          </w:p>
        </w:tc>
        <w:tc>
          <w:tcPr>
            <w:tcW w:w="60" w:type="dxa"/>
            <w:vAlign w:val="bottom"/>
            <w:shd w:val="clear" w:color="auto" w:fill="CFF0FC"/>
          </w:tcPr>
          <w:p>
            <w:pPr>
              <w:spacing w:after="0"/>
              <w:rPr>
                <w:sz w:val="19"/>
                <w:szCs w:val="19"/>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Bond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4,074</w:t>
            </w:r>
          </w:p>
        </w:tc>
        <w:tc>
          <w:tcPr>
            <w:tcW w:w="60" w:type="dxa"/>
            <w:vAlign w:val="bottom"/>
          </w:tcPr>
          <w:p>
            <w:pPr>
              <w:spacing w:after="0"/>
              <w:rPr>
                <w:sz w:val="18"/>
                <w:szCs w:val="18"/>
                <w:color w:val="auto"/>
              </w:rPr>
            </w:pPr>
          </w:p>
        </w:tc>
      </w:tr>
      <w:tr>
        <w:trPr>
          <w:trHeight w:val="21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60" w:type="dxa"/>
            <w:vAlign w:val="bottom"/>
            <w:shd w:val="clear" w:color="auto" w:fill="CFF0FC"/>
          </w:tcPr>
          <w:p>
            <w:pPr>
              <w:spacing w:after="0"/>
              <w:rPr>
                <w:sz w:val="19"/>
                <w:szCs w:val="19"/>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11,365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11,365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12,855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12,855</w:t>
            </w:r>
          </w:p>
        </w:tc>
        <w:tc>
          <w:tcPr>
            <w:tcW w:w="6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2019 and its asset allocation at February 2, 2019 and February 3, 2018 were as follows, by asset category:</w:t>
      </w:r>
    </w:p>
    <w:p>
      <w:pPr>
        <w:spacing w:after="0" w:line="29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4"/>
                <w:szCs w:val="14"/>
                <w:color w:val="auto"/>
              </w:rPr>
              <w:t>Target Allocation</w:t>
            </w:r>
          </w:p>
        </w:tc>
        <w:tc>
          <w:tcPr>
            <w:tcW w:w="2860" w:type="dxa"/>
            <w:vAlign w:val="bottom"/>
            <w:gridSpan w:val="4"/>
          </w:tcPr>
          <w:p>
            <w:pPr>
              <w:jc w:val="right"/>
              <w:ind w:right="720"/>
              <w:spacing w:after="0"/>
              <w:rPr>
                <w:sz w:val="20"/>
                <w:szCs w:val="20"/>
                <w:color w:val="auto"/>
              </w:rPr>
            </w:pPr>
            <w:r>
              <w:rPr>
                <w:rFonts w:ascii="Arial" w:cs="Arial" w:eastAsia="Arial" w:hAnsi="Arial"/>
                <w:sz w:val="14"/>
                <w:szCs w:val="14"/>
                <w:color w:val="auto"/>
              </w:rPr>
              <w:t>Percentage of plan assets at</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color w:val="auto"/>
              </w:rPr>
              <w:t>Fiscal 2019</w:t>
            </w:r>
          </w:p>
        </w:tc>
        <w:tc>
          <w:tcPr>
            <w:tcW w:w="1500" w:type="dxa"/>
            <w:vAlign w:val="bottom"/>
            <w:gridSpan w:val="2"/>
          </w:tcPr>
          <w:p>
            <w:pPr>
              <w:jc w:val="right"/>
              <w:ind w:right="400"/>
              <w:spacing w:after="0"/>
              <w:rPr>
                <w:sz w:val="20"/>
                <w:szCs w:val="20"/>
                <w:color w:val="auto"/>
              </w:rPr>
            </w:pPr>
            <w:r>
              <w:rPr>
                <w:rFonts w:ascii="Arial" w:cs="Arial" w:eastAsia="Arial" w:hAnsi="Arial"/>
                <w:sz w:val="14"/>
                <w:szCs w:val="14"/>
                <w:color w:val="auto"/>
              </w:rPr>
              <w:t>February 2, 2019</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February 3, 2018</w:t>
            </w:r>
          </w:p>
        </w:tc>
        <w:tc>
          <w:tcPr>
            <w:tcW w:w="0" w:type="dxa"/>
            <w:vAlign w:val="bottom"/>
          </w:tcPr>
          <w:p>
            <w:pPr>
              <w:spacing w:after="0"/>
              <w:rPr>
                <w:sz w:val="1"/>
                <w:szCs w:val="1"/>
                <w:color w:val="auto"/>
              </w:rPr>
            </w:pPr>
          </w:p>
        </w:tc>
      </w:tr>
      <w:tr>
        <w:trPr>
          <w:trHeight w:val="189"/>
        </w:trPr>
        <w:tc>
          <w:tcPr>
            <w:tcW w:w="1120" w:type="dxa"/>
            <w:vAlign w:val="bottom"/>
            <w:tcBorders>
              <w:top w:val="single" w:sz="8" w:color="CFF0FC"/>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color w:val="auto"/>
                <w:w w:val="88"/>
              </w:rPr>
              <w:t>Asset category:</w:t>
            </w:r>
          </w:p>
        </w:tc>
        <w:tc>
          <w:tcPr>
            <w:tcW w:w="3460" w:type="dxa"/>
            <w:vAlign w:val="bottom"/>
            <w:tcBorders>
              <w:top w:val="single" w:sz="8" w:color="CFF0FC"/>
              <w:bottom w:val="single" w:sz="8" w:color="CFF0FC"/>
            </w:tcBorders>
            <w:shd w:val="clear" w:color="auto" w:fill="CFF0FC"/>
          </w:tcPr>
          <w:p>
            <w:pPr>
              <w:spacing w:after="0"/>
              <w:rPr>
                <w:sz w:val="16"/>
                <w:szCs w:val="16"/>
                <w:color w:val="auto"/>
              </w:rPr>
            </w:pPr>
          </w:p>
        </w:tc>
        <w:tc>
          <w:tcPr>
            <w:tcW w:w="15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CFF0FC"/>
            </w:tcBorders>
            <w:shd w:val="clear" w:color="auto" w:fill="CFF0FC"/>
          </w:tcPr>
          <w:p>
            <w:pPr>
              <w:spacing w:after="0"/>
              <w:rPr>
                <w:sz w:val="16"/>
                <w:szCs w:val="16"/>
                <w:color w:val="auto"/>
              </w:rPr>
            </w:pPr>
          </w:p>
        </w:tc>
        <w:tc>
          <w:tcPr>
            <w:tcW w:w="30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Cash</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shd w:val="clear" w:color="auto" w:fill="CFF0FC"/>
          </w:tcPr>
          <w:p>
            <w:pPr>
              <w:spacing w:after="0"/>
              <w:rPr>
                <w:sz w:val="18"/>
                <w:szCs w:val="18"/>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120" w:type="dxa"/>
            <w:vAlign w:val="bottom"/>
            <w:tcBorders>
              <w:top w:val="single" w:sz="8" w:color="CFF0FC"/>
            </w:tcBorders>
          </w:tcPr>
          <w:p>
            <w:pPr>
              <w:spacing w:after="0" w:line="20" w:lineRule="exact"/>
              <w:rPr>
                <w:sz w:val="1"/>
                <w:szCs w:val="1"/>
                <w:color w:val="auto"/>
              </w:rPr>
            </w:pPr>
          </w:p>
        </w:tc>
        <w:tc>
          <w:tcPr>
            <w:tcW w:w="34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Casual Male acquisition, the Company also assumed the liability of the Casual Male Supplemental Retirement Plan (the “SERP”).</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table sets forth the SERP’s funded status at February 2, 2019 and February 3, 2018:</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February 2, 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5"/>
              </w:rPr>
              <w:t>February 3, 2018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5"/>
          </w:tcPr>
          <w:p>
            <w:pPr>
              <w:jc w:val="right"/>
              <w:ind w:right="26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00" w:type="dxa"/>
            <w:vAlign w:val="bottom"/>
            <w:tcBorders>
              <w:top w:val="single" w:sz="8" w:color="auto"/>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Interest costs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Actuarial gain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60" w:type="dxa"/>
            <w:vAlign w:val="bottom"/>
            <w:gridSpan w:val="8"/>
          </w:tcPr>
          <w:p>
            <w:pPr>
              <w:ind w:left="440"/>
              <w:spacing w:after="0"/>
              <w:rPr>
                <w:sz w:val="20"/>
                <w:szCs w:val="20"/>
                <w:color w:val="auto"/>
              </w:rPr>
            </w:pPr>
            <w:r>
              <w:rPr>
                <w:rFonts w:ascii="Arial" w:cs="Arial" w:eastAsia="Arial" w:hAnsi="Arial"/>
                <w:sz w:val="18"/>
                <w:szCs w:val="18"/>
                <w:color w:val="auto"/>
              </w:rPr>
              <w:t>Balance at end of year</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Employer contributions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60" w:type="dxa"/>
            <w:vAlign w:val="bottom"/>
            <w:gridSpan w:val="8"/>
          </w:tcPr>
          <w:p>
            <w:pPr>
              <w:ind w:left="440"/>
              <w:spacing w:after="0"/>
              <w:rPr>
                <w:sz w:val="20"/>
                <w:szCs w:val="20"/>
                <w:color w:val="auto"/>
              </w:rPr>
            </w:pPr>
            <w:r>
              <w:rPr>
                <w:rFonts w:ascii="Arial" w:cs="Arial" w:eastAsia="Arial" w:hAnsi="Arial"/>
                <w:sz w:val="18"/>
                <w:szCs w:val="18"/>
                <w:color w:val="auto"/>
              </w:rPr>
              <w:t>Balance at end of period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4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color w:val="auto"/>
              </w:rPr>
              <w:t>Reconciliation of funded status: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Fair value of plan assets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Unfunded Status</w:t>
            </w:r>
          </w:p>
        </w:tc>
        <w:tc>
          <w:tcPr>
            <w:tcW w:w="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04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89"/>
              </w:rPr>
              <w:t>Balance sheet classification:</w:t>
            </w:r>
          </w:p>
        </w:tc>
        <w:tc>
          <w:tcPr>
            <w:tcW w:w="2080" w:type="dxa"/>
            <w:vAlign w:val="bottom"/>
            <w:tcBorders>
              <w:bottom w:val="single" w:sz="8" w:color="CFF0FC"/>
            </w:tcBorders>
            <w:gridSpan w:val="5"/>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Other long-term liabilities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6640" w:type="dxa"/>
            <w:vAlign w:val="bottom"/>
            <w:gridSpan w:val="13"/>
          </w:tcPr>
          <w:p>
            <w:pPr>
              <w:jc w:val="right"/>
              <w:ind w:right="548"/>
              <w:spacing w:after="0"/>
              <w:rPr>
                <w:sz w:val="20"/>
                <w:szCs w:val="20"/>
                <w:color w:val="auto"/>
              </w:rPr>
            </w:pPr>
            <w:r>
              <w:rPr>
                <w:rFonts w:ascii="Arial" w:cs="Arial" w:eastAsia="Arial" w:hAnsi="Arial"/>
                <w:sz w:val="18"/>
                <w:szCs w:val="18"/>
                <w:color w:val="auto"/>
                <w:w w:val="89"/>
              </w:rPr>
              <w:t>Other changes recognized in other comprehensive loss, before taxes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Borders>
              <w:top w:val="single" w:sz="8" w:color="auto"/>
            </w:tcBorders>
          </w:tcPr>
          <w:p>
            <w:pPr>
              <w:spacing w:after="0"/>
              <w:rPr>
                <w:sz w:val="24"/>
                <w:szCs w:val="24"/>
                <w:color w:val="auto"/>
              </w:rPr>
            </w:pPr>
          </w:p>
        </w:tc>
        <w:tc>
          <w:tcPr>
            <w:tcW w:w="4680" w:type="dxa"/>
            <w:vAlign w:val="bottom"/>
            <w:tcBorders>
              <w:top w:val="single" w:sz="8" w:color="auto"/>
            </w:tcBorders>
            <w:gridSpan w:val="9"/>
            <w:vMerge w:val="restart"/>
          </w:tcPr>
          <w:p>
            <w:pPr>
              <w:spacing w:after="0"/>
              <w:rPr>
                <w:sz w:val="20"/>
                <w:szCs w:val="20"/>
                <w:color w:val="auto"/>
              </w:rPr>
            </w:pPr>
            <w:r>
              <w:rPr>
                <w:rFonts w:ascii="Arial" w:cs="Arial" w:eastAsia="Arial" w:hAnsi="Arial"/>
                <w:sz w:val="18"/>
                <w:szCs w:val="18"/>
                <w:color w:val="auto"/>
              </w:rPr>
              <w:t>Other changes recognized in other comprehensive loss,</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w w:val="91"/>
              </w:rPr>
              <w:t>February 2, 2019</w:t>
            </w:r>
          </w:p>
        </w:tc>
        <w:tc>
          <w:tcPr>
            <w:tcW w:w="1200" w:type="dxa"/>
            <w:vAlign w:val="bottom"/>
            <w:gridSpan w:val="5"/>
          </w:tcPr>
          <w:p>
            <w:pPr>
              <w:jc w:val="right"/>
              <w:ind w:right="180"/>
              <w:spacing w:after="0"/>
              <w:rPr>
                <w:sz w:val="20"/>
                <w:szCs w:val="20"/>
                <w:color w:val="auto"/>
              </w:rPr>
            </w:pPr>
            <w:r>
              <w:rPr>
                <w:rFonts w:ascii="Arial" w:cs="Arial" w:eastAsia="Arial" w:hAnsi="Arial"/>
                <w:sz w:val="14"/>
                <w:szCs w:val="14"/>
                <w:color w:val="auto"/>
                <w:w w:val="93"/>
              </w:rPr>
              <w:t>February 3, 2018</w:t>
            </w:r>
          </w:p>
        </w:tc>
        <w:tc>
          <w:tcPr>
            <w:tcW w:w="80" w:type="dxa"/>
            <w:vAlign w:val="bottom"/>
          </w:tcPr>
          <w:p>
            <w:pPr>
              <w:spacing w:after="0"/>
              <w:rPr>
                <w:sz w:val="24"/>
                <w:szCs w:val="24"/>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4"/>
                <w:szCs w:val="14"/>
                <w:color w:val="auto"/>
                <w:w w:val="94"/>
              </w:rPr>
              <w:t>January 28, 2017</w:t>
            </w: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4680" w:type="dxa"/>
            <w:vAlign w:val="bottom"/>
            <w:tcBorders>
              <w:top w:val="single" w:sz="8" w:color="auto"/>
            </w:tcBorders>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5"/>
          </w:tcPr>
          <w:p>
            <w:pPr>
              <w:jc w:val="right"/>
              <w:ind w:right="30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960" w:type="dxa"/>
            <w:vAlign w:val="bottom"/>
            <w:tcBorders>
              <w:top w:val="single" w:sz="8" w:color="auto"/>
            </w:tcBorders>
            <w:gridSpan w:val="8"/>
          </w:tcPr>
          <w:p>
            <w:pPr>
              <w:ind w:left="120"/>
              <w:spacing w:after="0" w:line="196" w:lineRule="exact"/>
              <w:rPr>
                <w:sz w:val="20"/>
                <w:szCs w:val="20"/>
                <w:color w:val="auto"/>
              </w:rPr>
            </w:pPr>
            <w:r>
              <w:rPr>
                <w:rFonts w:ascii="Arial" w:cs="Arial" w:eastAsia="Arial" w:hAnsi="Arial"/>
                <w:sz w:val="18"/>
                <w:szCs w:val="18"/>
                <w:color w:val="auto"/>
              </w:rPr>
              <w:t>before taxes: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468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320" w:type="dxa"/>
            <w:vAlign w:val="bottom"/>
            <w:gridSpan w:val="3"/>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5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Arial" w:cs="Arial" w:eastAsia="Arial" w:hAnsi="Arial"/>
                <w:sz w:val="18"/>
                <w:szCs w:val="18"/>
                <w:color w:val="auto"/>
              </w:rPr>
              <w:t>Net periodic pension cost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468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Arial" w:cs="Arial" w:eastAsia="Arial" w:hAnsi="Arial"/>
                <w:sz w:val="18"/>
                <w:szCs w:val="18"/>
                <w:color w:val="auto"/>
              </w:rPr>
              <w:t>Change in benefit obligations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680" w:type="dxa"/>
            <w:vAlign w:val="bottom"/>
            <w:tcBorders>
              <w:top w:val="single" w:sz="8" w:color="CFF0FC"/>
              <w:bottom w:val="single" w:sz="8" w:color="CFF0FC"/>
            </w:tcBorders>
            <w:gridSpan w:val="9"/>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5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Assumptions used to determine the benefit obligations as of February 2, 2019 and February 3, 2018 included a discount rate of 3.87% for fiscal 2018 and 3.60% for fiscal 2017. Assumptions used to determine the net periodic benefit cost for the years ended February 2, 2019, February 3, 2018 and January 28, 2017 included a discount rate of 3.87% for fiscal 2018, 3.60% for fiscal 2017 and 4.00% for fiscal 2016.</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4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In May 2018, in connection with the Company’s cost reduction initiatives, as discussed in Note K, </w:t>
      </w:r>
      <w:r>
        <w:rPr>
          <w:rFonts w:ascii="Arial" w:cs="Arial" w:eastAsia="Arial" w:hAnsi="Arial"/>
          <w:sz w:val="18"/>
          <w:szCs w:val="18"/>
          <w:i w:val="1"/>
          <w:iCs w:val="1"/>
          <w:color w:val="auto"/>
        </w:rPr>
        <w:t>Corporate Restructuring</w:t>
      </w:r>
      <w:r>
        <w:rPr>
          <w:rFonts w:ascii="Arial" w:cs="Arial" w:eastAsia="Arial" w:hAnsi="Arial"/>
          <w:sz w:val="18"/>
          <w:szCs w:val="18"/>
          <w:color w:val="auto"/>
        </w:rPr>
        <w:t>, the Board ratified and approved the recommendation of the Company’s management team to suspend any further employer contributions to the 401(k) Plan, effective July 1, 2018, until the end of calendar year 2019 at the latest.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66" w:name="page67"/>
    <w:bookmarkEnd w:id="66"/>
    <w:p>
      <w:pPr>
        <w:ind w:right="1320"/>
        <w:spacing w:after="0" w:line="398" w:lineRule="auto"/>
        <w:rPr>
          <w:sz w:val="20"/>
          <w:szCs w:val="20"/>
          <w:color w:val="auto"/>
        </w:rPr>
      </w:pPr>
      <w:r>
        <w:rPr>
          <w:rFonts w:ascii="Arial" w:cs="Arial" w:eastAsia="Arial" w:hAnsi="Arial"/>
          <w:sz w:val="18"/>
          <w:szCs w:val="18"/>
          <w:color w:val="auto"/>
        </w:rPr>
        <w:t xml:space="preserve">The Company recognized $0.9 million, $2.3 million and $2.2 million of expense under this plan in fiscal 2018, 2017 and 2016, respectively. </w:t>
      </w:r>
      <w:r>
        <w:rPr>
          <w:rFonts w:ascii="Arial" w:cs="Arial" w:eastAsia="Arial" w:hAnsi="Arial"/>
          <w:sz w:val="18"/>
          <w:szCs w:val="18"/>
          <w:b w:val="1"/>
          <w:bCs w:val="1"/>
          <w:color w:val="auto"/>
        </w:rPr>
        <w:t>K. CORPORATE RESTRUCTURING</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May 16, 2018, the Company committed to a corporate restructuring plan (“Restructuring”) to accelerate the Company's path to profitability by better aligning its expense structure with its revenues. The Company eliminated 56 positions, which represented approximately 15% of its corporate work force, or 2% of its total work force, in connection with the Restructuring. On May 16, 2018, 36 employees were notified of their termination, with the remaining 20 positions representing open positions that will not be filled. The Company offered cash severance benefits to the eligible affected employees. Each affected employee’s eligibility for these severance benefits is contingent upon such employee’s execution (and no revocation) of a separation agreement, which includes a general release of claims against the Company.</w:t>
      </w:r>
    </w:p>
    <w:p>
      <w:pPr>
        <w:spacing w:after="0" w:line="19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incurred an aggregate charge of approximately $1.9 million for employee severance and one-time termination benefits, as well as other employee-related costs associated with the Restructuring. Approximately $1.6 million of the $1.9 million will be cash expenditures. At February 2, 2019, the Company has an accrued liability related to the restructuring of $0.2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CEO SEARCH AND TRANSITION COSTS</w:t>
      </w:r>
    </w:p>
    <w:p>
      <w:pPr>
        <w:spacing w:after="0" w:line="35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2018, the Company announced that David Levin, its President and Chief Executive Officer would retire at the end of fiscal 2018. The Company and Mr. Levin entered into a Transition Agreement dated March 20, 2018, as amended (the “Transition Agreement”) addressing Mr. Levin’s future retirement and related successor issues. Pursuant to the terms of the Transition Agreement, Mr. Levin resigned as an officer and director of the Company on January 1, 2019. Under that Transition Agreement, he is entitled to receive his base salary, AIP bonus and LTIP compensation through December 31, 2019. On November 27, 2018, the Company entered into a letter agreement with Mr. Levin (the “Letter Agreement”). The Letter Agreement is a supplement to the Transition Agreement, and it set forth Mr. Levin’s initial transition duties and consulting activities that he was required to perform under the terms of the Transition Agreement in the event that the Company had not appointed a successor CEO by December 31, 2018.</w:t>
      </w:r>
    </w:p>
    <w:p>
      <w:pPr>
        <w:spacing w:after="0" w:line="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accordance with the terms of the Letter Agreement because no successor CEO had been appointed by December 31, 2018, since January 1, 2019, Mr. Levin is the Company’s acting CEO and, as such, its principal executive officer (collectively, “Acting CEO”). Pursuant to the terms of the Letter Agreement, Mr. Levin will receive total compensation of $800,000 for the period January 1, 2019 through April 1, 2019.</w:t>
      </w:r>
    </w:p>
    <w:p>
      <w:pPr>
        <w:spacing w:after="0" w:line="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Subsequent to the end of fiscal 2018, on February 19, 2019, the Company appointed Harvey S. Kanter as its next President, Chief Executive Officer and a director of the Company effective April 1, 2019. During a short transition period from February 19, 2019 until April 1, 2019, Mr. Kanter will serve as an Advisor to the Acting CEO, at which time Mr. Levin will resign as Acting CEO and Mr. Kanter will assume the role of President and Chief Executive Officer.</w:t>
      </w:r>
    </w:p>
    <w:p>
      <w:pPr>
        <w:spacing w:after="0" w:line="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CEO transition and search costs, the Company incurred a total charge of approximately $2.4 million in fiscal 2018. The $2.4 million charge related to amounts payable to Mr. Levin under his Transition Agreement, CEO search costs and the acceleration of stock-based compensation of approximately $0.5 million, related to his time-based equity awards.</w:t>
      </w:r>
    </w:p>
    <w:p>
      <w:pPr>
        <w:spacing w:after="0" w:line="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expects to incur additional charges in fiscal 2019 of approximately $0.5 million for CEO search, legal and housing allowance costs and approximately $1.2 million, assuming target, of future cash payments that Mr. Levin may be entitled to under existing performance plans, if and when such targets are achieved.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 SELECTED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color w:val="auto"/>
              </w:rPr>
              <w:t>THIRD</w:t>
            </w:r>
          </w:p>
        </w:tc>
        <w:tc>
          <w:tcPr>
            <w:tcW w:w="20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color w:val="auto"/>
              </w:rPr>
              <w:t>FOURTH</w:t>
            </w:r>
          </w:p>
        </w:tc>
        <w:tc>
          <w:tcPr>
            <w:tcW w:w="3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FULL</w:t>
            </w:r>
          </w:p>
        </w:tc>
      </w:tr>
      <w:tr>
        <w:trPr>
          <w:trHeight w:val="167"/>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QUARTER</w:t>
            </w:r>
          </w:p>
        </w:tc>
        <w:tc>
          <w:tcPr>
            <w:tcW w:w="200" w:type="dxa"/>
            <w:vAlign w:val="bottom"/>
          </w:tcPr>
          <w:p>
            <w:pPr>
              <w:spacing w:after="0"/>
              <w:rPr>
                <w:sz w:val="14"/>
                <w:szCs w:val="14"/>
                <w:color w:val="auto"/>
              </w:rPr>
            </w:pPr>
          </w:p>
        </w:tc>
        <w:tc>
          <w:tcPr>
            <w:tcW w:w="1020" w:type="dxa"/>
            <w:vAlign w:val="bottom"/>
          </w:tcPr>
          <w:p>
            <w:pPr>
              <w:jc w:val="right"/>
              <w:ind w:right="213"/>
              <w:spacing w:after="0"/>
              <w:rPr>
                <w:sz w:val="20"/>
                <w:szCs w:val="20"/>
                <w:color w:val="auto"/>
              </w:rPr>
            </w:pPr>
            <w:r>
              <w:rPr>
                <w:rFonts w:ascii="Arial" w:cs="Arial" w:eastAsia="Arial" w:hAnsi="Arial"/>
                <w:sz w:val="14"/>
                <w:szCs w:val="14"/>
                <w:color w:val="auto"/>
              </w:rPr>
              <w:t>QUARTER</w:t>
            </w:r>
          </w:p>
        </w:tc>
        <w:tc>
          <w:tcPr>
            <w:tcW w:w="220" w:type="dxa"/>
            <w:vAlign w:val="bottom"/>
          </w:tcPr>
          <w:p>
            <w:pPr>
              <w:spacing w:after="0"/>
              <w:rPr>
                <w:sz w:val="14"/>
                <w:szCs w:val="14"/>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color w:val="auto"/>
                <w:w w:val="99"/>
              </w:rPr>
              <w:t>QUARTER</w:t>
            </w:r>
          </w:p>
        </w:tc>
        <w:tc>
          <w:tcPr>
            <w:tcW w:w="20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QUARTER</w:t>
            </w:r>
          </w:p>
        </w:tc>
        <w:tc>
          <w:tcPr>
            <w:tcW w:w="3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YEAR</w:t>
            </w:r>
          </w:p>
        </w:tc>
      </w:tr>
      <w:tr>
        <w:trPr>
          <w:trHeight w:val="223"/>
        </w:trPr>
        <w:tc>
          <w:tcPr>
            <w:tcW w:w="3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5"/>
          </w:tcPr>
          <w:p>
            <w:pPr>
              <w:jc w:val="right"/>
              <w:ind w:right="652"/>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FISCAL YEAR 2018</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113,331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122,206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107,069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131,150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473,756</w:t>
            </w: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50,688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56,525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47,060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57,016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211,289</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loss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(6,441)</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(10,119)</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Loss before taxes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(3,112)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(13,581)</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(3,110)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(13,531)</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Loss per share – basic and diluted</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r>
      <w:tr>
        <w:trPr>
          <w:trHeight w:val="229"/>
        </w:trPr>
        <w:tc>
          <w:tcPr>
            <w:tcW w:w="38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b w:val="1"/>
                <w:bCs w:val="1"/>
                <w:color w:val="auto"/>
              </w:rPr>
              <w:t>FISCAL YEAR 2017</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107,629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121,125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103,700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135,522</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467,976</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48,688</w:t>
            </w:r>
          </w:p>
        </w:tc>
        <w:tc>
          <w:tcPr>
            <w:tcW w:w="20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55,817</w:t>
            </w:r>
          </w:p>
        </w:tc>
        <w:tc>
          <w:tcPr>
            <w:tcW w:w="2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44,813</w:t>
            </w:r>
          </w:p>
        </w:tc>
        <w:tc>
          <w:tcPr>
            <w:tcW w:w="2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61,039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210,357</w:t>
            </w: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(5,234)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(4,835)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(18,041)</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Loss before taxes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(6,036)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(3,696)</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(5,706)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(5,960)</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(21,398)</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(2,572)</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(3,324)</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(18,826)</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 basic and diluted</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(0.39)</w:t>
            </w:r>
          </w:p>
        </w:tc>
      </w:tr>
    </w:tbl>
    <w:p>
      <w:pPr>
        <w:spacing w:after="0" w:line="26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fiscal quarters are based on a retail cycle of 13 weeks. Fiscal 2017 was a 53-week year, therefore, the fourth quarter of fiscal 2017 was a 14-week period.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selling season.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8" w:name="page69"/>
    <w:bookmarkEnd w:id="68"/>
    <w:p>
      <w:pPr>
        <w:ind w:right="4000"/>
        <w:spacing w:after="0" w:line="40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2, 2019. Based on this evaluation, our Chief Executive Officer and Chief Financial Officer concluded that, as of February 2, 2019, our disclosure controls and procedures were effective.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48" w:lineRule="exact"/>
        <w:rPr>
          <w:sz w:val="20"/>
          <w:szCs w:val="20"/>
          <w:color w:val="auto"/>
        </w:rPr>
      </w:pPr>
    </w:p>
    <w:p>
      <w:pPr>
        <w:ind w:left="1240" w:hanging="221"/>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9" w:lineRule="exact"/>
        <w:rPr>
          <w:rFonts w:ascii="Arial" w:cs="Arial" w:eastAsia="Arial" w:hAnsi="Arial"/>
          <w:sz w:val="16"/>
          <w:szCs w:val="16"/>
          <w:color w:val="auto"/>
        </w:rPr>
      </w:pPr>
    </w:p>
    <w:p>
      <w:pPr>
        <w:ind w:left="520" w:right="200" w:firstLine="499"/>
        <w:spacing w:after="0" w:line="263" w:lineRule="auto"/>
        <w:tabs>
          <w:tab w:leader="none" w:pos="12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4" w:lineRule="exact"/>
        <w:rPr>
          <w:rFonts w:ascii="Arial" w:cs="Arial" w:eastAsia="Arial" w:hAnsi="Arial"/>
          <w:sz w:val="18"/>
          <w:szCs w:val="18"/>
          <w:color w:val="auto"/>
        </w:rPr>
      </w:pPr>
    </w:p>
    <w:p>
      <w:pPr>
        <w:ind w:left="520" w:right="140" w:firstLine="499"/>
        <w:spacing w:after="0" w:line="277" w:lineRule="auto"/>
        <w:tabs>
          <w:tab w:leader="none" w:pos="13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February 2, 2019. In making this assessment, management used the criteria set forth by the Committee of Sponsoring Organizations of the Treadway Commission (COSO) in Internal Control- Integrated Framework (2013).</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February 2, 2019.</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February 2, 2019,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039" w:right="3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audited Destination XL Group, Inc. and subsidiaries’ (the Company) internal control over financial reporting as of February 2, 2019,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2, 2019, based on criteria established in Internal Control – Integrated Framework (2013) issued by the Committee of Sponsoring Organizations of the Treadway Commission.</w:t>
      </w:r>
    </w:p>
    <w:p>
      <w:pPr>
        <w:spacing w:after="0" w:line="48" w:lineRule="exact"/>
        <w:rPr>
          <w:sz w:val="20"/>
          <w:szCs w:val="20"/>
          <w:color w:val="auto"/>
        </w:rPr>
      </w:pPr>
    </w:p>
    <w:p>
      <w:pPr>
        <w:ind w:right="80"/>
        <w:spacing w:after="0" w:line="220" w:lineRule="exact"/>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February 2, 2019 and February 3, 2018, the related consolidated statements of operations, comprehensive income (loss), changes in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February 2, 2019, and the related notes (collectively, the consolidated financial statements) and our report dated March 22, 2019 expressed an unqualified opinion on those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February 2, 2019 that has materially affected, or is reasonably likely to materially affect, our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570" w:right="5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2, 2019 in connection with our 2019 Annual Meeting of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43" w:right="299" w:bottom="1440" w:gutter="0" w:footer="0" w:header="0"/>
        </w:sectPr>
      </w:pPr>
    </w:p>
    <w:bookmarkStart w:id="72" w:name="page73"/>
    <w:bookmarkEnd w:id="72"/>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40 of this Annual Report.</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74 of this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43"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340" w:type="dxa"/>
            <w:vAlign w:val="bottom"/>
            <w:gridSpan w:val="25"/>
          </w:tcPr>
          <w:p>
            <w:pPr>
              <w:jc w:val="center"/>
              <w:ind w:right="3620"/>
              <w:spacing w:after="0"/>
              <w:rPr>
                <w:sz w:val="20"/>
                <w:szCs w:val="20"/>
                <w:color w:val="auto"/>
              </w:rPr>
            </w:pPr>
            <w:r>
              <w:rPr>
                <w:rFonts w:ascii="Arial" w:cs="Arial" w:eastAsia="Arial" w:hAnsi="Arial"/>
                <w:sz w:val="18"/>
                <w:szCs w:val="18"/>
                <w:b w:val="1"/>
                <w:bCs w:val="1"/>
                <w:color w:val="auto"/>
                <w:w w:val="91"/>
              </w:rPr>
              <w:t>Index to Exhibits</w:t>
            </w:r>
          </w:p>
        </w:tc>
      </w:tr>
      <w:tr>
        <w:trPr>
          <w:trHeight w:val="36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0"/>
        </w:trPr>
        <w:tc>
          <w:tcPr>
            <w:tcW w:w="1040" w:type="dxa"/>
            <w:vAlign w:val="bottom"/>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140" w:type="dxa"/>
            <w:vAlign w:val="bottom"/>
            <w:tcBorders>
              <w:bottom w:val="single" w:sz="8" w:color="0000EE"/>
            </w:tcBorders>
            <w:gridSpan w:val="20"/>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Restated Certificate of Incorporation of the Company (conformed copy incorporating all amendments through August 9, 2018)</w:t>
              </w:r>
            </w:hyperlink>
          </w:p>
        </w:tc>
        <w:tc>
          <w:tcPr>
            <w:tcW w:w="3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(included as Exhibit 3.1 to the Company’s Quarterly Report on Form 10-Q filed August 30, 2018, and incorporated herein by</w:t>
              </w:r>
            </w:hyperlink>
          </w:p>
        </w:tc>
        <w:tc>
          <w:tcPr>
            <w:tcW w:w="52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4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320" w:type="dxa"/>
            <w:vAlign w:val="bottom"/>
            <w:tcBorders>
              <w:bottom w:val="single" w:sz="8" w:color="0000EE"/>
            </w:tcBorders>
            <w:gridSpan w:val="24"/>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Fourth Amended and Restated By-Laws (included as Exhibit 3.1 to the Company’s Current Report on Form 8-K filed on June 18,</w:t>
              </w:r>
            </w:hyperlink>
          </w:p>
        </w:tc>
        <w:tc>
          <w:tcPr>
            <w:tcW w:w="20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2015,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520" w:type="dxa"/>
            <w:vAlign w:val="bottom"/>
            <w:tcBorders>
              <w:bottom w:val="single" w:sz="8" w:color="0000EE"/>
            </w:tcBorders>
            <w:gridSpan w:val="30"/>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Company’s 2006 Incentive Compensation Plan, as amended (included as Exhibit 10.3 to the Company’s Annual Report on Form 10-</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K filed March 17, 2014 (File No. 001-34219), and incorporated herein by reference).</w:t>
              </w:r>
            </w:hyperlink>
          </w:p>
        </w:tc>
        <w:tc>
          <w:tcPr>
            <w:tcW w:w="3420" w:type="dxa"/>
            <w:vAlign w:val="bottom"/>
            <w:gridSpan w:val="19"/>
          </w:tcPr>
          <w:p>
            <w:pPr>
              <w:spacing w:after="0"/>
              <w:rPr>
                <w:sz w:val="17"/>
                <w:szCs w:val="17"/>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480" w:type="dxa"/>
            <w:vAlign w:val="bottom"/>
            <w:tcBorders>
              <w:bottom w:val="single" w:sz="8" w:color="0000EE"/>
            </w:tcBorders>
            <w:gridSpan w:val="28"/>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Company’s 2016 Incentive Compensation Plan, as amended (included as Exhibit 10.1 to the Company’s Current Report on Form 8-</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K filed on August 8, 2016,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1040" w:type="dxa"/>
            <w:vAlign w:val="bottom"/>
          </w:tcPr>
          <w:p>
            <w:pPr>
              <w:ind w:left="1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9480" w:type="dxa"/>
            <w:vAlign w:val="bottom"/>
            <w:tcBorders>
              <w:bottom w:val="single" w:sz="8" w:color="0000EE"/>
            </w:tcBorders>
            <w:gridSpan w:val="29"/>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Form of Non-Qualified Option Agreement for Associates (included as Exhibit 10.3 to the Company’s Annual Report on Form 10-K</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filed March 20,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40" w:type="dxa"/>
            <w:vAlign w:val="bottom"/>
          </w:tcPr>
          <w:p>
            <w:pPr>
              <w:ind w:left="1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080" w:type="dxa"/>
            <w:vAlign w:val="bottom"/>
            <w:tcBorders>
              <w:bottom w:val="single" w:sz="8" w:color="0000EE"/>
            </w:tcBorders>
            <w:gridSpan w:val="18"/>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Non-Qualified Option Agreement for Associates (pursuant to the Company’s Long-Term Incentive Plan) (included as</w:t>
              </w:r>
            </w:hyperlink>
          </w:p>
        </w:tc>
        <w:tc>
          <w:tcPr>
            <w:tcW w:w="44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Exhibit 10.4 to the Company’s Annual Report on Form 10-K filed March 20, 2017, and incorporated herein by reference).</w:t>
              </w:r>
            </w:hyperlink>
          </w:p>
        </w:tc>
        <w:tc>
          <w:tcPr>
            <w:tcW w:w="740" w:type="dxa"/>
            <w:vAlign w:val="bottom"/>
            <w:gridSpan w:val="16"/>
          </w:tcPr>
          <w:p>
            <w:pPr>
              <w:spacing w:after="0"/>
              <w:rPr>
                <w:sz w:val="17"/>
                <w:szCs w:val="17"/>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9480" w:type="dxa"/>
            <w:vAlign w:val="bottom"/>
            <w:tcBorders>
              <w:bottom w:val="single" w:sz="8" w:color="0000EE"/>
            </w:tcBorders>
            <w:gridSpan w:val="29"/>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Restricted Stock Agreement for Associates (included as Exhibit 10.5 to the Company’s Annual Report on Form 10-K filed</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March 20, 2017, and incorporated herein by reference).</w:t>
              </w:r>
            </w:hyperlink>
          </w:p>
        </w:tc>
        <w:tc>
          <w:tcPr>
            <w:tcW w:w="5540" w:type="dxa"/>
            <w:vAlign w:val="bottom"/>
            <w:gridSpan w:val="24"/>
          </w:tcPr>
          <w:p>
            <w:pPr>
              <w:spacing w:after="0"/>
              <w:rPr>
                <w:sz w:val="17"/>
                <w:szCs w:val="17"/>
                <w:color w:val="auto"/>
              </w:rPr>
            </w:pPr>
          </w:p>
        </w:tc>
      </w:tr>
      <w:tr>
        <w:trPr>
          <w:trHeight w:val="358"/>
        </w:trPr>
        <w:tc>
          <w:tcPr>
            <w:tcW w:w="1040" w:type="dxa"/>
            <w:vAlign w:val="bottom"/>
          </w:tcPr>
          <w:p>
            <w:pPr>
              <w:ind w:left="1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9520" w:type="dxa"/>
            <w:vAlign w:val="bottom"/>
            <w:gridSpan w:val="30"/>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Form of Restricted Stock Agreement for Associates (pursuant to the Company’s Long-Term Incentive Plan) (included as Exhibit</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6</w:t>
              </w:r>
              <w:r>
                <w:rPr>
                  <w:rFonts w:ascii="Arial" w:cs="Arial" w:eastAsia="Arial" w:hAnsi="Arial"/>
                  <w:sz w:val="18"/>
                  <w:szCs w:val="18"/>
                  <w:color w:val="0000EE"/>
                </w:rPr>
                <w:t xml:space="preserve"> to the Company’s Annual Report on Form 10-K filed March 20, 2017, and incorporated herein by reference).</w:t>
              </w:r>
            </w:hyperlink>
          </w:p>
        </w:tc>
        <w:tc>
          <w:tcPr>
            <w:tcW w:w="28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40" w:type="dxa"/>
            <w:vAlign w:val="bottom"/>
          </w:tcPr>
          <w:p>
            <w:pPr>
              <w:ind w:left="10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9460" w:type="dxa"/>
            <w:vAlign w:val="bottom"/>
            <w:tcBorders>
              <w:bottom w:val="single" w:sz="8" w:color="0000EE"/>
            </w:tcBorders>
            <w:gridSpan w:val="27"/>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Restricted Stock Unit Agreement for Associates (included as Exhibit 10.7 to the Company’s Annual Report on Form 10-K</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filed March 20,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40" w:type="dxa"/>
            <w:vAlign w:val="bottom"/>
          </w:tcPr>
          <w:p>
            <w:pPr>
              <w:ind w:left="10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9040" w:type="dxa"/>
            <w:vAlign w:val="bottom"/>
            <w:tcBorders>
              <w:bottom w:val="single" w:sz="8" w:color="0000EE"/>
            </w:tcBorders>
            <w:gridSpan w:val="17"/>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Form of Restricted Stock Unit Agreement for Associates (pursuant to the Company’s Long-Term Incentive Plan) (included as</w:t>
              </w:r>
            </w:hyperlink>
          </w:p>
        </w:tc>
        <w:tc>
          <w:tcPr>
            <w:tcW w:w="48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Exhibit 10.8 to the Company’s Annual Report on Form 10-K filed March 20, 2017, and incorporated herein by reference).</w:t>
              </w:r>
            </w:hyperlink>
          </w:p>
        </w:tc>
        <w:tc>
          <w:tcPr>
            <w:tcW w:w="740" w:type="dxa"/>
            <w:vAlign w:val="bottom"/>
            <w:gridSpan w:val="16"/>
          </w:tcPr>
          <w:p>
            <w:pPr>
              <w:spacing w:after="0"/>
              <w:rPr>
                <w:sz w:val="17"/>
                <w:szCs w:val="17"/>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9480" w:type="dxa"/>
            <w:vAlign w:val="bottom"/>
            <w:tcBorders>
              <w:bottom w:val="single" w:sz="8" w:color="0000EE"/>
            </w:tcBorders>
            <w:gridSpan w:val="29"/>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Deferred Stock Award Agreement for Non-Employee Directors (included as Exhibit 10.9 to the Company’s Annual Report</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on Form 10-K filed March 20, 2017, and incorporated herein by reference).</w:t>
              </w:r>
            </w:hyperlink>
          </w:p>
        </w:tc>
        <w:tc>
          <w:tcPr>
            <w:tcW w:w="4100" w:type="dxa"/>
            <w:vAlign w:val="bottom"/>
            <w:gridSpan w:val="21"/>
          </w:tcPr>
          <w:p>
            <w:pPr>
              <w:spacing w:after="0"/>
              <w:rPr>
                <w:sz w:val="17"/>
                <w:szCs w:val="17"/>
                <w:color w:val="auto"/>
              </w:rPr>
            </w:pPr>
          </w:p>
        </w:tc>
      </w:tr>
      <w:tr>
        <w:trPr>
          <w:trHeight w:val="331"/>
        </w:trPr>
        <w:tc>
          <w:tcPr>
            <w:tcW w:w="1040" w:type="dxa"/>
            <w:vAlign w:val="bottom"/>
          </w:tcPr>
          <w:p>
            <w:pPr>
              <w:ind w:left="10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9520" w:type="dxa"/>
            <w:vAlign w:val="bottom"/>
            <w:gridSpan w:val="3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Company’s Fourth Amended and Restated Non-Employee Director Compensation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9460" w:type="dxa"/>
            <w:vAlign w:val="bottom"/>
            <w:tcBorders>
              <w:bottom w:val="single" w:sz="8" w:color="0000EE"/>
            </w:tcBorders>
            <w:gridSpan w:val="27"/>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Seventh Amended and Restated Loan and Security Agreement dated as of May 24, 2018, by and among Bank of America, N.A., as</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Administrative Agent and Collateral Agent, the Lenders identified therein, the Company, as Lead Borrower, the Company and</w:t>
              </w:r>
            </w:hyperlink>
          </w:p>
        </w:tc>
        <w:tc>
          <w:tcPr>
            <w:tcW w:w="44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CMRG Apparel, LLC, as Borrowers, and the Guarantors identified therein (included as Exhibit 10.1 to the Company’s Current</w:t>
              </w:r>
            </w:hyperlink>
          </w:p>
        </w:tc>
        <w:tc>
          <w:tcPr>
            <w:tcW w:w="40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Report on Form 8-K filed on May 30, 2018,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9520" w:type="dxa"/>
            <w:vAlign w:val="bottom"/>
            <w:gridSpan w:val="30"/>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Employment and Chairman Compensation Agreement, dated August 7, 2014, between the Company and Seymour Holtzman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80" w:type="dxa"/>
            <w:vAlign w:val="bottom"/>
            <w:gridSpan w:val="11"/>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(included as Exhibit 10.1 to the Company’s Current Report on Form 8-K filed on August 12, 2014, and incorporated herein by</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reference).</w:t>
              </w:r>
            </w:hyperlink>
          </w:p>
        </w:tc>
        <w:tc>
          <w:tcPr>
            <w:tcW w:w="44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9520" w:type="dxa"/>
            <w:vAlign w:val="bottom"/>
            <w:gridSpan w:val="30"/>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First Amendment to Employment and Chairman Compensation Agreement, dated May 25, 2017, between the Company and Mr.</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720" w:type="dxa"/>
            <w:vAlign w:val="bottom"/>
            <w:gridSpan w:val="1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Holtzman (included as Exhibit 10.1 to the Company’s Current Report on Form 8-K filed on May 30, 2017, and incorporated herein</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9520" w:type="dxa"/>
            <w:vAlign w:val="bottom"/>
            <w:tcBorders>
              <w:bottom w:val="single" w:sz="8" w:color="0000EE"/>
            </w:tcBorders>
            <w:gridSpan w:val="30"/>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Second Amendment to Employment and Chairman Compensation Agreement, dated August 8, 2018, between the Company and Mr.</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Holtzman (included as Exhibit 10.1 to the Company’s Current Report on Form 8-K filed on September 7, 2018, and incorporated</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herein by reference).</w:t>
              </w:r>
            </w:hyperlink>
          </w:p>
        </w:tc>
        <w:tc>
          <w:tcPr>
            <w:tcW w:w="8020" w:type="dxa"/>
            <w:vAlign w:val="bottom"/>
            <w:gridSpan w:val="26"/>
          </w:tcPr>
          <w:p>
            <w:pPr>
              <w:spacing w:after="0"/>
              <w:rPr>
                <w:sz w:val="17"/>
                <w:szCs w:val="17"/>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9420" w:type="dxa"/>
            <w:vAlign w:val="bottom"/>
            <w:tcBorders>
              <w:bottom w:val="single" w:sz="8" w:color="0000EE"/>
            </w:tcBorders>
            <w:gridSpan w:val="2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Revised and Restated Employment Agreement dated as of November 5, 2009 between the Company and David A. Levin (included</w:t>
              </w:r>
            </w:hyperlink>
          </w:p>
        </w:tc>
        <w:tc>
          <w:tcPr>
            <w:tcW w:w="10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as Exhibit 10.1 to the Company’s Current Report on Form 8-K filed on November 19, 2009 (File No. 001-34219), and incorporated</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gridSpan w:val="3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herein by reference).</w:t>
              </w:r>
            </w:hyperlink>
          </w:p>
        </w:tc>
      </w:tr>
      <w:tr>
        <w:trPr>
          <w:trHeight w:val="816"/>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Borders>
              <w:top w:val="single" w:sz="8" w:color="0000EE"/>
            </w:tcBorders>
            <w:gridSpan w:val="3"/>
          </w:tcPr>
          <w:p>
            <w:pPr>
              <w:spacing w:after="0"/>
              <w:rPr>
                <w:sz w:val="24"/>
                <w:szCs w:val="24"/>
                <w:color w:val="auto"/>
              </w:rPr>
            </w:pPr>
          </w:p>
        </w:tc>
        <w:tc>
          <w:tcPr>
            <w:tcW w:w="3220" w:type="dxa"/>
            <w:vAlign w:val="bottom"/>
            <w:gridSpan w:val="5"/>
          </w:tcPr>
          <w:p>
            <w:pPr>
              <w:jc w:val="right"/>
              <w:ind w:right="80"/>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4"/>
          <w:szCs w:val="14"/>
          <w:color w:val="auto"/>
        </w:rPr>
        <w:t>†</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00" w:space="340"/>
            <w:col w:w="180"/>
          </w:cols>
          <w:pgMar w:left="240" w:top="243" w:right="4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90"/>
        </w:trPr>
        <w:tc>
          <w:tcPr>
            <w:tcW w:w="1040" w:type="dxa"/>
            <w:vAlign w:val="bottom"/>
          </w:tcPr>
          <w:p>
            <w:pPr>
              <w:ind w:left="10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Transition Agreement, dated as of March 20, 2018, between the Company and David A. Levin (included as Exhibit 10.1 to the</w:t>
              </w:r>
            </w:hyperlink>
          </w:p>
        </w:tc>
        <w:tc>
          <w:tcPr>
            <w:tcW w:w="520" w:type="dxa"/>
            <w:vAlign w:val="bottom"/>
            <w:gridSpan w:val="16"/>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Company’s Current Report on Form 8-K filed on March 23, 2018, and incorporated herein by reference).</w:t>
              </w:r>
            </w:hyperlink>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9300" w:type="dxa"/>
            <w:vAlign w:val="bottom"/>
            <w:tcBorders>
              <w:bottom w:val="single" w:sz="8" w:color="0000EE"/>
            </w:tcBorders>
            <w:gridSpan w:val="21"/>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First Amendment to the Transition Agreement dated as of June 25, 2018, between the Company and David A. Levin (included as</w:t>
              </w:r>
            </w:hyperlink>
          </w:p>
        </w:tc>
        <w:tc>
          <w:tcPr>
            <w:tcW w:w="320" w:type="dxa"/>
            <w:vAlign w:val="bottom"/>
            <w:gridSpan w:val="12"/>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Exhibit 10.1 to the Company’s Current Report on Form 8-K/A filed on June 25, 2018, and incorporated herein by reference).</w:t>
              </w:r>
            </w:hyperlink>
          </w:p>
        </w:tc>
        <w:tc>
          <w:tcPr>
            <w:tcW w:w="640" w:type="dxa"/>
            <w:vAlign w:val="bottom"/>
            <w:gridSpan w:val="18"/>
          </w:tcPr>
          <w:p>
            <w:pPr>
              <w:spacing w:after="0"/>
              <w:rPr>
                <w:sz w:val="17"/>
                <w:szCs w:val="17"/>
                <w:color w:val="auto"/>
              </w:rPr>
            </w:pPr>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9460" w:type="dxa"/>
            <w:vAlign w:val="bottom"/>
            <w:tcBorders>
              <w:bottom w:val="single" w:sz="8" w:color="0000EE"/>
            </w:tcBorders>
            <w:gridSpan w:val="28"/>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Second Amendment to the Transition Agreement dated as of July 31, 2018, between the Company and David A. Levin (included as</w:t>
              </w:r>
            </w:hyperlink>
          </w:p>
        </w:tc>
        <w:tc>
          <w:tcPr>
            <w:tcW w:w="1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EE"/>
                <w:w w:val="98"/>
              </w:rPr>
            </w:pPr>
            <w:hyperlink r:id="rId120">
              <w:r>
                <w:rPr>
                  <w:rFonts w:ascii="Arial" w:cs="Arial" w:eastAsia="Arial" w:hAnsi="Arial"/>
                  <w:sz w:val="18"/>
                  <w:szCs w:val="18"/>
                  <w:color w:val="0000EE"/>
                  <w:w w:val="98"/>
                </w:rPr>
                <w:t>Exhibit 10.1 to the Company’s Current Report on Form 8-K/A filed on July 31, 2018, and incorporated herein by reference).</w:t>
              </w:r>
            </w:hyperlink>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7"/>
        </w:trPr>
        <w:tc>
          <w:tcPr>
            <w:tcW w:w="1040" w:type="dxa"/>
            <w:vAlign w:val="bottom"/>
          </w:tcPr>
          <w:p>
            <w:pPr>
              <w:ind w:left="8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9500" w:type="dxa"/>
            <w:vAlign w:val="bottom"/>
            <w:tcBorders>
              <w:bottom w:val="single" w:sz="8" w:color="0000EE"/>
            </w:tcBorders>
            <w:gridSpan w:val="3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Letter Agreement between the Company and David A. Levin dated November 27, 2018 (included as Exhibit 10.1 to the Company’s</w:t>
              </w:r>
            </w:hyperlink>
          </w:p>
        </w:tc>
        <w:tc>
          <w:tcPr>
            <w:tcW w:w="1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Current Report on Form 8-K filed November 30, 2018, and incorporated herein by reference).</w:t>
              </w:r>
            </w:hyperlink>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7"/>
              </w:rPr>
            </w:pPr>
            <w:hyperlink r:id="rId122">
              <w:r>
                <w:rPr>
                  <w:rFonts w:ascii="Arial" w:cs="Arial" w:eastAsia="Arial" w:hAnsi="Arial"/>
                  <w:sz w:val="18"/>
                  <w:szCs w:val="18"/>
                  <w:color w:val="0000EE"/>
                  <w:w w:val="97"/>
                </w:rPr>
                <w:t>Employment Agreement between the Company and Harvey S. Kanter, dated February 19, 2019, which includes the Form of</w:t>
              </w:r>
            </w:hyperlink>
          </w:p>
        </w:tc>
        <w:tc>
          <w:tcPr>
            <w:tcW w:w="64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Performance Share Award Agreement and Form of Discretionary Restricted Stock Unit Award Agreement (included as Exhibit 10.1</w:t>
              </w:r>
            </w:hyperlink>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tcBorders>
              <w:bottom w:val="single" w:sz="8" w:color="0000EE"/>
            </w:tcBorders>
            <w:gridSpan w:val="12"/>
          </w:tcPr>
          <w:p>
            <w:pPr>
              <w:spacing w:after="0" w:line="182"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to the Company’s Current Report on Form 8-K filed February 20, 2019, and incorporated herein by reference).</w:t>
              </w:r>
            </w:hyperlink>
          </w:p>
        </w:tc>
        <w:tc>
          <w:tcPr>
            <w:tcW w:w="1660" w:type="dxa"/>
            <w:vAlign w:val="bottom"/>
            <w:gridSpan w:val="21"/>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371"/>
        </w:trPr>
        <w:tc>
          <w:tcPr>
            <w:tcW w:w="1040" w:type="dxa"/>
            <w:vAlign w:val="bottom"/>
          </w:tcPr>
          <w:p>
            <w:pPr>
              <w:ind w:left="10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9480" w:type="dxa"/>
            <w:vAlign w:val="bottom"/>
            <w:tcBorders>
              <w:bottom w:val="single" w:sz="8" w:color="0000EE"/>
            </w:tcBorders>
            <w:gridSpan w:val="29"/>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Amended and Restated Employment Agreement between the Company and Brian Reaves dated as of November 27, 2017 (included</w:t>
              </w:r>
            </w:hyperlink>
          </w:p>
        </w:tc>
        <w:tc>
          <w:tcPr>
            <w:tcW w:w="140" w:type="dxa"/>
            <w:vAlign w:val="bottom"/>
            <w:gridSpan w:val="4"/>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22"/>
                <w:szCs w:val="22"/>
                <w:color w:val="auto"/>
              </w:rPr>
              <w:t>†</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at Exhibit 10.38 to the Company’s Annual Report on Form 10-K filed on March 23, 2018, and incorporated herein by reference).</w:t>
              </w:r>
            </w:hyperlink>
          </w:p>
        </w:tc>
        <w:tc>
          <w:tcPr>
            <w:tcW w:w="6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7"/>
        </w:trPr>
        <w:tc>
          <w:tcPr>
            <w:tcW w:w="1040" w:type="dxa"/>
            <w:vAlign w:val="bottom"/>
          </w:tcPr>
          <w:p>
            <w:pPr>
              <w:ind w:left="10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9280" w:type="dxa"/>
            <w:vAlign w:val="bottom"/>
            <w:tcBorders>
              <w:bottom w:val="single" w:sz="8" w:color="0000EE"/>
            </w:tcBorders>
            <w:gridSpan w:val="20"/>
          </w:tcPr>
          <w:p>
            <w:pPr>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Second Amended and Restated Employment Agreement dated as of October 8, 2018, between the Company and Brian S. Reaves</w:t>
              </w:r>
            </w:hyperlink>
          </w:p>
        </w:tc>
        <w:tc>
          <w:tcPr>
            <w:tcW w:w="34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(included as Exhibit 10.1 to the Company’s Current Report on Form 8-K filed October 9, 2018, and incorporated herein by</w:t>
              </w:r>
            </w:hyperlink>
          </w:p>
        </w:tc>
        <w:tc>
          <w:tcPr>
            <w:tcW w:w="6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reference).</w:t>
              </w:r>
            </w:hyperlink>
          </w:p>
        </w:tc>
        <w:tc>
          <w:tcPr>
            <w:tcW w:w="800" w:type="dxa"/>
            <w:vAlign w:val="bottom"/>
            <w:gridSpan w:val="20"/>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Second Amended and Restated Employment Agreement between the Company and Peter H. Stratton, Jr. dated as of November 27,</w:t>
              </w:r>
            </w:hyperlink>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2017 (included at Exhibit 10.32 to the Company’s Annual Report on Form 10-K filed on March 23, 2018, and incorporated herein</w:t>
              </w:r>
            </w:hyperlink>
          </w:p>
        </w:tc>
        <w:tc>
          <w:tcPr>
            <w:tcW w:w="40" w:type="dxa"/>
            <w:vAlign w:val="bottom"/>
            <w:tcBorders>
              <w:top w:val="single" w:sz="8" w:color="0000EE"/>
            </w:tcBorders>
          </w:tcPr>
          <w:p>
            <w:pPr>
              <w:spacing w:after="0"/>
              <w:rPr>
                <w:sz w:val="17"/>
                <w:szCs w:val="17"/>
                <w:color w:val="auto"/>
              </w:rPr>
            </w:pPr>
          </w:p>
        </w:tc>
        <w:tc>
          <w:tcPr>
            <w:tcW w:w="22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by reference).</w:t>
              </w:r>
            </w:hyperlink>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Employment Agreement dated March 14, 2018 between the Company and Jim Davey (included as Exhibit 10.2 to the Company’s</w:t>
              </w:r>
            </w:hyperlink>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Quarterly Report on Form 10-Q filed on May 30, 2018, and incorporated herein by reference).</w:t>
              </w:r>
            </w:hyperlink>
          </w:p>
        </w:tc>
        <w:tc>
          <w:tcPr>
            <w:tcW w:w="2540" w:type="dxa"/>
            <w:vAlign w:val="bottom"/>
            <w:tcBorders>
              <w:top w:val="single" w:sz="8" w:color="0000EE"/>
            </w:tcBorders>
            <w:gridSpan w:val="14"/>
          </w:tcPr>
          <w:p>
            <w:pPr>
              <w:spacing w:after="0"/>
              <w:rPr>
                <w:sz w:val="17"/>
                <w:szCs w:val="17"/>
                <w:color w:val="auto"/>
              </w:rPr>
            </w:pPr>
          </w:p>
        </w:tc>
        <w:tc>
          <w:tcPr>
            <w:tcW w:w="300" w:type="dxa"/>
            <w:vAlign w:val="bottom"/>
            <w:gridSpan w:val="11"/>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9340" w:type="dxa"/>
            <w:vAlign w:val="bottom"/>
            <w:tcBorders>
              <w:bottom w:val="single" w:sz="8" w:color="0000EE"/>
            </w:tcBorders>
            <w:gridSpan w:val="23"/>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Employment Agreement between the Company and Robert S. Molloy dated as of January 7, 2010 (included as Exhibit 10.2 to the</w:t>
              </w:r>
            </w:hyperlink>
          </w:p>
        </w:tc>
        <w:tc>
          <w:tcPr>
            <w:tcW w:w="2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Company’s Current Report on Form 8-K filed on January 11, 2010 (File No. 001-34219), and incorporated herein by reference).</w:t>
              </w:r>
            </w:hyperlink>
          </w:p>
        </w:tc>
        <w:tc>
          <w:tcPr>
            <w:tcW w:w="360" w:type="dxa"/>
            <w:vAlign w:val="bottom"/>
            <w:gridSpan w:val="14"/>
          </w:tcPr>
          <w:p>
            <w:pPr>
              <w:spacing w:after="0"/>
              <w:rPr>
                <w:sz w:val="17"/>
                <w:szCs w:val="17"/>
                <w:color w:val="auto"/>
              </w:rPr>
            </w:pPr>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4"/>
                <w:szCs w:val="24"/>
                <w:color w:val="auto"/>
              </w:rPr>
            </w:pPr>
          </w:p>
        </w:tc>
        <w:tc>
          <w:tcPr>
            <w:tcW w:w="9420" w:type="dxa"/>
            <w:vAlign w:val="bottom"/>
            <w:tcBorders>
              <w:bottom w:val="single" w:sz="8" w:color="0000EE"/>
            </w:tcBorders>
            <w:gridSpan w:val="26"/>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Employment Agreement between the Company and Francis C. Chane dated as of January 8, 2010 (included as Exhibit 10.34 to the</w:t>
              </w:r>
            </w:hyperlink>
          </w:p>
        </w:tc>
        <w:tc>
          <w:tcPr>
            <w:tcW w:w="20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Company’s Annual Report on Form 10-K filed on March 19, 2010 (File No. 001-34219), and incorporated herein by reference).</w:t>
              </w:r>
            </w:hyperlink>
          </w:p>
        </w:tc>
        <w:tc>
          <w:tcPr>
            <w:tcW w:w="420" w:type="dxa"/>
            <w:vAlign w:val="bottom"/>
            <w:gridSpan w:val="15"/>
          </w:tcPr>
          <w:p>
            <w:pPr>
              <w:spacing w:after="0"/>
              <w:rPr>
                <w:sz w:val="17"/>
                <w:szCs w:val="17"/>
                <w:color w:val="auto"/>
              </w:rPr>
            </w:pPr>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4"/>
                <w:szCs w:val="24"/>
                <w:color w:val="auto"/>
              </w:rPr>
            </w:pPr>
          </w:p>
        </w:tc>
        <w:tc>
          <w:tcPr>
            <w:tcW w:w="9060" w:type="dxa"/>
            <w:vAlign w:val="bottom"/>
            <w:tcBorders>
              <w:bottom w:val="single" w:sz="8" w:color="0000EE"/>
            </w:tcBorders>
            <w:gridSpan w:val="16"/>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Employment Agreement between the Company and John F. Cooney dated as of May 17, 2015 (included as Exhibit 10.2 to the</w:t>
              </w:r>
            </w:hyperlink>
          </w:p>
        </w:tc>
        <w:tc>
          <w:tcPr>
            <w:tcW w:w="560" w:type="dxa"/>
            <w:vAlign w:val="bottom"/>
            <w:gridSpan w:val="17"/>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33"/>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Company’s Quarterly Report on Form 10-Q filed on August 27, 2015, and incorporated herein by reference).</w:t>
              </w:r>
            </w:hyperlink>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Employment Agreement between the Company and Anthony J. Gaeta dated as of November 27, 2017 (included as Exhibit 10.41 to</w:t>
              </w:r>
            </w:hyperlink>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the Company’s Annual Report on Form 10-K filed on March 23, 2018, and incorporated herein by reference).</w:t>
              </w:r>
            </w:hyperlink>
          </w:p>
        </w:tc>
        <w:tc>
          <w:tcPr>
            <w:tcW w:w="180" w:type="dxa"/>
            <w:vAlign w:val="bottom"/>
            <w:gridSpan w:val="6"/>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52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Third Amended and Restated Annual Incentive Plan (included as Exhibit 10.49 to the Company’s Annual Report on Form 10-K filed</w:t>
              </w:r>
            </w:hyperlink>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on March 20, 2017, and incorporated herein by reference).</w:t>
              </w:r>
            </w:hyperlink>
          </w:p>
        </w:tc>
        <w:tc>
          <w:tcPr>
            <w:tcW w:w="5360" w:type="dxa"/>
            <w:vAlign w:val="bottom"/>
            <w:tcBorders>
              <w:top w:val="single" w:sz="8" w:color="0000EE"/>
            </w:tcBorders>
            <w:gridSpan w:val="29"/>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First Amended and Restated Long-Term Incentive Plan (included as Exhibit 10.50 to the Company’s Annual Report on Form 10-K</w:t>
              </w:r>
            </w:hyperlink>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filed on March 20, 2017, and incorporated herein by reference).</w:t>
              </w:r>
            </w:hyperlink>
          </w:p>
        </w:tc>
        <w:tc>
          <w:tcPr>
            <w:tcW w:w="4820" w:type="dxa"/>
            <w:vAlign w:val="bottom"/>
            <w:tcBorders>
              <w:top w:val="single" w:sz="8" w:color="0000EE"/>
            </w:tcBorders>
            <w:gridSpan w:val="20"/>
          </w:tcPr>
          <w:p>
            <w:pPr>
              <w:spacing w:after="0"/>
              <w:rPr>
                <w:sz w:val="17"/>
                <w:szCs w:val="17"/>
                <w:color w:val="auto"/>
              </w:rPr>
            </w:pPr>
          </w:p>
        </w:tc>
        <w:tc>
          <w:tcPr>
            <w:tcW w:w="220" w:type="dxa"/>
            <w:vAlign w:val="bottom"/>
            <w:gridSpan w:val="8"/>
          </w:tcPr>
          <w:p>
            <w:pPr>
              <w:spacing w:after="0"/>
              <w:rPr>
                <w:sz w:val="17"/>
                <w:szCs w:val="17"/>
                <w:color w:val="auto"/>
              </w:rPr>
            </w:pPr>
          </w:p>
        </w:tc>
        <w:tc>
          <w:tcPr>
            <w:tcW w:w="640" w:type="dxa"/>
            <w:vAlign w:val="bottom"/>
          </w:tcPr>
          <w:p>
            <w:pPr>
              <w:ind w:left="300"/>
              <w:spacing w:after="0" w:line="196" w:lineRule="exact"/>
              <w:rPr>
                <w:sz w:val="20"/>
                <w:szCs w:val="20"/>
                <w:color w:val="auto"/>
              </w:rPr>
            </w:pPr>
            <w:r>
              <w:rPr>
                <w:rFonts w:ascii="Arial" w:cs="Arial" w:eastAsia="Arial" w:hAnsi="Arial"/>
                <w:sz w:val="18"/>
                <w:szCs w:val="18"/>
                <w:color w:val="auto"/>
              </w:rPr>
              <w:t>†</w:t>
            </w: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9460" w:type="dxa"/>
            <w:vAlign w:val="bottom"/>
            <w:tcBorders>
              <w:bottom w:val="single" w:sz="8" w:color="0000EE"/>
            </w:tcBorders>
            <w:gridSpan w:val="28"/>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Second Amended and Restated Long-Term Inventive Plan (included as Exhibit 10.1 to the Company’s Current Report on Form 8-K</w:t>
              </w:r>
            </w:hyperlink>
          </w:p>
        </w:tc>
        <w:tc>
          <w:tcPr>
            <w:tcW w:w="1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EE"/>
            </w:tcBorders>
            <w:gridSpan w:val="4"/>
          </w:tcPr>
          <w:p>
            <w:pPr>
              <w:spacing w:after="0" w:line="182"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filed on June 22, 2018, and incorporated herein by reference).</w:t>
              </w:r>
            </w:hyperlink>
          </w:p>
        </w:tc>
        <w:tc>
          <w:tcPr>
            <w:tcW w:w="5180" w:type="dxa"/>
            <w:vAlign w:val="bottom"/>
            <w:gridSpan w:val="29"/>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9620" w:type="dxa"/>
            <w:vAlign w:val="bottom"/>
            <w:gridSpan w:val="33"/>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First Amendment to the Second Amended and Restated Long-Term Incentive Plan (included as Exhibit 10.1 to the Company’s Form</w:t>
              </w:r>
            </w:hyperlink>
          </w:p>
        </w:tc>
        <w:tc>
          <w:tcPr>
            <w:tcW w:w="6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10-Q filed on November 30, 2018, and incorporated herein by reference).</w:t>
              </w:r>
            </w:hyperlink>
          </w:p>
        </w:tc>
        <w:tc>
          <w:tcPr>
            <w:tcW w:w="100" w:type="dxa"/>
            <w:vAlign w:val="bottom"/>
            <w:gridSpan w:val="2"/>
          </w:tcPr>
          <w:p>
            <w:pPr>
              <w:spacing w:after="0"/>
              <w:rPr>
                <w:sz w:val="17"/>
                <w:szCs w:val="17"/>
                <w:color w:val="auto"/>
              </w:rPr>
            </w:pPr>
          </w:p>
        </w:tc>
        <w:tc>
          <w:tcPr>
            <w:tcW w:w="640" w:type="dxa"/>
            <w:vAlign w:val="bottom"/>
          </w:tcPr>
          <w:p>
            <w:pPr>
              <w:ind w:left="300"/>
              <w:spacing w:after="0" w:line="182" w:lineRule="exact"/>
              <w:rPr>
                <w:sz w:val="20"/>
                <w:szCs w:val="20"/>
                <w:color w:val="auto"/>
              </w:rPr>
            </w:pPr>
            <w:r>
              <w:rPr>
                <w:rFonts w:ascii="Arial" w:cs="Arial" w:eastAsia="Arial" w:hAnsi="Arial"/>
                <w:sz w:val="18"/>
                <w:szCs w:val="18"/>
                <w:color w:val="auto"/>
              </w:rPr>
              <w:t>†</w:t>
            </w:r>
          </w:p>
        </w:tc>
      </w:tr>
      <w:tr>
        <w:trPr>
          <w:trHeight w:val="708"/>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Borders>
              <w:top w:val="single" w:sz="8" w:color="0000EE"/>
            </w:tcBorders>
            <w:gridSpan w:val="6"/>
          </w:tcPr>
          <w:p>
            <w:pPr>
              <w:jc w:val="right"/>
              <w:ind w:right="660"/>
              <w:spacing w:after="0"/>
              <w:rPr>
                <w:sz w:val="20"/>
                <w:szCs w:val="20"/>
                <w:color w:val="auto"/>
              </w:rPr>
            </w:pPr>
            <w:r>
              <w:rPr>
                <w:rFonts w:ascii="Arial" w:cs="Arial" w:eastAsia="Arial" w:hAnsi="Arial"/>
                <w:sz w:val="18"/>
                <w:szCs w:val="18"/>
                <w:color w:val="auto"/>
              </w:rPr>
              <w:t>75</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38"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12"/>
        </w:trPr>
        <w:tc>
          <w:tcPr>
            <w:tcW w:w="1040" w:type="dxa"/>
            <w:vAlign w:val="bottom"/>
          </w:tcPr>
          <w:p>
            <w:pPr>
              <w:ind w:left="10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Registration Rights Agreement dated November 18, 2003 by and between the Company and Thomas Weisel Partners LLC (included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as Exhibit 10.4 to the Company’s Quarterly Report on Form 10-Q filed on December 9, 2003 (File No. 001-34219), and</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incorporated herein by reference).</w:t>
              </w:r>
            </w:hyperlink>
          </w:p>
        </w:tc>
        <w:tc>
          <w:tcPr>
            <w:tcW w:w="6180" w:type="dxa"/>
            <w:vAlign w:val="bottom"/>
            <w:tcBorders>
              <w:top w:val="single" w:sz="8" w:color="0000EE"/>
            </w:tcBorders>
            <w:gridSpan w:val="4"/>
          </w:tcPr>
          <w:p>
            <w:pPr>
              <w:spacing w:after="0"/>
              <w:rPr>
                <w:sz w:val="17"/>
                <w:szCs w:val="17"/>
                <w:color w:val="auto"/>
              </w:rPr>
            </w:pPr>
          </w:p>
        </w:tc>
        <w:tc>
          <w:tcPr>
            <w:tcW w:w="940" w:type="dxa"/>
            <w:vAlign w:val="bottom"/>
            <w:gridSpan w:val="10"/>
          </w:tcPr>
          <w:p>
            <w:pPr>
              <w:spacing w:after="0"/>
              <w:rPr>
                <w:sz w:val="17"/>
                <w:szCs w:val="17"/>
                <w:color w:val="auto"/>
              </w:rPr>
            </w:pPr>
          </w:p>
        </w:tc>
      </w:tr>
      <w:tr>
        <w:trPr>
          <w:trHeight w:val="614"/>
        </w:trPr>
        <w:tc>
          <w:tcPr>
            <w:tcW w:w="1040" w:type="dxa"/>
            <w:vAlign w:val="bottom"/>
          </w:tcPr>
          <w:p>
            <w:pPr>
              <w:ind w:left="10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9460" w:type="dxa"/>
            <w:vAlign w:val="bottom"/>
            <w:tcBorders>
              <w:bottom w:val="single" w:sz="8" w:color="0000EE"/>
            </w:tcBorders>
            <w:gridSpan w:val="14"/>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Letter Agreement between the Company and Prescott Group Capital Management, L.L.C., et al, dated December 6, 2017 (included</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as Exhibit 10.1 to the Company’s Current Report on Form 8-K filed on December 8, 2017, an incorporated herein by reference).</w:t>
              </w:r>
            </w:hyperlink>
          </w:p>
        </w:tc>
        <w:tc>
          <w:tcPr>
            <w:tcW w:w="340" w:type="dxa"/>
            <w:vAlign w:val="bottom"/>
            <w:gridSpan w:val="6"/>
          </w:tcPr>
          <w:p>
            <w:pPr>
              <w:spacing w:after="0"/>
              <w:rPr>
                <w:sz w:val="17"/>
                <w:szCs w:val="17"/>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Letter Agreement, dated January 29, 2014, by and between the Company and Red Mountain Capital Partners LLC (included as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7"/>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Exhibit 10.1 to the Company’s Quarterly Report on Form 10-Q filed on November 17,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40" w:type="dxa"/>
            <w:vAlign w:val="bottom"/>
          </w:tcPr>
          <w:p>
            <w:pPr>
              <w:ind w:left="10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9580" w:type="dxa"/>
            <w:vAlign w:val="bottom"/>
            <w:tcBorders>
              <w:bottom w:val="single" w:sz="8" w:color="0000EE"/>
            </w:tcBorders>
            <w:gridSpan w:val="17"/>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Letter Agreement, dated June 11, 2018, by and among the Company and J. Carlo Cannell and Capital Cannell LLC (included as 10.1</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to the Company’s Current Report on form 8-K filed on June 12, 2018, and incorporated herein by reference).</w:t>
              </w:r>
            </w:hyperlink>
          </w:p>
        </w:tc>
        <w:tc>
          <w:tcPr>
            <w:tcW w:w="1740" w:type="dxa"/>
            <w:vAlign w:val="bottom"/>
            <w:gridSpan w:val="11"/>
          </w:tcPr>
          <w:p>
            <w:pPr>
              <w:spacing w:after="0"/>
              <w:rPr>
                <w:sz w:val="17"/>
                <w:szCs w:val="17"/>
                <w:color w:val="auto"/>
              </w:rPr>
            </w:pPr>
          </w:p>
        </w:tc>
      </w:tr>
      <w:tr>
        <w:trPr>
          <w:trHeight w:val="331"/>
        </w:trPr>
        <w:tc>
          <w:tcPr>
            <w:tcW w:w="1040" w:type="dxa"/>
            <w:vAlign w:val="bottom"/>
          </w:tcPr>
          <w:p>
            <w:pPr>
              <w:ind w:left="10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w w:val="99"/>
              </w:rPr>
            </w:pPr>
            <w:hyperlink r:id="rId141">
              <w:r>
                <w:rPr>
                  <w:rFonts w:ascii="Arial" w:cs="Arial" w:eastAsia="Arial" w:hAnsi="Arial"/>
                  <w:sz w:val="18"/>
                  <w:szCs w:val="18"/>
                  <w:color w:val="0000EE"/>
                  <w:w w:val="99"/>
                </w:rPr>
                <w:t>Contribution Agreement dated January 30, 2006 by and among the Company, Spirit SPE Canton, LLC and Spirit Finance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Acquisitions, LLC (included as Exhibit 10.1 to the Company’s Current Report on Form 8-K filed on February 3, 2006 (File No. 001-</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34219)</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6220" w:type="dxa"/>
            <w:vAlign w:val="bottom"/>
            <w:gridSpan w:val="13"/>
          </w:tcPr>
          <w:p>
            <w:pPr>
              <w:spacing w:after="0"/>
              <w:rPr>
                <w:sz w:val="17"/>
                <w:szCs w:val="17"/>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9300" w:type="dxa"/>
            <w:vAlign w:val="bottom"/>
            <w:tcBorders>
              <w:bottom w:val="single" w:sz="8" w:color="0000EE"/>
            </w:tcBorders>
            <w:gridSpan w:val="13"/>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Membership Interest Purchase Agreement dated January 30, 2006 by and between the Company and Spirit Finance Acquisitions,</w:t>
              </w:r>
            </w:hyperlink>
          </w:p>
        </w:tc>
        <w:tc>
          <w:tcPr>
            <w:tcW w:w="2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LLC (included as Exhibit 10.2 to the Company’s Current Report on Form 8-K filed on February 3, 2006 (File No. 001-34219), and</w:t>
              </w:r>
            </w:hyperlink>
          </w:p>
        </w:tc>
        <w:tc>
          <w:tcPr>
            <w:tcW w:w="12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incorporated herein by reference).</w:t>
              </w:r>
            </w:hyperlink>
          </w:p>
        </w:tc>
        <w:tc>
          <w:tcPr>
            <w:tcW w:w="7120" w:type="dxa"/>
            <w:vAlign w:val="bottom"/>
            <w:gridSpan w:val="14"/>
          </w:tcPr>
          <w:p>
            <w:pPr>
              <w:spacing w:after="0"/>
              <w:rPr>
                <w:sz w:val="17"/>
                <w:szCs w:val="17"/>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Lease Agreement dated February 1, 2006 by and between the Company and Spirit SPE Canton, LLC (included as Exhibit 10.3 to the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Company’s Current Report on Form 8-K filed on February 3, 2006 (File No. 001-34219), and incorporated herein by reference).</w:t>
              </w:r>
            </w:hyperlink>
          </w:p>
        </w:tc>
        <w:tc>
          <w:tcPr>
            <w:tcW w:w="3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Subsidiaries of the Registrant</w:t>
              </w:r>
            </w:hyperlink>
            <w:r>
              <w:rPr>
                <w:rFonts w:ascii="Arial" w:cs="Arial" w:eastAsia="Arial" w:hAnsi="Arial"/>
                <w:sz w:val="18"/>
                <w:szCs w:val="18"/>
                <w:color w:val="000000"/>
              </w:rPr>
              <w:t>.</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Consent of Independent Registered Public Accounting Firm</w:t>
              </w:r>
            </w:hyperlink>
            <w:r>
              <w:rPr>
                <w:rFonts w:ascii="Arial" w:cs="Arial" w:eastAsia="Arial" w:hAnsi="Arial"/>
                <w:sz w:val="18"/>
                <w:szCs w:val="18"/>
                <w:color w:val="000000"/>
              </w:rPr>
              <w:t>.</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Chief Executive Officer of the Company pursuant to Rule 13a-14(a) under the Securities Exchange Act of 1934.</w:t>
              </w:r>
            </w:hyperlink>
          </w:p>
        </w:tc>
        <w:tc>
          <w:tcPr>
            <w:tcW w:w="340" w:type="dxa"/>
            <w:vAlign w:val="bottom"/>
            <w:gridSpan w:val="6"/>
          </w:tcPr>
          <w:p>
            <w:pPr>
              <w:spacing w:after="0"/>
              <w:rPr>
                <w:sz w:val="24"/>
                <w:szCs w:val="24"/>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Certification of Chief Financial Officer of the Company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2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580" w:type="dxa"/>
            <w:vAlign w:val="bottom"/>
            <w:gridSpan w:val="17"/>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Certification of Chief Executive Officer pursuant to 18 U.S.C. Section 1350, as adopted pursuant to Section 906 of the Sarbanes-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Oxley Act of 2002</w:t>
              </w:r>
              <w:r>
                <w:rPr>
                  <w:rFonts w:ascii="Arial" w:cs="Arial" w:eastAsia="Arial" w:hAnsi="Arial"/>
                  <w:sz w:val="18"/>
                  <w:szCs w:val="18"/>
                  <w:color w:val="000000"/>
                </w:rPr>
                <w:t>.</w:t>
              </w:r>
            </w:hyperlink>
          </w:p>
        </w:tc>
        <w:tc>
          <w:tcPr>
            <w:tcW w:w="30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344"/>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Certification of Chief Financial Officer pursuant to 18 U.S.C. Section 1350, as adopted pursuant to Section 906 of the Sarbanes-</w:t>
              </w:r>
            </w:hyperlink>
          </w:p>
        </w:tc>
        <w:tc>
          <w:tcPr>
            <w:tcW w:w="3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Oxley Act of 2002</w:t>
              </w:r>
              <w:r>
                <w:rPr>
                  <w:rFonts w:ascii="Arial" w:cs="Arial" w:eastAsia="Arial" w:hAnsi="Arial"/>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60" w:right="20" w:hanging="1152"/>
        <w:spacing w:after="0" w:line="279"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year ended February 2, 2019,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21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line="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40" w:space="360"/>
            <w:col w:w="80"/>
          </w:cols>
          <w:pgMar w:left="240" w:top="238" w:right="4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p>
      <w:pPr>
        <w:spacing w:after="0" w:line="9" w:lineRule="exact"/>
        <w:rPr>
          <w:sz w:val="20"/>
          <w:szCs w:val="20"/>
          <w:color w:val="auto"/>
        </w:rPr>
      </w:pPr>
    </w:p>
    <w:p>
      <w:pPr>
        <w:ind w:left="682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5715</wp:posOffset>
            </wp:positionV>
            <wp:extent cx="26809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David A. Levin</w:t>
      </w:r>
    </w:p>
    <w:p>
      <w:pPr>
        <w:jc w:val="center"/>
        <w:ind w:left="7200"/>
        <w:spacing w:after="0"/>
        <w:rPr>
          <w:sz w:val="20"/>
          <w:szCs w:val="20"/>
          <w:color w:val="auto"/>
        </w:rPr>
      </w:pPr>
      <w:r>
        <w:rPr>
          <w:rFonts w:ascii="Arial" w:cs="Arial" w:eastAsia="Arial" w:hAnsi="Arial"/>
          <w:sz w:val="14"/>
          <w:szCs w:val="14"/>
          <w:b w:val="1"/>
          <w:bCs w:val="1"/>
          <w:color w:val="auto"/>
        </w:rPr>
        <w:t>Acting Chief Executive Officer</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1" w:lineRule="exact"/>
        <w:rPr>
          <w:sz w:val="20"/>
          <w:szCs w:val="20"/>
          <w:color w:val="auto"/>
        </w:rPr>
      </w:pPr>
    </w:p>
    <w:p>
      <w:pPr>
        <w:ind w:left="1720"/>
        <w:spacing w:after="0"/>
        <w:tabs>
          <w:tab w:leader="none" w:pos="6640" w:val="left"/>
          <w:tab w:leader="none" w:pos="1030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p>
      <w:pPr>
        <w:spacing w:after="0" w:line="13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David A. Levin</w:t>
      </w:r>
    </w:p>
    <w:p>
      <w:pPr>
        <w:spacing w:after="0" w:line="131"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P</w:t>
      </w:r>
      <w:r>
        <w:rPr>
          <w:rFonts w:ascii="Arial" w:cs="Arial" w:eastAsia="Arial" w:hAnsi="Arial"/>
          <w:sz w:val="12"/>
          <w:szCs w:val="12"/>
          <w:color w:val="auto"/>
        </w:rPr>
        <w:t>ETER</w:t>
      </w:r>
      <w:r>
        <w:rPr>
          <w:rFonts w:ascii="Arial" w:cs="Arial" w:eastAsia="Arial" w:hAnsi="Arial"/>
          <w:sz w:val="17"/>
          <w:szCs w:val="17"/>
          <w:color w:val="auto"/>
        </w:rPr>
        <w:t xml:space="preserve"> H. S</w:t>
      </w:r>
      <w:r>
        <w:rPr>
          <w:rFonts w:ascii="Arial" w:cs="Arial" w:eastAsia="Arial" w:hAnsi="Arial"/>
          <w:sz w:val="12"/>
          <w:szCs w:val="12"/>
          <w:color w:val="auto"/>
        </w:rPr>
        <w:t>TRATTON</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952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46"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Peter H. Stratton, Jr.</w:t>
      </w:r>
    </w:p>
    <w:p>
      <w:pPr>
        <w:spacing w:after="0" w:line="13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F. C</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F. Cooney</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E. K</w:t>
      </w:r>
      <w:r>
        <w:rPr>
          <w:rFonts w:ascii="Arial" w:cs="Arial" w:eastAsia="Arial" w:hAnsi="Arial"/>
          <w:sz w:val="13"/>
          <w:szCs w:val="13"/>
          <w:color w:val="auto"/>
        </w:rPr>
        <w:t>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E. Kyees</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ACK</w:t>
      </w:r>
      <w:r>
        <w:rPr>
          <w:rFonts w:ascii="Arial" w:cs="Arial" w:eastAsia="Arial" w:hAnsi="Arial"/>
          <w:sz w:val="18"/>
          <w:szCs w:val="18"/>
          <w:color w:val="auto"/>
        </w:rPr>
        <w:t xml:space="preserve"> B</w:t>
      </w:r>
      <w:r>
        <w:rPr>
          <w:rFonts w:ascii="Arial" w:cs="Arial" w:eastAsia="Arial" w:hAnsi="Arial"/>
          <w:sz w:val="13"/>
          <w:szCs w:val="13"/>
          <w:color w:val="auto"/>
        </w:rPr>
        <w:t>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Jack Boyle</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IONEL</w:t>
      </w:r>
      <w:r>
        <w:rPr>
          <w:rFonts w:ascii="Arial" w:cs="Arial" w:eastAsia="Arial" w:hAnsi="Arial"/>
          <w:sz w:val="18"/>
          <w:szCs w:val="18"/>
          <w:color w:val="auto"/>
        </w:rPr>
        <w:t xml:space="preserve"> F. C</w:t>
      </w:r>
      <w:r>
        <w:rPr>
          <w:rFonts w:ascii="Arial" w:cs="Arial" w:eastAsia="Arial" w:hAnsi="Arial"/>
          <w:sz w:val="13"/>
          <w:szCs w:val="13"/>
          <w:color w:val="auto"/>
        </w:rPr>
        <w:t>ONACHER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Lionel F. Conacher</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EYMOUR</w:t>
      </w:r>
      <w:r>
        <w:rPr>
          <w:rFonts w:ascii="Arial" w:cs="Arial" w:eastAsia="Arial" w:hAnsi="Arial"/>
          <w:sz w:val="18"/>
          <w:szCs w:val="18"/>
          <w:color w:val="auto"/>
        </w:rPr>
        <w:t xml:space="preserve"> H</w:t>
      </w:r>
      <w:r>
        <w:rPr>
          <w:rFonts w:ascii="Arial" w:cs="Arial" w:eastAsia="Arial" w:hAnsi="Arial"/>
          <w:sz w:val="13"/>
          <w:szCs w:val="13"/>
          <w:color w:val="auto"/>
        </w:rPr>
        <w:t>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Seymour Holtzman</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ILLEM</w:t>
      </w:r>
      <w:r>
        <w:rPr>
          <w:rFonts w:ascii="Arial" w:cs="Arial" w:eastAsia="Arial" w:hAnsi="Arial"/>
          <w:sz w:val="18"/>
          <w:szCs w:val="18"/>
          <w:color w:val="auto"/>
        </w:rPr>
        <w:t xml:space="preserve"> M</w:t>
      </w:r>
      <w:r>
        <w:rPr>
          <w:rFonts w:ascii="Arial" w:cs="Arial" w:eastAsia="Arial" w:hAnsi="Arial"/>
          <w:sz w:val="13"/>
          <w:szCs w:val="13"/>
          <w:color w:val="auto"/>
        </w:rPr>
        <w:t>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Willem Mesdag</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ARD</w:t>
      </w:r>
      <w:r>
        <w:rPr>
          <w:rFonts w:ascii="Arial" w:cs="Arial" w:eastAsia="Arial" w:hAnsi="Arial"/>
          <w:sz w:val="18"/>
          <w:szCs w:val="18"/>
          <w:color w:val="auto"/>
        </w:rPr>
        <w:t xml:space="preserve"> K. M</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2595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25952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75"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Ward K. Mooney</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ITCHELL</w:t>
      </w:r>
      <w:r>
        <w:rPr>
          <w:rFonts w:ascii="Arial" w:cs="Arial" w:eastAsia="Arial" w:hAnsi="Arial"/>
          <w:sz w:val="18"/>
          <w:szCs w:val="18"/>
          <w:color w:val="auto"/>
        </w:rPr>
        <w:t xml:space="preserve"> S. P</w:t>
      </w:r>
      <w:r>
        <w:rPr>
          <w:rFonts w:ascii="Arial" w:cs="Arial" w:eastAsia="Arial" w:hAnsi="Arial"/>
          <w:sz w:val="13"/>
          <w:szCs w:val="13"/>
          <w:color w:val="auto"/>
        </w:rPr>
        <w: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Mitchell S. Presser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Acting Chief Executive Officer (Principal Executive Officer)</w:t>
      </w:r>
      <w:r>
        <w:rPr>
          <w:sz w:val="20"/>
          <w:szCs w:val="20"/>
          <w:color w:val="auto"/>
        </w:rPr>
        <w:tab/>
      </w:r>
      <w:r>
        <w:rPr>
          <w:rFonts w:ascii="Arial" w:cs="Arial" w:eastAsia="Arial" w:hAnsi="Arial"/>
          <w:sz w:val="16"/>
          <w:szCs w:val="16"/>
          <w:color w:val="auto"/>
        </w:rPr>
        <w:t>March 22, 2019</w:t>
      </w:r>
    </w:p>
    <w:p>
      <w:pPr>
        <w:spacing w:after="0" w:line="333"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Executive Vice President, Chief Financial Officer and Treasurer</w:t>
      </w:r>
      <w:r>
        <w:rPr>
          <w:sz w:val="20"/>
          <w:szCs w:val="20"/>
          <w:color w:val="auto"/>
        </w:rPr>
        <w:tab/>
      </w:r>
      <w:r>
        <w:rPr>
          <w:rFonts w:ascii="Arial" w:cs="Arial" w:eastAsia="Arial" w:hAnsi="Arial"/>
          <w:sz w:val="16"/>
          <w:szCs w:val="16"/>
          <w:color w:val="auto"/>
        </w:rPr>
        <w:t>March 22,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16"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Vice President and Managing Director of Finance, Chief Accounting</w:t>
      </w:r>
      <w:r>
        <w:rPr>
          <w:sz w:val="20"/>
          <w:szCs w:val="20"/>
          <w:color w:val="auto"/>
        </w:rPr>
        <w:tab/>
      </w:r>
      <w:r>
        <w:rPr>
          <w:rFonts w:ascii="Arial" w:cs="Arial" w:eastAsia="Arial" w:hAnsi="Arial"/>
          <w:sz w:val="16"/>
          <w:szCs w:val="16"/>
          <w:color w:val="auto"/>
        </w:rPr>
        <w:t>March 22,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and Corporate Controller (Principal Accounting Officer)</w:t>
      </w:r>
    </w:p>
    <w:p>
      <w:pPr>
        <w:spacing w:after="0" w:line="116"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auto"/>
        </w:rPr>
        <w:t>Chairman of the Board of Directors</w:t>
      </w:r>
      <w:r>
        <w:rPr>
          <w:sz w:val="20"/>
          <w:szCs w:val="20"/>
          <w:color w:val="auto"/>
        </w:rPr>
        <w:tab/>
      </w:r>
      <w:r>
        <w:rPr>
          <w:rFonts w:ascii="Arial" w:cs="Arial" w:eastAsia="Arial" w:hAnsi="Arial"/>
          <w:sz w:val="16"/>
          <w:szCs w:val="16"/>
          <w:color w:val="auto"/>
        </w:rPr>
        <w:t>March 22, 2019</w:t>
      </w:r>
    </w:p>
    <w:p>
      <w:pPr>
        <w:spacing w:after="0" w:line="333" w:lineRule="exact"/>
        <w:rPr>
          <w:sz w:val="20"/>
          <w:szCs w:val="20"/>
          <w:color w:val="auto"/>
        </w:rPr>
      </w:pPr>
    </w:p>
    <w:p>
      <w:pPr>
        <w:spacing w:after="0"/>
        <w:tabs>
          <w:tab w:leader="none" w:pos="52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22, 2019</w:t>
      </w:r>
    </w:p>
    <w:p>
      <w:pPr>
        <w:spacing w:after="0" w:line="356" w:lineRule="exact"/>
        <w:rPr>
          <w:sz w:val="20"/>
          <w:szCs w:val="20"/>
          <w:color w:val="auto"/>
        </w:rPr>
      </w:pPr>
    </w:p>
    <w:p>
      <w:pPr>
        <w:spacing w:after="0"/>
        <w:tabs>
          <w:tab w:leader="none" w:pos="52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22, 2019</w:t>
      </w:r>
    </w:p>
    <w:p>
      <w:pPr>
        <w:spacing w:after="0" w:line="356" w:lineRule="exact"/>
        <w:rPr>
          <w:sz w:val="20"/>
          <w:szCs w:val="20"/>
          <w:color w:val="auto"/>
        </w:rPr>
      </w:pPr>
    </w:p>
    <w:p>
      <w:pPr>
        <w:spacing w:after="0"/>
        <w:tabs>
          <w:tab w:leader="none" w:pos="52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22, 2019</w:t>
      </w:r>
    </w:p>
    <w:p>
      <w:pPr>
        <w:spacing w:after="0" w:line="356" w:lineRule="exact"/>
        <w:rPr>
          <w:sz w:val="20"/>
          <w:szCs w:val="20"/>
          <w:color w:val="auto"/>
        </w:rPr>
      </w:pPr>
    </w:p>
    <w:p>
      <w:pPr>
        <w:spacing w:after="0"/>
        <w:tabs>
          <w:tab w:leader="none" w:pos="52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22, 2019</w:t>
      </w:r>
    </w:p>
    <w:p>
      <w:pPr>
        <w:spacing w:after="0" w:line="356" w:lineRule="exact"/>
        <w:rPr>
          <w:sz w:val="20"/>
          <w:szCs w:val="20"/>
          <w:color w:val="auto"/>
        </w:rPr>
      </w:pPr>
    </w:p>
    <w:p>
      <w:pPr>
        <w:spacing w:after="0"/>
        <w:tabs>
          <w:tab w:leader="none" w:pos="52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22, 2019</w:t>
      </w:r>
    </w:p>
    <w:p>
      <w:pPr>
        <w:spacing w:after="0" w:line="396" w:lineRule="exact"/>
        <w:rPr>
          <w:sz w:val="20"/>
          <w:szCs w:val="20"/>
          <w:color w:val="auto"/>
        </w:rPr>
      </w:pPr>
    </w:p>
    <w:p>
      <w:pPr>
        <w:spacing w:after="0"/>
        <w:tabs>
          <w:tab w:leader="none" w:pos="52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22, 2019</w:t>
      </w:r>
    </w:p>
    <w:p>
      <w:pPr>
        <w:spacing w:after="0" w:line="355" w:lineRule="exact"/>
        <w:rPr>
          <w:sz w:val="20"/>
          <w:szCs w:val="20"/>
          <w:color w:val="auto"/>
        </w:rPr>
      </w:pPr>
    </w:p>
    <w:p>
      <w:pPr>
        <w:sectPr>
          <w:pgSz w:w="11900" w:h="16838" w:orient="portrait"/>
          <w:cols w:equalWidth="0" w:num="2">
            <w:col w:w="3560" w:space="720"/>
            <w:col w:w="7140"/>
          </w:cols>
          <w:pgMar w:left="240" w:top="243" w:right="239" w:bottom="1440" w:gutter="0" w:footer="0" w:header="0"/>
          <w:type w:val="continuous"/>
        </w:sectPr>
      </w:pPr>
    </w:p>
    <w:p>
      <w:pPr>
        <w:ind w:left="1620"/>
        <w:spacing w:after="0"/>
        <w:tabs>
          <w:tab w:leader="none" w:pos="4260" w:val="left"/>
          <w:tab w:leader="none" w:pos="9480" w:val="left"/>
        </w:tabs>
        <w:rPr>
          <w:sz w:val="20"/>
          <w:szCs w:val="20"/>
          <w:color w:val="auto"/>
        </w:rPr>
      </w:pPr>
      <w:r>
        <w:rPr>
          <w:rFonts w:ascii="Arial" w:cs="Arial" w:eastAsia="Arial" w:hAnsi="Arial"/>
          <w:sz w:val="18"/>
          <w:szCs w:val="18"/>
          <w:color w:val="auto"/>
        </w:rPr>
        <w:t>/s/ I</w:t>
      </w:r>
      <w:r>
        <w:rPr>
          <w:rFonts w:ascii="Arial" w:cs="Arial" w:eastAsia="Arial" w:hAnsi="Arial"/>
          <w:sz w:val="13"/>
          <w:szCs w:val="13"/>
          <w:color w:val="auto"/>
        </w:rPr>
        <w:t>VY</w:t>
      </w:r>
      <w:r>
        <w:rPr>
          <w:rFonts w:ascii="Arial" w:cs="Arial" w:eastAsia="Arial" w:hAnsi="Arial"/>
          <w:sz w:val="18"/>
          <w:szCs w:val="18"/>
          <w:color w:val="auto"/>
        </w:rPr>
        <w:t xml:space="preserve"> R</w:t>
      </w:r>
      <w:r>
        <w:rPr>
          <w:rFonts w:ascii="Arial" w:cs="Arial" w:eastAsia="Arial" w:hAnsi="Arial"/>
          <w:sz w:val="13"/>
          <w:szCs w:val="13"/>
          <w:color w:val="auto"/>
        </w:rPr>
        <w:t>OSS</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5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34"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Ivy 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43" w:right="2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22"/>
          <w:szCs w:val="22"/>
          <w:color w:val="auto"/>
        </w:rPr>
        <w:t>Exhibit 10.10</w:t>
      </w:r>
    </w:p>
    <w:p>
      <w:pPr>
        <w:jc w:val="center"/>
        <w:spacing w:after="0" w:line="238" w:lineRule="auto"/>
        <w:rPr>
          <w:sz w:val="20"/>
          <w:szCs w:val="20"/>
          <w:color w:val="auto"/>
        </w:rPr>
      </w:pPr>
      <w:r>
        <w:rPr>
          <w:rFonts w:ascii="Arial" w:cs="Arial" w:eastAsia="Arial" w:hAnsi="Arial"/>
          <w:sz w:val="22"/>
          <w:szCs w:val="22"/>
          <w:u w:val="single" w:color="auto"/>
          <w:color w:val="auto"/>
        </w:rPr>
        <w:t>DESTINATION XL GROUP, INC.</w:t>
      </w:r>
    </w:p>
    <w:p>
      <w:pPr>
        <w:jc w:val="center"/>
        <w:spacing w:after="0" w:line="230" w:lineRule="auto"/>
        <w:rPr>
          <w:sz w:val="20"/>
          <w:szCs w:val="20"/>
          <w:color w:val="auto"/>
        </w:rPr>
      </w:pPr>
      <w:r>
        <w:rPr>
          <w:rFonts w:ascii="Arial" w:cs="Arial" w:eastAsia="Arial" w:hAnsi="Arial"/>
          <w:sz w:val="22"/>
          <w:szCs w:val="22"/>
          <w:u w:val="single" w:color="auto"/>
          <w:color w:val="auto"/>
        </w:rPr>
        <w:t>FOURTH 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NON-EMPLOYEE DIRECTOR COMPENSATION PLAN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 Establishment and Purpose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Destination XL Group, Inc. (the “Company”) hereby amends and restates the Destination XL Group, Inc. Third Amended and Restated Non-Employee Director Compensation Plan (as amended, the “Plan”), for the purpose of supporting the Company’s ongoing efforts to attract and retain exceptional directors to provide strategic guidance to the Company. The Plan also provides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The Board requires each Participant to elect to receive a specified percentage of the Participant’s Compensation hereunder in some form of equity in the Company (as defined below “Required Equity”). Any Shares acquired by a Participant pursuant to this Plan as part of that Required Equity shall come from the Incentive Compensation Plan. In addition, each Participant, at his/her discretion, will be able to elect to receive Shares or Deferred Stock for any remaining portion of Compensation (“Discretionary Equity”). Any Shares acquired by a Participant pursuant to this Plan as part of that Discretionary Equity shall come out of the pool of Shares reserved for issuance under Section 4 of this Plan, subject to adjustment as the Board may from time to time determine, and not from the Incentive Compensation Plan. The Plan shall be effective as of December 31, 2018. Elections for fiscal 2019 and thereafter must be submitted to the Company in accordance with Section 3(c) no later than December 31 of the year preceding the fiscal year for which the election is to be effective.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 Definitions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185" w:lineRule="exact"/>
        <w:rPr>
          <w:sz w:val="20"/>
          <w:szCs w:val="20"/>
          <w:color w:val="auto"/>
        </w:rPr>
      </w:pPr>
    </w:p>
    <w:p>
      <w:pPr>
        <w:ind w:left="1080" w:right="180" w:hanging="1072"/>
        <w:spacing w:after="0" w:line="282" w:lineRule="auto"/>
        <w:tabs>
          <w:tab w:leader="none" w:pos="10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Chair/Lead Director</w:t>
      </w:r>
      <w:r>
        <w:rPr>
          <w:rFonts w:ascii="Arial" w:cs="Arial" w:eastAsia="Arial" w:hAnsi="Arial"/>
          <w:sz w:val="19"/>
          <w:szCs w:val="19"/>
          <w:color w:val="auto"/>
        </w:rPr>
        <w:t>” means an independent director whose responsibilities, if the Board Chair, shall be as set forth for the Chairman of the Board in the Company’s By-laws, and, if the Lead Director, shall include the following and any other responsibilities determined by the Board: (i) presiding at all meetings of the Board at which the Chairman is not present, including executive sessions of the independent directors; (ii) serving as liaison between the Chairman and the independent directors; (iii) reviewing and approving materials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ind w:left="1072" w:right="80"/>
        <w:spacing w:after="0" w:line="237" w:lineRule="auto"/>
        <w:rPr>
          <w:sz w:val="20"/>
          <w:szCs w:val="20"/>
          <w:color w:val="auto"/>
        </w:rPr>
      </w:pPr>
      <w:r>
        <w:rPr>
          <w:rFonts w:ascii="Arial" w:cs="Arial" w:eastAsia="Arial" w:hAnsi="Arial"/>
          <w:sz w:val="22"/>
          <w:szCs w:val="22"/>
          <w:color w:val="auto"/>
        </w:rPr>
        <w:t>to be sent to the Board; (iv) approving the meeting agendas for the Board; (v) approving meeting schedules to assure that there is sufficient time for discussion of all agenda items; (vi) having the authority to call meetings of the independent directors; and (vii) if requested by major shareholders, ensuring that he or she is available for consultation and direct communication.</w:t>
      </w:r>
    </w:p>
    <w:p>
      <w:pPr>
        <w:spacing w:after="0" w:line="215" w:lineRule="exact"/>
        <w:rPr>
          <w:sz w:val="20"/>
          <w:szCs w:val="20"/>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U.S. dollars.</w:t>
      </w:r>
    </w:p>
    <w:p>
      <w:pPr>
        <w:spacing w:after="0" w:line="205"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United States Securities and Exchange Commission or any successor agency.</w:t>
      </w:r>
    </w:p>
    <w:p>
      <w:pPr>
        <w:spacing w:after="0" w:line="205"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par value $.01 per share.</w:t>
      </w:r>
    </w:p>
    <w:p>
      <w:pPr>
        <w:spacing w:after="0" w:line="205" w:lineRule="exact"/>
        <w:rPr>
          <w:rFonts w:ascii="Arial" w:cs="Arial" w:eastAsia="Arial" w:hAnsi="Arial"/>
          <w:sz w:val="22"/>
          <w:szCs w:val="22"/>
          <w:color w:val="auto"/>
        </w:rPr>
      </w:pPr>
    </w:p>
    <w:p>
      <w:pPr>
        <w:ind w:left="1072" w:right="400" w:hanging="1072"/>
        <w:spacing w:after="0" w:line="250"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means an award under the Plan that is payable in the form of Cash, Deferred Stock, and/or Shares pursuant to the terms and conditions set forth in this Plan.</w:t>
      </w:r>
    </w:p>
    <w:p>
      <w:pPr>
        <w:spacing w:after="0" w:line="174" w:lineRule="exact"/>
        <w:rPr>
          <w:rFonts w:ascii="Arial" w:cs="Arial" w:eastAsia="Arial" w:hAnsi="Arial"/>
          <w:sz w:val="22"/>
          <w:szCs w:val="22"/>
          <w:color w:val="auto"/>
        </w:rPr>
      </w:pPr>
    </w:p>
    <w:p>
      <w:pPr>
        <w:ind w:left="1072" w:right="60" w:hanging="1072"/>
        <w:spacing w:after="0" w:line="250"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Payment Choice</w:t>
      </w:r>
      <w:r>
        <w:rPr>
          <w:rFonts w:ascii="Arial" w:cs="Arial" w:eastAsia="Arial" w:hAnsi="Arial"/>
          <w:sz w:val="22"/>
          <w:szCs w:val="22"/>
          <w:color w:val="auto"/>
        </w:rPr>
        <w:t>” means the form of payment of Compensation that a Participant selects in accordance with the terms hereof.</w:t>
      </w:r>
    </w:p>
    <w:p>
      <w:pPr>
        <w:spacing w:after="0" w:line="174" w:lineRule="exact"/>
        <w:rPr>
          <w:rFonts w:ascii="Arial" w:cs="Arial" w:eastAsia="Arial" w:hAnsi="Arial"/>
          <w:sz w:val="22"/>
          <w:szCs w:val="22"/>
          <w:color w:val="auto"/>
        </w:rPr>
      </w:pPr>
    </w:p>
    <w:p>
      <w:pPr>
        <w:ind w:left="1072" w:right="40" w:hanging="1072"/>
        <w:spacing w:after="0" w:line="250"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 including rules thereunder and successor provisions and rules thereto.</w:t>
      </w:r>
    </w:p>
    <w:p>
      <w:pPr>
        <w:spacing w:after="0" w:line="174" w:lineRule="exact"/>
        <w:rPr>
          <w:rFonts w:ascii="Arial" w:cs="Arial" w:eastAsia="Arial" w:hAnsi="Arial"/>
          <w:sz w:val="22"/>
          <w:szCs w:val="22"/>
          <w:color w:val="auto"/>
        </w:rPr>
      </w:pPr>
    </w:p>
    <w:p>
      <w:pPr>
        <w:ind w:left="1072" w:right="340"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 Date</w:t>
      </w:r>
      <w:r>
        <w:rPr>
          <w:rFonts w:ascii="Arial" w:cs="Arial" w:eastAsia="Arial" w:hAnsi="Arial"/>
          <w:sz w:val="22"/>
          <w:szCs w:val="22"/>
          <w:color w:val="auto"/>
        </w:rPr>
        <w:t>” means the following: each quarterly retainer, Board Chair/Lead Director and committee chairperson fees payable pursuant to Sections 3(a)(i)-(iv) hereof shall be paid on, and the Grant Dates shall be, the first business day of each quarter in each fiscal year.</w:t>
      </w:r>
    </w:p>
    <w:p>
      <w:pPr>
        <w:spacing w:after="0" w:line="185" w:lineRule="exact"/>
        <w:rPr>
          <w:rFonts w:ascii="Arial" w:cs="Arial" w:eastAsia="Arial" w:hAnsi="Arial"/>
          <w:sz w:val="22"/>
          <w:szCs w:val="22"/>
          <w:color w:val="auto"/>
        </w:rPr>
      </w:pPr>
    </w:p>
    <w:p>
      <w:pPr>
        <w:ind w:left="1072" w:right="300" w:hanging="1072"/>
        <w:spacing w:after="0" w:line="328" w:lineRule="auto"/>
        <w:tabs>
          <w:tab w:leader="none" w:pos="1072"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 Compensation Plan</w:t>
      </w:r>
      <w:r>
        <w:rPr>
          <w:rFonts w:ascii="Arial" w:cs="Arial" w:eastAsia="Arial" w:hAnsi="Arial"/>
          <w:sz w:val="19"/>
          <w:szCs w:val="19"/>
          <w:color w:val="auto"/>
        </w:rPr>
        <w:t>” means the Company’s 2016 Incentive Compensation Plan, as amended from time to time, or any shareholder-approved successor plan to the Company’s 2016 Incentive Compensation Plan.</w:t>
      </w:r>
    </w:p>
    <w:p>
      <w:pPr>
        <w:spacing w:after="0" w:line="104" w:lineRule="exact"/>
        <w:rPr>
          <w:rFonts w:ascii="Arial" w:cs="Arial" w:eastAsia="Arial" w:hAnsi="Arial"/>
          <w:sz w:val="19"/>
          <w:szCs w:val="19"/>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Irrevocable Election Agreement</w:t>
      </w:r>
      <w:r>
        <w:rPr>
          <w:rFonts w:ascii="Arial" w:cs="Arial" w:eastAsia="Arial" w:hAnsi="Arial"/>
          <w:sz w:val="22"/>
          <w:szCs w:val="22"/>
          <w:color w:val="auto"/>
        </w:rPr>
        <w:t xml:space="preserve">” means the written agreement,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between the Company and a Participant, which, together with the Plan, governs the Participant’s rights to payment of Compensation under the Plan.</w:t>
      </w:r>
    </w:p>
    <w:p>
      <w:pPr>
        <w:spacing w:after="0" w:line="185"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 Inc.</w:t>
      </w:r>
    </w:p>
    <w:p>
      <w:pPr>
        <w:spacing w:after="0" w:line="205" w:lineRule="exact"/>
        <w:rPr>
          <w:rFonts w:ascii="Arial" w:cs="Arial" w:eastAsia="Arial" w:hAnsi="Arial"/>
          <w:sz w:val="22"/>
          <w:szCs w:val="22"/>
          <w:color w:val="auto"/>
        </w:rPr>
      </w:pPr>
    </w:p>
    <w:p>
      <w:pPr>
        <w:ind w:left="1072" w:right="260" w:hanging="1072"/>
        <w:spacing w:after="0" w:line="250"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 Director who satisfies the requirements set forth in Rule 16b-3(b)(3)(i) under the Exchange Act.</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79" w:name="page80"/>
    <w:bookmarkEnd w:id="79"/>
    <w:p>
      <w:pPr>
        <w:ind w:left="1080" w:hanging="1072"/>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 Non-Employee Director of the Company.</w:t>
      </w:r>
    </w:p>
    <w:p>
      <w:pPr>
        <w:spacing w:after="0" w:line="205" w:lineRule="exact"/>
        <w:rPr>
          <w:rFonts w:ascii="Arial" w:cs="Arial" w:eastAsia="Arial" w:hAnsi="Arial"/>
          <w:sz w:val="22"/>
          <w:szCs w:val="22"/>
          <w:color w:val="auto"/>
        </w:rPr>
      </w:pPr>
    </w:p>
    <w:p>
      <w:pPr>
        <w:ind w:left="1080" w:right="220" w:hanging="1072"/>
        <w:spacing w:after="0" w:line="250"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Destination XL Group, Inc. Fourth Amended and Restated Non-Employee Director Compensation Plan, as amended from time to time.</w:t>
      </w:r>
    </w:p>
    <w:p>
      <w:pPr>
        <w:spacing w:after="0" w:line="174" w:lineRule="exact"/>
        <w:rPr>
          <w:rFonts w:ascii="Arial" w:cs="Arial" w:eastAsia="Arial" w:hAnsi="Arial"/>
          <w:sz w:val="22"/>
          <w:szCs w:val="22"/>
          <w:color w:val="auto"/>
        </w:rPr>
      </w:pPr>
    </w:p>
    <w:p>
      <w:pPr>
        <w:ind w:left="1080" w:hanging="1072"/>
        <w:spacing w:after="0" w:line="250"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Equity</w:t>
      </w:r>
      <w:r>
        <w:rPr>
          <w:rFonts w:ascii="Arial" w:cs="Arial" w:eastAsia="Arial" w:hAnsi="Arial"/>
          <w:sz w:val="22"/>
          <w:szCs w:val="22"/>
          <w:color w:val="auto"/>
        </w:rPr>
        <w:t>” means the Board’s requirement that each Participant must elect at least 50% of the annual retainer in equity.</w:t>
      </w:r>
    </w:p>
    <w:p>
      <w:pPr>
        <w:spacing w:after="0" w:line="174" w:lineRule="exact"/>
        <w:rPr>
          <w:rFonts w:ascii="Arial" w:cs="Arial" w:eastAsia="Arial" w:hAnsi="Arial"/>
          <w:sz w:val="22"/>
          <w:szCs w:val="22"/>
          <w:color w:val="auto"/>
        </w:rPr>
      </w:pPr>
    </w:p>
    <w:p>
      <w:pPr>
        <w:ind w:left="1080" w:right="40" w:hanging="1072"/>
        <w:spacing w:after="0" w:line="250"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the earliest date on which a Participant has incurred a separation from service, within the meaning of Section 409A(a)(2) of the Code, with the Service Recipient.</w:t>
      </w:r>
    </w:p>
    <w:p>
      <w:pPr>
        <w:spacing w:after="0" w:line="174" w:lineRule="exact"/>
        <w:rPr>
          <w:rFonts w:ascii="Arial" w:cs="Arial" w:eastAsia="Arial" w:hAnsi="Arial"/>
          <w:sz w:val="22"/>
          <w:szCs w:val="22"/>
          <w:color w:val="auto"/>
        </w:rPr>
      </w:pPr>
    </w:p>
    <w:p>
      <w:pPr>
        <w:ind w:left="1080" w:right="380" w:hanging="1072"/>
        <w:spacing w:after="0" w:line="252" w:lineRule="auto"/>
        <w:tabs>
          <w:tab w:leader="none" w:pos="10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172" w:lineRule="exact"/>
        <w:rPr>
          <w:rFonts w:ascii="Arial" w:cs="Arial" w:eastAsia="Arial" w:hAnsi="Arial"/>
          <w:sz w:val="21"/>
          <w:szCs w:val="21"/>
          <w:color w:val="auto"/>
        </w:rPr>
      </w:pPr>
    </w:p>
    <w:p>
      <w:pPr>
        <w:ind w:left="1080" w:right="200" w:hanging="1072"/>
        <w:spacing w:after="0" w:line="250"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by the United States Treasury Department with respect to the Code, as amended from time to time.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3. Compensation; Irrevocable Election; Holding Requirement; Valuation.</w:t>
      </w:r>
    </w:p>
    <w:p>
      <w:pPr>
        <w:spacing w:after="0" w:line="206" w:lineRule="exact"/>
        <w:rPr>
          <w:sz w:val="20"/>
          <w:szCs w:val="20"/>
          <w:color w:val="auto"/>
        </w:rPr>
      </w:pPr>
    </w:p>
    <w:p>
      <w:pPr>
        <w:ind w:left="900" w:hanging="892"/>
        <w:spacing w:after="0"/>
        <w:tabs>
          <w:tab w:leader="none" w:pos="9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Compensation paid to the Participants shall be as follows:</w:t>
      </w:r>
    </w:p>
    <w:p>
      <w:pPr>
        <w:spacing w:after="0" w:line="205" w:lineRule="exact"/>
        <w:rPr>
          <w:rFonts w:ascii="Arial" w:cs="Arial" w:eastAsia="Arial" w:hAnsi="Arial"/>
          <w:sz w:val="22"/>
          <w:szCs w:val="22"/>
          <w:color w:val="auto"/>
        </w:rPr>
      </w:pPr>
    </w:p>
    <w:p>
      <w:pPr>
        <w:ind w:left="1620" w:hanging="533"/>
        <w:spacing w:after="0"/>
        <w:tabs>
          <w:tab w:leader="none" w:pos="16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retainer equal to $30,000 per fiscal quarter;</w:t>
      </w:r>
    </w:p>
    <w:p>
      <w:pPr>
        <w:spacing w:after="0" w:line="7" w:lineRule="exact"/>
        <w:rPr>
          <w:rFonts w:ascii="Arial" w:cs="Arial" w:eastAsia="Arial" w:hAnsi="Arial"/>
          <w:sz w:val="22"/>
          <w:szCs w:val="22"/>
          <w:color w:val="auto"/>
        </w:rPr>
      </w:pPr>
    </w:p>
    <w:p>
      <w:pPr>
        <w:ind w:left="1620" w:hanging="533"/>
        <w:spacing w:after="0" w:line="230" w:lineRule="auto"/>
        <w:tabs>
          <w:tab w:leader="none" w:pos="16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to the Board Chair/Lead Director, a fee equal to $5,000 per fiscal quarter;</w:t>
      </w:r>
    </w:p>
    <w:p>
      <w:pPr>
        <w:ind w:left="1620" w:hanging="533"/>
        <w:spacing w:after="0" w:line="230" w:lineRule="auto"/>
        <w:tabs>
          <w:tab w:leader="none" w:pos="16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to the chairperson of the Company’s audit committee, a fee equal to $2,500 per fiscal quarter;</w:t>
      </w:r>
    </w:p>
    <w:p>
      <w:pPr>
        <w:ind w:left="1620" w:hanging="533"/>
        <w:spacing w:after="0"/>
        <w:tabs>
          <w:tab w:leader="none" w:pos="1620" w:val="left"/>
        </w:tabs>
        <w:numPr>
          <w:ilvl w:val="1"/>
          <w:numId w:val="29"/>
        </w:numPr>
        <w:rPr>
          <w:rFonts w:ascii="Arial" w:cs="Arial" w:eastAsia="Arial" w:hAnsi="Arial"/>
          <w:sz w:val="21"/>
          <w:szCs w:val="21"/>
          <w:color w:val="auto"/>
        </w:rPr>
      </w:pPr>
      <w:r>
        <w:rPr>
          <w:rFonts w:ascii="Arial" w:cs="Arial" w:eastAsia="Arial" w:hAnsi="Arial"/>
          <w:sz w:val="21"/>
          <w:szCs w:val="21"/>
          <w:color w:val="auto"/>
        </w:rPr>
        <w:t>to the chairperson of any of the Company’s other committees, a fee equal to $1,250 per fiscal quarter.</w:t>
      </w:r>
    </w:p>
    <w:p>
      <w:pPr>
        <w:spacing w:after="0" w:line="199"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212121"/>
        </w:rPr>
        <w:t>The annual retainer, Board Chair/Lead Director and respective chairperson fees described above in Sections 3 (a)(i)-(iv), shall be earned on a quarterly basis based on the Company’s fiscal year and shall be payable by the Company on the first business day in each quarter in each fiscal year. In the event that, following the Grant Date, a Participant is initially elected or appointed to the Board on any date other than the first business day in each fiscal quarter (the Participant’s “Start Date)”, such Participant shall receive,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0" w:name="page81"/>
    <w:bookmarkEnd w:id="80"/>
    <w:p>
      <w:pPr>
        <w:spacing w:after="0" w:line="233" w:lineRule="auto"/>
        <w:rPr>
          <w:sz w:val="20"/>
          <w:szCs w:val="20"/>
          <w:color w:val="auto"/>
        </w:rPr>
      </w:pPr>
      <w:r>
        <w:rPr>
          <w:rFonts w:ascii="Arial" w:cs="Arial" w:eastAsia="Arial" w:hAnsi="Arial"/>
          <w:sz w:val="22"/>
          <w:szCs w:val="22"/>
          <w:color w:val="212121"/>
        </w:rPr>
        <w:t>on or as soon as practicable following such Start Date, a prorated portion of the retainer, Board Chair/Lead Director and chairperson fees, if applicable, otherwise payable to such Participant, with such prorated portion determined by multiplying the retainer, Board Chair/Lead Director and any applicable chairperson fees by a fraction, the numerator of which is the number of days remaining from the Start Date until the end of the applicable fiscal quarter and the denominator of which is the number of days in the applicable fiscal quarter. If a Participant notifies the Company that he/she will not stand for re-election at the Company’s Annual Meeting of Stockholders (the “Annual Meeting”), but will serve as a Participant up until the date of the Annual Meeting, Participant will receive a pro-rated portion of his/her next quarterly retainer, Board Chair/Lead Director and chairperson fees, as applicable, calculated from the first day of the quarter in which the Annual Meeting occurs until the date of the Annual Meeting, payable in cash.</w:t>
      </w:r>
    </w:p>
    <w:p>
      <w:pPr>
        <w:spacing w:after="0" w:line="191" w:lineRule="exact"/>
        <w:rPr>
          <w:sz w:val="20"/>
          <w:szCs w:val="20"/>
          <w:color w:val="auto"/>
        </w:rPr>
      </w:pPr>
    </w:p>
    <w:p>
      <w:pPr>
        <w:jc w:val="both"/>
        <w:ind w:firstLine="8"/>
        <w:spacing w:after="0" w:line="270" w:lineRule="auto"/>
        <w:tabs>
          <w:tab w:leader="none" w:pos="899"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Notwithstanding the Required Equity, Participants will have the right to elect payments of the values set forth above in any combination of Cash, Shares, or Deferred Stock. Subject to the terms hereof, Compensation shall be paid on the applicable Grant Date unless the Participant elects to receive Deferred Stock. In the event a Participant elects to receive Deferred Stock, then on the Grant Date, the Participant shall receive a Deferred Stock Award and, when the deferment period expires, payment shall be made in Shares. Compensation paid in the form of Deferred Stock, as well as Compensation paid in the form of Shares as part of any Required Equity, shall be made pursuant to the Incentive Compensation Plan, and can only be made in such form if there is a sufficient number of shares of Common Stock available under the Incentive Compensation Plan. Compensation paid in the form of Shares as part of any Discretionary Equity shall be made pursuant to this Plan, and can only be made in such form if there is a sufficient number of shares of Common Stock available under this Plan. In the event that the Company does not have a sufficient number of shares of Common Stock remaining under the Incentive Compensation Plan to satisfy elections to receive Deferred Stock and/or Shares that are part of any Required Equity,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that the Company does not have a sufficient number of shares of Common Stock remaining under this Plan to satisfy discretionary elections to receive Shares, the payments will be made in Cash to the extent of such insufficiency (Participants making similar elections will be allocated the remaining equity ratably in proportion to the respective equity amounts which would otherwise be payable to them absent such insufficiency).</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firstLine="8"/>
        <w:spacing w:after="0" w:line="273" w:lineRule="auto"/>
        <w:tabs>
          <w:tab w:leader="none" w:pos="887"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The elections by the Participants must be made in writing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submitted to the General Counsel of the Company (or such other person as the Committee shall designate) no later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20"/>
          <w:szCs w:val="20"/>
          <w:color w:val="auto"/>
        </w:rPr>
        <w:t>than December 31</w:t>
      </w:r>
      <w:r>
        <w:rPr>
          <w:rFonts w:ascii="Arial" w:cs="Arial" w:eastAsia="Arial" w:hAnsi="Arial"/>
          <w:sz w:val="17"/>
          <w:szCs w:val="17"/>
          <w:color w:val="auto"/>
        </w:rPr>
        <w:t>st</w:t>
      </w:r>
      <w:r>
        <w:rPr>
          <w:rFonts w:ascii="Arial" w:cs="Arial" w:eastAsia="Arial" w:hAnsi="Arial"/>
          <w:sz w:val="20"/>
          <w:szCs w:val="20"/>
          <w:color w:val="auto"/>
        </w:rPr>
        <w:t xml:space="preserve"> of the year preceding the fiscal year for which the election is to be effective. All elections (including elections to receive Deferred Stock), once submitted, are irrevocable for that fiscal year. In the event a timely election is not made or a person does not become a Participant until after the deadline for the election to be made or who becomes a Participant during a fiscal year, the payments will be made in cash for that fiscal year except for Required Equity, which shall be paid in Shares.</w:t>
      </w:r>
    </w:p>
    <w:p>
      <w:pPr>
        <w:spacing w:after="0" w:line="160" w:lineRule="exact"/>
        <w:rPr>
          <w:sz w:val="20"/>
          <w:szCs w:val="20"/>
          <w:color w:val="auto"/>
        </w:rPr>
      </w:pPr>
    </w:p>
    <w:p>
      <w:pPr>
        <w:jc w:val="both"/>
        <w:ind w:firstLine="8"/>
        <w:spacing w:after="0"/>
        <w:tabs>
          <w:tab w:leader="none" w:pos="95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Requirement to Hold Equity.</w:t>
      </w:r>
      <w:r>
        <w:rPr>
          <w:rFonts w:ascii="Arial" w:cs="Arial" w:eastAsia="Arial" w:hAnsi="Arial"/>
          <w:sz w:val="22"/>
          <w:szCs w:val="22"/>
          <w:color w:val="auto"/>
        </w:rPr>
        <w:t xml:space="preserve"> Each Participant is required to hold any form of equity paid to the Participant pursuant to this Plan, whether Required Equity or Discretionary Equity, until a Participant’s Separation from Service, unless the Board, in its sole discretion, permits a sale of equity prior to a Participant’s Separation from Service.</w:t>
      </w:r>
    </w:p>
    <w:p>
      <w:pPr>
        <w:spacing w:after="0" w:line="185" w:lineRule="exact"/>
        <w:rPr>
          <w:rFonts w:ascii="Arial" w:cs="Arial" w:eastAsia="Arial" w:hAnsi="Arial"/>
          <w:sz w:val="22"/>
          <w:szCs w:val="22"/>
          <w:color w:val="auto"/>
        </w:rPr>
      </w:pPr>
    </w:p>
    <w:p>
      <w:pPr>
        <w:jc w:val="both"/>
        <w:ind w:firstLine="8"/>
        <w:spacing w:after="0" w:line="236" w:lineRule="auto"/>
        <w:tabs>
          <w:tab w:leader="none" w:pos="94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Valuation of Shares</w:t>
      </w:r>
      <w:r>
        <w:rPr>
          <w:rFonts w:ascii="Arial" w:cs="Arial" w:eastAsia="Arial" w:hAnsi="Arial"/>
          <w:sz w:val="22"/>
          <w:szCs w:val="22"/>
          <w:color w:val="auto"/>
        </w:rPr>
        <w:t xml:space="preserve">. For the purposes of determining the number of Shares to be issued to a Participant on a Grant Date, each Share shall be assigned a value equal to the closing sale price of a share of Common Stock as reported by NASDAQ on the effective Grant Date. Any Shares granted pursuant to this Plan shall be fully vested on the Grant Date. Payouts of Shares under the Plan will be in the form of whole Shares only; the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balance of any foregone fees not payable in whole Shares will not be paid.</w:t>
      </w:r>
    </w:p>
    <w:p>
      <w:pPr>
        <w:spacing w:after="0" w:line="186" w:lineRule="exact"/>
        <w:rPr>
          <w:rFonts w:ascii="Arial" w:cs="Arial" w:eastAsia="Arial" w:hAnsi="Arial"/>
          <w:sz w:val="22"/>
          <w:szCs w:val="22"/>
          <w:color w:val="auto"/>
        </w:rPr>
      </w:pPr>
    </w:p>
    <w:p>
      <w:pPr>
        <w:jc w:val="both"/>
        <w:ind w:firstLine="8"/>
        <w:spacing w:after="0"/>
        <w:tabs>
          <w:tab w:leader="none" w:pos="86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Valuation of Deferred Stock</w:t>
      </w:r>
      <w:r>
        <w:rPr>
          <w:rFonts w:ascii="Arial" w:cs="Arial" w:eastAsia="Arial" w:hAnsi="Arial"/>
          <w:sz w:val="22"/>
          <w:szCs w:val="22"/>
          <w:color w:val="auto"/>
        </w:rPr>
        <w:t>. Each share of Deferred Stock shall be assigned a value equal to the closing sale price of a share of the Common Stock as reported by NASDAQ on the effective Grant Date. Any Deferred Stock granted pursuant to this Plan shall be fully vested on the Grant Date.</w:t>
      </w:r>
    </w:p>
    <w:p>
      <w:pPr>
        <w:spacing w:after="0" w:line="185" w:lineRule="exact"/>
        <w:rPr>
          <w:rFonts w:ascii="Arial" w:cs="Arial" w:eastAsia="Arial" w:hAnsi="Arial"/>
          <w:sz w:val="22"/>
          <w:szCs w:val="22"/>
          <w:color w:val="auto"/>
        </w:rPr>
      </w:pPr>
    </w:p>
    <w:p>
      <w:pPr>
        <w:jc w:val="both"/>
        <w:ind w:firstLine="8"/>
        <w:spacing w:after="0" w:line="258" w:lineRule="auto"/>
        <w:tabs>
          <w:tab w:leader="none" w:pos="953" w:val="left"/>
        </w:tabs>
        <w:numPr>
          <w:ilvl w:val="0"/>
          <w:numId w:val="31"/>
        </w:numPr>
        <w:rPr>
          <w:rFonts w:ascii="Arial" w:cs="Arial" w:eastAsia="Arial" w:hAnsi="Arial"/>
          <w:sz w:val="20"/>
          <w:szCs w:val="20"/>
          <w:color w:val="auto"/>
        </w:rPr>
      </w:pPr>
      <w:r>
        <w:rPr>
          <w:rFonts w:ascii="Arial" w:cs="Arial" w:eastAsia="Arial" w:hAnsi="Arial"/>
          <w:sz w:val="20"/>
          <w:szCs w:val="20"/>
          <w:color w:val="auto"/>
        </w:rPr>
        <w:t>If a Participant elects to receive Deferred Stock, the Participant shall receive delivery of the Shares so deferred within 30 days after the earlier of (i) the third anniversary of the Grant Date, or (ii) the Participant’s Separation from Service, as irrevocably elected by the Participant pursuant to Section 3 (c) above. If a Participant fails to elect the 3</w:t>
      </w:r>
      <w:r>
        <w:rPr>
          <w:rFonts w:ascii="Arial" w:cs="Arial" w:eastAsia="Arial" w:hAnsi="Arial"/>
          <w:sz w:val="17"/>
          <w:szCs w:val="17"/>
          <w:color w:val="auto"/>
        </w:rPr>
        <w:t>rd</w:t>
      </w:r>
      <w:r>
        <w:rPr>
          <w:rFonts w:ascii="Arial" w:cs="Arial" w:eastAsia="Arial" w:hAnsi="Arial"/>
          <w:sz w:val="20"/>
          <w:szCs w:val="20"/>
          <w:color w:val="auto"/>
        </w:rPr>
        <w:t xml:space="preserve"> anniversary of the Date of Grant under the preceding sentence upon which to receive delivery of the Deferred Stock, then delivery of such Deferred Stock shall be made within 30 days after the Participant’s Separation from Service. Notwithstanding the foregoing, if a Participant is a “specified employee”, as that term is defined in Section 409A(a)(2)(B)(i) of the Code,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w:t>
      </w:r>
    </w:p>
    <w:p>
      <w:pPr>
        <w:spacing w:after="0" w:line="199"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Section 4. Number of Shares Under the Plan</w:t>
      </w:r>
      <w:r>
        <w:rPr>
          <w:rFonts w:ascii="Arial" w:cs="Arial" w:eastAsia="Arial" w:hAnsi="Arial"/>
          <w:sz w:val="22"/>
          <w:szCs w:val="22"/>
          <w:color w:val="auto"/>
        </w:rPr>
        <w:t>. Subject to adjustment as the Board may from time to time determine, the total number of Shares reserved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both"/>
        <w:ind w:right="20"/>
        <w:spacing w:after="0" w:line="328" w:lineRule="auto"/>
        <w:rPr>
          <w:sz w:val="20"/>
          <w:szCs w:val="20"/>
          <w:color w:val="auto"/>
        </w:rPr>
      </w:pPr>
      <w:r>
        <w:rPr>
          <w:rFonts w:ascii="Arial" w:cs="Arial" w:eastAsia="Arial" w:hAnsi="Arial"/>
          <w:sz w:val="19"/>
          <w:szCs w:val="19"/>
          <w:color w:val="auto"/>
        </w:rPr>
        <w:t>and available under the Plan with respect to discretionary elections to receive Shares in lieu of fees shall initially be 500,000, as adjusted for any stock dividends, combinations, splits, recapitalizations and the like with respect to the Common Stock.</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u w:val="single" w:color="auto"/>
          <w:color w:val="auto"/>
        </w:rPr>
        <w:t>Section 5. Additional Compensation</w:t>
      </w:r>
      <w:r>
        <w:rPr>
          <w:rFonts w:ascii="Arial" w:cs="Arial" w:eastAsia="Arial" w:hAnsi="Arial"/>
          <w:sz w:val="21"/>
          <w:szCs w:val="21"/>
          <w:color w:val="auto"/>
        </w:rPr>
        <w:t>. In the event of the creation of a special Board committee tasked with working on a significant corporate event (a “Special Committee”), the Board shall determine the amount, timing and form of payment of any additional compensation which it determines should be paid to the Participants serving on the Special Committee.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6. Change in Control</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and to the extent that it would not violate the requirements of Section 409A of the Code, in the event of a Change in Control prior to, or concurrently with, a Participant’s Separation from Service, Shares underlying any Deferred Stock Award, shall be issued as soon as administratively practicable after, and in all events within 30 days after, the Change of Control.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7. No Acceleration of Benefits.</w:t>
      </w:r>
    </w:p>
    <w:p>
      <w:pPr>
        <w:spacing w:after="0" w:line="206" w:lineRule="exact"/>
        <w:rPr>
          <w:sz w:val="20"/>
          <w:szCs w:val="20"/>
          <w:color w:val="auto"/>
        </w:rPr>
      </w:pPr>
    </w:p>
    <w:p>
      <w:pPr>
        <w:jc w:val="both"/>
        <w:ind w:right="20"/>
        <w:spacing w:after="0" w:line="273" w:lineRule="auto"/>
        <w:rPr>
          <w:sz w:val="20"/>
          <w:szCs w:val="20"/>
          <w:color w:val="auto"/>
        </w:rPr>
      </w:pPr>
      <w:r>
        <w:rPr>
          <w:rFonts w:ascii="Arial" w:cs="Arial" w:eastAsia="Arial" w:hAnsi="Arial"/>
          <w:sz w:val="21"/>
          <w:szCs w:val="21"/>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8. Amendment and Termination.</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u w:val="single" w:color="auto"/>
          <w:color w:val="auto"/>
        </w:rPr>
        <w:t>Section 9. Unfunded Obligation.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not all forms of payment hereunder are being made under the Incentive Compensation Plan).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 Withholding.</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 Applicable Law.</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Plan shall be construed and enforced in accordance with the laws of the State of Delaware, except to the extent superseded by federal law.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12. Administration and Interpretation.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13. Code Section 409A.</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It is intended that the Compensation granted pursuant to this Plan other than any Deferred Stock Awards, be exempt from Section 409A of the Code (“Section 409A”) because it is believed the Compensation payable in cash should qualify for the short-term deferral exception contained in Treasury Regulation §1.409A-1(b)(4). It also is intended that any compensation payable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both"/>
        <w:ind w:right="20"/>
        <w:spacing w:after="0" w:line="251" w:lineRule="auto"/>
        <w:rPr>
          <w:sz w:val="20"/>
          <w:szCs w:val="20"/>
          <w:color w:val="auto"/>
        </w:rPr>
      </w:pPr>
      <w:r>
        <w:rPr>
          <w:rFonts w:ascii="Arial" w:cs="Arial" w:eastAsia="Arial" w:hAnsi="Arial"/>
          <w:sz w:val="22"/>
          <w:szCs w:val="22"/>
          <w:color w:val="auto"/>
        </w:rPr>
        <w:t>in the form of a Deferred Stock Award comply with the requirements of Section 409A. The provisions of the Plan shall be interpreted in a manner consistent with the foregoing intentions.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SPACE IS LEFT BLANK INTENTIONALLY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AMENDED AND RESTATED NON-EMPLOYEE DIRECTOR COMPENSATION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ELECTION AGREEMENT</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General Counsel:</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 _____________________________, hereby elect to receive my Destination XL Group, Inc. Non-Employee Director Compensation (as defined in the Destination XL Group,</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Inc. Fourth Amended and Restated Non-Employee Director Compensation Plan (the “Plan”)) as follows:</w:t>
      </w:r>
    </w:p>
    <w:p>
      <w:pPr>
        <w:spacing w:after="0" w:line="207" w:lineRule="exact"/>
        <w:rPr>
          <w:sz w:val="20"/>
          <w:szCs w:val="20"/>
          <w:color w:val="auto"/>
        </w:rPr>
      </w:pPr>
    </w:p>
    <w:tbl>
      <w:tblPr>
        <w:tblLayout w:type="fixed"/>
        <w:tblInd w:w="150" w:type="dxa"/>
        <w:tblCellMar>
          <w:top w:w="0" w:type="dxa"/>
          <w:left w:w="0" w:type="dxa"/>
          <w:bottom w:w="0" w:type="dxa"/>
          <w:right w:w="0" w:type="dxa"/>
        </w:tblCellMar>
      </w:tblPr>
      <w:tr>
        <w:trPr>
          <w:trHeight w:val="404"/>
        </w:trPr>
        <w:tc>
          <w:tcPr>
            <w:tcW w:w="1560" w:type="dxa"/>
            <w:vAlign w:val="bottom"/>
            <w:tcBorders>
              <w:top w:val="single" w:sz="8" w:color="auto"/>
              <w:left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DXLG</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DXLG</w:t>
            </w:r>
          </w:p>
        </w:tc>
        <w:tc>
          <w:tcPr>
            <w:tcW w:w="880" w:type="dxa"/>
            <w:vAlign w:val="bottom"/>
            <w:tcBorders>
              <w:top w:val="single" w:sz="8" w:color="auto"/>
              <w:right w:val="single" w:sz="8" w:color="auto"/>
            </w:tcBorders>
          </w:tcPr>
          <w:p>
            <w:pPr>
              <w:spacing w:after="0"/>
              <w:rPr>
                <w:sz w:val="24"/>
                <w:szCs w:val="24"/>
                <w:color w:val="auto"/>
              </w:rPr>
            </w:pP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If Deferred Stock, as defined in the Incentive</w:t>
            </w:r>
          </w:p>
        </w:tc>
        <w:tc>
          <w:tcPr>
            <w:tcW w:w="0" w:type="dxa"/>
            <w:vAlign w:val="bottom"/>
          </w:tcPr>
          <w:p>
            <w:pPr>
              <w:spacing w:after="0"/>
              <w:rPr>
                <w:sz w:val="1"/>
                <w:szCs w:val="1"/>
                <w:color w:val="auto"/>
              </w:rPr>
            </w:pPr>
          </w:p>
        </w:tc>
      </w:tr>
      <w:tr>
        <w:trPr>
          <w:trHeight w:val="202"/>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Deferred</w:t>
            </w:r>
          </w:p>
        </w:tc>
        <w:tc>
          <w:tcPr>
            <w:tcW w:w="88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 Plan is elected, specify the</w:t>
            </w:r>
          </w:p>
        </w:tc>
        <w:tc>
          <w:tcPr>
            <w:tcW w:w="0" w:type="dxa"/>
            <w:vAlign w:val="bottom"/>
          </w:tcPr>
          <w:p>
            <w:pPr>
              <w:spacing w:after="0"/>
              <w:rPr>
                <w:sz w:val="1"/>
                <w:szCs w:val="1"/>
                <w:color w:val="auto"/>
              </w:rPr>
            </w:pPr>
          </w:p>
        </w:tc>
      </w:tr>
      <w:tr>
        <w:trPr>
          <w:trHeight w:val="202"/>
        </w:trPr>
        <w:tc>
          <w:tcPr>
            <w:tcW w:w="156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Cash</w:t>
            </w:r>
          </w:p>
        </w:tc>
        <w:tc>
          <w:tcPr>
            <w:tcW w:w="8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anniversary of the Date of Grant on which</w:t>
            </w:r>
          </w:p>
        </w:tc>
        <w:tc>
          <w:tcPr>
            <w:tcW w:w="0" w:type="dxa"/>
            <w:vAlign w:val="bottom"/>
          </w:tcPr>
          <w:p>
            <w:pPr>
              <w:spacing w:after="0"/>
              <w:rPr>
                <w:sz w:val="1"/>
                <w:szCs w:val="1"/>
                <w:color w:val="auto"/>
              </w:rPr>
            </w:pPr>
          </w:p>
        </w:tc>
      </w:tr>
      <w:tr>
        <w:trPr>
          <w:trHeight w:val="213"/>
        </w:trPr>
        <w:tc>
          <w:tcPr>
            <w:tcW w:w="156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the Deferral Period will end.</w:t>
            </w:r>
          </w:p>
        </w:tc>
        <w:tc>
          <w:tcPr>
            <w:tcW w:w="0" w:type="dxa"/>
            <w:vAlign w:val="bottom"/>
          </w:tcPr>
          <w:p>
            <w:pPr>
              <w:spacing w:after="0"/>
              <w:rPr>
                <w:sz w:val="1"/>
                <w:szCs w:val="1"/>
                <w:color w:val="auto"/>
              </w:rPr>
            </w:pPr>
          </w:p>
        </w:tc>
      </w:tr>
      <w:tr>
        <w:trPr>
          <w:trHeight w:val="45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Retainer*</w:t>
            </w:r>
          </w:p>
        </w:tc>
        <w:tc>
          <w:tcPr>
            <w:tcW w:w="98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8"/>
              </w:rPr>
              <w:t>_______%</w:t>
            </w:r>
          </w:p>
        </w:tc>
        <w:tc>
          <w:tcPr>
            <w:tcW w:w="88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5"/>
              </w:rPr>
              <w:t>______%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______%</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31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3rdSfS**</w:t>
            </w:r>
          </w:p>
        </w:tc>
        <w:tc>
          <w:tcPr>
            <w:tcW w:w="0" w:type="dxa"/>
            <w:vAlign w:val="bottom"/>
          </w:tcPr>
          <w:p>
            <w:pPr>
              <w:spacing w:after="0"/>
              <w:rPr>
                <w:sz w:val="1"/>
                <w:szCs w:val="1"/>
                <w:color w:val="auto"/>
              </w:rPr>
            </w:pPr>
          </w:p>
        </w:tc>
      </w:tr>
      <w:tr>
        <w:trPr>
          <w:trHeight w:val="197"/>
        </w:trPr>
        <w:tc>
          <w:tcPr>
            <w:tcW w:w="156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640" w:type="dxa"/>
            <w:vAlign w:val="bottom"/>
            <w:tcBorders>
              <w:right w:val="single" w:sz="8" w:color="auto"/>
            </w:tcBorders>
            <w:vMerge w:val="continue"/>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3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56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Board Chair /</w:t>
            </w:r>
          </w:p>
        </w:tc>
        <w:tc>
          <w:tcPr>
            <w:tcW w:w="98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8"/>
              </w:rPr>
              <w:t>_______%</w:t>
            </w:r>
          </w:p>
        </w:tc>
        <w:tc>
          <w:tcPr>
            <w:tcW w:w="88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color w:val="auto"/>
                <w:w w:val="85"/>
              </w:rPr>
              <w:t>______%</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______%</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31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3rdSfS**</w:t>
            </w:r>
          </w:p>
        </w:tc>
        <w:tc>
          <w:tcPr>
            <w:tcW w:w="0" w:type="dxa"/>
            <w:vAlign w:val="bottom"/>
          </w:tcPr>
          <w:p>
            <w:pPr>
              <w:spacing w:after="0"/>
              <w:rPr>
                <w:sz w:val="1"/>
                <w:szCs w:val="1"/>
                <w:color w:val="auto"/>
              </w:rPr>
            </w:pPr>
          </w:p>
        </w:tc>
      </w:tr>
      <w:tr>
        <w:trPr>
          <w:trHeight w:val="235"/>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Lead Director</w:t>
            </w:r>
          </w:p>
        </w:tc>
        <w:tc>
          <w:tcPr>
            <w:tcW w:w="980" w:type="dxa"/>
            <w:vAlign w:val="bottom"/>
            <w:tcBorders>
              <w:right w:val="single" w:sz="8" w:color="auto"/>
            </w:tcBorders>
            <w:vMerge w:val="continue"/>
          </w:tcPr>
          <w:p>
            <w:pPr>
              <w:spacing w:after="0"/>
              <w:rPr>
                <w:sz w:val="20"/>
                <w:szCs w:val="20"/>
                <w:color w:val="auto"/>
              </w:rPr>
            </w:pPr>
          </w:p>
        </w:tc>
        <w:tc>
          <w:tcPr>
            <w:tcW w:w="880" w:type="dxa"/>
            <w:vAlign w:val="bottom"/>
            <w:tcBorders>
              <w:right w:val="single" w:sz="8" w:color="auto"/>
            </w:tcBorders>
            <w:vMerge w:val="continue"/>
          </w:tcPr>
          <w:p>
            <w:pPr>
              <w:spacing w:after="0"/>
              <w:rPr>
                <w:sz w:val="20"/>
                <w:szCs w:val="20"/>
                <w:color w:val="auto"/>
              </w:rPr>
            </w:pPr>
          </w:p>
        </w:tc>
        <w:tc>
          <w:tcPr>
            <w:tcW w:w="640" w:type="dxa"/>
            <w:vAlign w:val="bottom"/>
            <w:tcBorders>
              <w:right w:val="single" w:sz="8" w:color="auto"/>
            </w:tcBorders>
            <w:vMerge w:val="continue"/>
          </w:tcPr>
          <w:p>
            <w:pPr>
              <w:spacing w:after="0"/>
              <w:rPr>
                <w:sz w:val="20"/>
                <w:szCs w:val="20"/>
                <w:color w:val="auto"/>
              </w:rPr>
            </w:pPr>
          </w:p>
        </w:tc>
        <w:tc>
          <w:tcPr>
            <w:tcW w:w="880" w:type="dxa"/>
            <w:vAlign w:val="bottom"/>
            <w:tcBorders>
              <w:right w:val="single" w:sz="8" w:color="auto"/>
            </w:tcBorders>
            <w:vMerge w:val="continue"/>
          </w:tcPr>
          <w:p>
            <w:pPr>
              <w:spacing w:after="0"/>
              <w:rPr>
                <w:sz w:val="20"/>
                <w:szCs w:val="20"/>
                <w:color w:val="auto"/>
              </w:rPr>
            </w:pPr>
          </w:p>
        </w:tc>
        <w:tc>
          <w:tcPr>
            <w:tcW w:w="31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56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Committee Chair Fee</w:t>
            </w:r>
          </w:p>
        </w:tc>
        <w:tc>
          <w:tcPr>
            <w:tcW w:w="98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560" w:type="dxa"/>
            <w:vAlign w:val="bottom"/>
            <w:tcBorders>
              <w:left w:val="single" w:sz="8" w:color="auto"/>
              <w:right w:val="single" w:sz="8" w:color="auto"/>
            </w:tcBorders>
          </w:tcPr>
          <w:p>
            <w:pPr>
              <w:spacing w:after="0"/>
              <w:rPr>
                <w:sz w:val="24"/>
                <w:szCs w:val="24"/>
                <w:color w:val="auto"/>
              </w:rPr>
            </w:pPr>
          </w:p>
        </w:tc>
        <w:tc>
          <w:tcPr>
            <w:tcW w:w="98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w w:val="88"/>
              </w:rPr>
              <w:t>_______%</w:t>
            </w:r>
          </w:p>
        </w:tc>
        <w:tc>
          <w:tcPr>
            <w:tcW w:w="88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w w:val="85"/>
              </w:rPr>
              <w:t>______%</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______%</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31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3rdSfS**</w:t>
            </w:r>
          </w:p>
        </w:tc>
        <w:tc>
          <w:tcPr>
            <w:tcW w:w="0" w:type="dxa"/>
            <w:vAlign w:val="bottom"/>
          </w:tcPr>
          <w:p>
            <w:pPr>
              <w:spacing w:after="0"/>
              <w:rPr>
                <w:sz w:val="1"/>
                <w:szCs w:val="1"/>
                <w:color w:val="auto"/>
              </w:rPr>
            </w:pPr>
          </w:p>
        </w:tc>
      </w:tr>
      <w:tr>
        <w:trPr>
          <w:trHeight w:val="192"/>
        </w:trPr>
        <w:tc>
          <w:tcPr>
            <w:tcW w:w="156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*At least 50% of Retainer must be selected in equity (in the form of DXLG Stock and/or DXLG Deferred Stock or any combination thereof) (the minimum is “Required Equity”).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**Separation from Service</w:t>
      </w:r>
    </w:p>
    <w:p>
      <w:pPr>
        <w:spacing w:after="0" w:line="217"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NOTE: You have the opportunity to decide the Compensation Payment Choice(s): cash, DXLG Shares or DXLG Deferred Stock for each type of fee. Your selected choice(s) for any given year must equal 100%. If you select Deferred Stock, then distribution of your DXLG shares shall be made within 30 days after the earlier of (a) the 3rd anniversary of the Date of Grant and (b) the date of your Separation from Service (or if you become an employee of the Company and are a “specified employee”, as defined in the Plan, the 6-month anniversary of the Grant Date). If you do not specify the 3</w:t>
      </w:r>
      <w:r>
        <w:rPr>
          <w:rFonts w:ascii="Arial" w:cs="Arial" w:eastAsia="Arial" w:hAnsi="Arial"/>
          <w:sz w:val="25"/>
          <w:szCs w:val="25"/>
          <w:color w:val="auto"/>
          <w:vertAlign w:val="superscript"/>
        </w:rPr>
        <w:t>rd</w:t>
      </w:r>
      <w:r>
        <w:rPr>
          <w:rFonts w:ascii="Arial" w:cs="Arial" w:eastAsia="Arial" w:hAnsi="Arial"/>
          <w:sz w:val="15"/>
          <w:szCs w:val="15"/>
          <w:color w:val="auto"/>
        </w:rPr>
        <w:t xml:space="preserve"> anniversary, distribution will be made upon your Separation from Service.</w:t>
      </w:r>
    </w:p>
    <w:p>
      <w:pPr>
        <w:spacing w:after="0" w:line="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 understand and acknowledge that (i) with respect to elections to receive DXLG Deferred Stock and/or DXL Shares (for Required Equity, if any), if there is an insufficient number of DXLG shares available under the Company’s Incentive Compensation Plan, I will be paid in cash and (ii) with respect to discretionary elections to receive DXLG Shares, if there is an insufficient number of DXLG shares available under the Plan, I will be paid in cash.</w:t>
      </w:r>
    </w:p>
    <w:p>
      <w:pPr>
        <w:spacing w:after="0" w:line="170"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 understand and acknowledge that any equity, whether Required Equity or Discretionary Equity</w:t>
      </w:r>
      <w:r>
        <w:rPr>
          <w:rFonts w:ascii="Arial" w:cs="Arial" w:eastAsia="Arial" w:hAnsi="Arial"/>
          <w:sz w:val="16"/>
          <w:szCs w:val="16"/>
          <w:color w:val="1F497D"/>
        </w:rPr>
        <w:t>,</w:t>
      </w:r>
      <w:r>
        <w:rPr>
          <w:rFonts w:ascii="Arial" w:cs="Arial" w:eastAsia="Arial" w:hAnsi="Arial"/>
          <w:sz w:val="16"/>
          <w:szCs w:val="16"/>
          <w:color w:val="auto"/>
        </w:rPr>
        <w:t xml:space="preserve"> must be held until my Separation from Service, unless the Board, in its sole discretion, permits a sale of equity prior to my Separation from Service.</w:t>
      </w:r>
    </w:p>
    <w:p>
      <w:pPr>
        <w:spacing w:after="0" w:line="159"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hereunto set my hand and seal this ____ day of ___________, 20___.</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_____________________________ (Signature) (Printed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247" w:lineRule="exact"/>
        <w:rPr>
          <w:sz w:val="20"/>
          <w:szCs w:val="20"/>
          <w:color w:val="auto"/>
        </w:rPr>
      </w:pPr>
    </w:p>
    <w:p>
      <w:pPr>
        <w:sectPr>
          <w:pgSz w:w="11900" w:h="16838" w:orient="portrait"/>
          <w:cols w:equalWidth="0" w:num="2">
            <w:col w:w="2360" w:space="640"/>
            <w:col w:w="8420"/>
          </w:cols>
          <w:pgMar w:left="240" w:top="121" w:right="239" w:bottom="1440" w:gutter="0" w:footer="0" w:header="0"/>
          <w:type w:val="continuous"/>
        </w:sectPr>
      </w:pPr>
    </w:p>
    <w:p>
      <w:pPr>
        <w:spacing w:after="0"/>
        <w:rPr>
          <w:sz w:val="20"/>
          <w:szCs w:val="20"/>
          <w:color w:val="auto"/>
        </w:rPr>
      </w:pPr>
      <w:r>
        <w:rPr>
          <w:rFonts w:ascii="Arial" w:cs="Arial" w:eastAsia="Arial" w:hAnsi="Arial"/>
          <w:sz w:val="13"/>
          <w:szCs w:val="13"/>
          <w:color w:val="auto"/>
        </w:rPr>
        <w:t>MIA 184192812v2</w:t>
      </w:r>
    </w:p>
    <w:p>
      <w:pPr>
        <w:sectPr>
          <w:pgSz w:w="11900" w:h="16838" w:orient="portrait"/>
          <w:cols w:equalWidth="0" w:num="1">
            <w:col w:w="11420"/>
          </w:cols>
          <w:pgMar w:left="240" w:top="121" w:right="239" w:bottom="1440" w:gutter="0" w:footer="0" w:header="0"/>
          <w:type w:val="continuous"/>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ind w:left="1360"/>
              <w:spacing w:after="0"/>
              <w:rPr>
                <w:sz w:val="20"/>
                <w:szCs w:val="20"/>
                <w:color w:val="auto"/>
              </w:rPr>
            </w:pPr>
            <w:r>
              <w:rPr>
                <w:rFonts w:ascii="Arial" w:cs="Arial" w:eastAsia="Arial" w:hAnsi="Arial"/>
                <w:sz w:val="18"/>
                <w:szCs w:val="18"/>
                <w:b w:val="1"/>
                <w:bCs w:val="1"/>
                <w:color w:val="auto"/>
                <w:w w:val="91"/>
              </w:rPr>
              <w:t>Exhibit 21.1</w:t>
            </w:r>
          </w:p>
        </w:tc>
      </w:tr>
      <w:tr>
        <w:trPr>
          <w:trHeight w:val="417"/>
        </w:trPr>
        <w:tc>
          <w:tcPr>
            <w:tcW w:w="9140" w:type="dxa"/>
            <w:vAlign w:val="bottom"/>
            <w:gridSpan w:val="2"/>
          </w:tcPr>
          <w:p>
            <w:pPr>
              <w:ind w:left="4440"/>
              <w:spacing w:after="0"/>
              <w:rPr>
                <w:sz w:val="20"/>
                <w:szCs w:val="20"/>
                <w:color w:val="auto"/>
              </w:rPr>
            </w:pPr>
            <w:r>
              <w:rPr>
                <w:rFonts w:ascii="Arial" w:cs="Arial" w:eastAsia="Arial" w:hAnsi="Arial"/>
                <w:sz w:val="18"/>
                <w:szCs w:val="18"/>
                <w:color w:val="auto"/>
              </w:rPr>
              <w:t>DESTINATION XL GROUP, INC.</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140" w:type="dxa"/>
            <w:vAlign w:val="bottom"/>
            <w:gridSpan w:val="2"/>
          </w:tcPr>
          <w:p>
            <w:pPr>
              <w:ind w:left="4200"/>
              <w:spacing w:after="0"/>
              <w:rPr>
                <w:sz w:val="20"/>
                <w:szCs w:val="20"/>
                <w:color w:val="auto"/>
              </w:rPr>
            </w:pPr>
            <w:r>
              <w:rPr>
                <w:rFonts w:ascii="Arial" w:cs="Arial" w:eastAsia="Arial" w:hAnsi="Arial"/>
                <w:sz w:val="18"/>
                <w:szCs w:val="18"/>
                <w:color w:val="auto"/>
              </w:rPr>
              <w:t>Wholly-owned unless otherwise indicated</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300" w:type="dxa"/>
            <w:vAlign w:val="bottom"/>
            <w:gridSpan w:val="2"/>
          </w:tcPr>
          <w:p>
            <w:pPr>
              <w:ind w:left="50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9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100" w:type="dxa"/>
            <w:vAlign w:val="bottom"/>
          </w:tcPr>
          <w:p>
            <w:pPr>
              <w:spacing w:after="0"/>
              <w:rPr>
                <w:sz w:val="16"/>
                <w:szCs w:val="16"/>
                <w:color w:val="auto"/>
              </w:rPr>
            </w:pPr>
          </w:p>
        </w:tc>
        <w:tc>
          <w:tcPr>
            <w:tcW w:w="2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CMRG Apparel Management,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CMXL Apparel, LP (a)</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Virginia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DXLG Wholesale, LLC (e)</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DXL Canada, Inc. (f/k/a Casual Male Canada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Ontario, Canada</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Think Big Products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CMRG Hong Kong Limited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77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154" w:lineRule="exact"/>
        <w:rPr>
          <w:sz w:val="20"/>
          <w:szCs w:val="20"/>
          <w:color w:val="auto"/>
        </w:rPr>
      </w:pPr>
    </w:p>
    <w:p>
      <w:pPr>
        <w:ind w:left="520" w:right="460" w:hanging="512"/>
        <w:spacing w:after="0" w:line="258"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owned by Destination XL Group, Inc.</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333-118966 and 333-90742) on Form S-3 and (Nos. 333-136890, 333-163245, 333-164618, 333-170708, 333-170764, 333-194627 and 333-213311) on Form S-8 of Destination XL Group, Inc. of our reports dated March 22, 2019, with respect to the consolidated balance sheets of Destination XL Group, Inc. and subsidiaries as of February 2, 2019 and February 3, 2018, and the related consolidated statements of operations, comprehensive income (loss), changes in stockholders’ equity, and cash flows for each of the years in the three-year period ended February 2, 2019, and the related notes (collectively, the consolidated financial statements), and the effectiveness of internal control over financial reporting as of February 2, 2019, which reports appear in the February 2, 2019 annual report on Form 10-K of Destination XL Group, Inc.</w:t>
      </w:r>
    </w:p>
    <w:p>
      <w:pPr>
        <w:spacing w:after="0" w:line="1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6" w:lineRule="exact"/>
        <w:rPr>
          <w:rFonts w:ascii="Arial" w:cs="Arial" w:eastAsia="Arial" w:hAnsi="Arial"/>
          <w:sz w:val="18"/>
          <w:szCs w:val="18"/>
          <w:color w:val="auto"/>
        </w:rPr>
      </w:pPr>
    </w:p>
    <w:p>
      <w:pPr>
        <w:jc w:val="both"/>
        <w:ind w:left="520" w:right="44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400" w:hanging="512"/>
        <w:spacing w:after="0" w:line="307"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40" w:right="500" w:hanging="519"/>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40" w:right="660" w:hanging="519"/>
        <w:spacing w:after="0" w:line="341"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320" w:hanging="512"/>
        <w:spacing w:after="0" w:line="307"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22, 2019</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David A. Levin</w:t>
      </w:r>
    </w:p>
    <w:p>
      <w:pPr>
        <w:spacing w:after="0" w:line="2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Acting Chief Executive Officer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6" w:lineRule="exact"/>
        <w:rPr>
          <w:rFonts w:ascii="Arial" w:cs="Arial" w:eastAsia="Arial" w:hAnsi="Arial"/>
          <w:sz w:val="18"/>
          <w:szCs w:val="18"/>
          <w:color w:val="auto"/>
        </w:rPr>
      </w:pPr>
    </w:p>
    <w:p>
      <w:pPr>
        <w:jc w:val="both"/>
        <w:ind w:left="520" w:right="44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400" w:hanging="512"/>
        <w:spacing w:after="0" w:line="307"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40" w:right="500" w:hanging="519"/>
        <w:spacing w:after="0" w:line="26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40" w:right="660" w:hanging="519"/>
        <w:spacing w:after="0" w:line="341" w:lineRule="auto"/>
        <w:tabs>
          <w:tab w:leader="none" w:pos="1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320" w:hanging="512"/>
        <w:spacing w:after="0" w:line="307"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22, 2019</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wp:posOffset>
            </wp:positionV>
            <wp:extent cx="28949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2894965" cy="8255"/>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Peter H. Stratton, Jr.</w:t>
      </w:r>
    </w:p>
    <w:p>
      <w:pPr>
        <w:spacing w:after="0" w:line="22" w:lineRule="exact"/>
        <w:rPr>
          <w:sz w:val="20"/>
          <w:szCs w:val="20"/>
          <w:color w:val="auto"/>
        </w:rPr>
      </w:pPr>
    </w:p>
    <w:p>
      <w:pPr>
        <w:ind w:left="7120"/>
        <w:spacing w:after="0"/>
        <w:rPr>
          <w:sz w:val="20"/>
          <w:szCs w:val="20"/>
          <w:color w:val="auto"/>
        </w:rPr>
      </w:pPr>
      <w:r>
        <w:rPr>
          <w:rFonts w:ascii="Arial" w:cs="Arial" w:eastAsia="Arial" w:hAnsi="Arial"/>
          <w:sz w:val="17"/>
          <w:szCs w:val="17"/>
          <w:b w:val="1"/>
          <w:bCs w:val="1"/>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90" w:name="page91"/>
    <w:bookmarkEnd w:id="90"/>
    <w:p>
      <w:pPr>
        <w:ind w:left="1050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7" w:lineRule="exact"/>
        <w:rPr>
          <w:sz w:val="20"/>
          <w:szCs w:val="20"/>
          <w:color w:val="auto"/>
        </w:rPr>
      </w:pPr>
    </w:p>
    <w:p>
      <w:pPr>
        <w:jc w:val="both"/>
        <w:ind w:right="180" w:firstLine="518"/>
        <w:spacing w:after="0" w:line="263"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2, 2019 as filed with the Securities and Exchange Commission on the date hereof (the “Report”), I, David A. Levin, Acting Chief Executive Officer of the Company, certify pursuant to 18 U.S.C. § 1350, as adopted pursuant to § 906 of the Sarbanes-Oxley Act of 2002, that:</w:t>
      </w:r>
    </w:p>
    <w:p>
      <w:pPr>
        <w:spacing w:after="0" w:line="75" w:lineRule="exact"/>
        <w:rPr>
          <w:sz w:val="20"/>
          <w:szCs w:val="20"/>
          <w:color w:val="auto"/>
        </w:rPr>
      </w:pPr>
    </w:p>
    <w:p>
      <w:pPr>
        <w:ind w:left="1040" w:right="1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1"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40" w:firstLine="518"/>
        <w:spacing w:after="0" w:line="256"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8" w:lineRule="exact"/>
        <w:rPr>
          <w:sz w:val="20"/>
          <w:szCs w:val="20"/>
          <w:color w:val="auto"/>
        </w:rPr>
      </w:pPr>
    </w:p>
    <w:p>
      <w:pPr>
        <w:spacing w:after="0"/>
        <w:tabs>
          <w:tab w:leader="none" w:pos="8480" w:val="left"/>
        </w:tabs>
        <w:rPr>
          <w:sz w:val="20"/>
          <w:szCs w:val="20"/>
          <w:color w:val="auto"/>
        </w:rPr>
      </w:pPr>
      <w:r>
        <w:rPr>
          <w:rFonts w:ascii="Arial" w:cs="Arial" w:eastAsia="Arial" w:hAnsi="Arial"/>
          <w:sz w:val="18"/>
          <w:szCs w:val="18"/>
          <w:color w:val="auto"/>
        </w:rPr>
        <w:t>Dated: March 22, 2019</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14605</wp:posOffset>
            </wp:positionV>
            <wp:extent cx="28695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2869565" cy="8255"/>
                    </a:xfrm>
                    <a:prstGeom prst="rect">
                      <a:avLst/>
                    </a:prstGeom>
                    <a:noFill/>
                  </pic:spPr>
                </pic:pic>
              </a:graphicData>
            </a:graphic>
          </wp:anchor>
        </w:drawing>
      </w:r>
    </w:p>
    <w:p>
      <w:pPr>
        <w:spacing w:after="0" w:line="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David A. Levin</w:t>
      </w:r>
    </w:p>
    <w:p>
      <w:pPr>
        <w:spacing w:after="0" w:line="22"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Acting Chief Executive Officer</w:t>
      </w:r>
    </w:p>
    <w:p>
      <w:pPr>
        <w:spacing w:after="0" w:line="210"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1" w:name="page92"/>
    <w:bookmarkEnd w:id="91"/>
    <w:p>
      <w:pPr>
        <w:ind w:left="1050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7" w:lineRule="exact"/>
        <w:rPr>
          <w:sz w:val="20"/>
          <w:szCs w:val="20"/>
          <w:color w:val="auto"/>
        </w:rPr>
      </w:pPr>
    </w:p>
    <w:p>
      <w:pPr>
        <w:ind w:right="200" w:firstLine="518"/>
        <w:spacing w:after="0" w:line="263"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2, 2019,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5" w:lineRule="exact"/>
        <w:rPr>
          <w:sz w:val="20"/>
          <w:szCs w:val="20"/>
          <w:color w:val="auto"/>
        </w:rPr>
      </w:pPr>
    </w:p>
    <w:p>
      <w:pPr>
        <w:ind w:left="1040" w:right="1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1"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40" w:firstLine="518"/>
        <w:spacing w:after="0" w:line="256"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32"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Dated: March 22, 2019</w:t>
      </w:r>
      <w:r>
        <w:rPr>
          <w:sz w:val="20"/>
          <w:szCs w:val="20"/>
          <w:color w:val="auto"/>
        </w:rPr>
        <w:tab/>
      </w:r>
      <w:r>
        <w:rPr>
          <w:rFonts w:ascii="Arial" w:cs="Arial" w:eastAsia="Arial" w:hAnsi="Arial"/>
          <w:sz w:val="15"/>
          <w:szCs w:val="15"/>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14605</wp:posOffset>
            </wp:positionV>
            <wp:extent cx="28867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2886710" cy="8255"/>
                    </a:xfrm>
                    <a:prstGeom prst="rect">
                      <a:avLst/>
                    </a:prstGeom>
                    <a:noFill/>
                  </pic:spPr>
                </pic:pic>
              </a:graphicData>
            </a:graphic>
          </wp:anchor>
        </w:drawing>
      </w:r>
    </w:p>
    <w:p>
      <w:pPr>
        <w:spacing w:after="0" w:line="3"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Peter H. Stratton, Jr.</w:t>
      </w:r>
    </w:p>
    <w:p>
      <w:pPr>
        <w:spacing w:after="0" w:line="22"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0"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1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Roman"/>
      <w:start w:val="1"/>
    </w:lvl>
  </w:abstractNum>
  <w:abstractNum w:abstractNumId="22">
    <w:nsid w:val="3A95F874"/>
    <w:multiLevelType w:val="hybridMultilevel"/>
    <w:lvl w:ilvl="0">
      <w:lvlJc w:val="left"/>
      <w:lvlText w:val="%1"/>
      <w:numFmt w:val="decimal"/>
      <w:start w:val="10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13"/>
    </w:lvl>
  </w:abstractNum>
  <w:abstractNum w:abstractNumId="28">
    <w:nsid w:val="22221A70"/>
    <w:multiLevelType w:val="hybridMultilevel"/>
    <w:lvl w:ilvl="0">
      <w:lvlJc w:val="left"/>
      <w:lvlText w:val="(%1)"/>
      <w:numFmt w:val="lowerLetter"/>
      <w:start w:val="1"/>
    </w:lvl>
    <w:lvl w:ilvl="1">
      <w:lvlJc w:val="left"/>
      <w:lvlText w:val="%2."/>
      <w:numFmt w:val="lowerRoman"/>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lowerLetter"/>
      <w:start w:val="4"/>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7"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01" Type="http://schemas.openxmlformats.org/officeDocument/2006/relationships/hyperlink" Target="http://www.sec.gov/Archives/edgar/data/813298/000156459017004804/dxlg-ex31_385.htm" TargetMode="External"/><Relationship Id="rId102" Type="http://schemas.openxmlformats.org/officeDocument/2006/relationships/hyperlink" Target="http://www.sec.gov/Archives/edgar/data/813298/000156459015005139/dxlg-ex31_2015061621.htm" TargetMode="External"/><Relationship Id="rId103" Type="http://schemas.openxmlformats.org/officeDocument/2006/relationships/hyperlink" Target="http://www.sec.gov/Archives/edgar/data/813298/000119312514102442/d657704dex103.htm" TargetMode="External"/><Relationship Id="rId104" Type="http://schemas.openxmlformats.org/officeDocument/2006/relationships/hyperlink" Target="http://www.sec.gov/Archives/edgar/data/813298/000156459016023169/dxlg-ex101_27.htm" TargetMode="External"/><Relationship Id="rId105" Type="http://schemas.openxmlformats.org/officeDocument/2006/relationships/hyperlink" Target="http://www.sec.gov/Archives/edgar/data/813298/000156459017004804/dxlg-ex103_69.htm" TargetMode="External"/><Relationship Id="rId106" Type="http://schemas.openxmlformats.org/officeDocument/2006/relationships/hyperlink" Target="http://www.sec.gov/Archives/edgar/data/813298/000156459017004804/dxlg-ex104_68.htm" TargetMode="External"/><Relationship Id="rId107" Type="http://schemas.openxmlformats.org/officeDocument/2006/relationships/hyperlink" Target="http://www.sec.gov/Archives/edgar/data/813298/000156459017004804/dxlg-ex105_67.htm" TargetMode="External"/><Relationship Id="rId108" Type="http://schemas.openxmlformats.org/officeDocument/2006/relationships/hyperlink" Target="http://www.sec.gov/Archives/edgar/data/813298/000156459017004804/dxlg-ex106_66.htm" TargetMode="External"/><Relationship Id="rId109" Type="http://schemas.openxmlformats.org/officeDocument/2006/relationships/hyperlink" Target="http://www.sec.gov/Archives/edgar/data/813298/000156459017004804/dxlg-ex107_65.htm" TargetMode="External"/><Relationship Id="rId110" Type="http://schemas.openxmlformats.org/officeDocument/2006/relationships/hyperlink" Target="http://www.sec.gov/Archives/edgar/data/813298/000156459017004804/dxlg-ex108_64.htm" TargetMode="External"/><Relationship Id="rId111" Type="http://schemas.openxmlformats.org/officeDocument/2006/relationships/hyperlink" Target="http://www.sec.gov/Archives/edgar/data/813298/000156459017004804/dxlg-ex109_63.htm" TargetMode="External"/><Relationship Id="rId112" Type="http://schemas.openxmlformats.org/officeDocument/2006/relationships/hyperlink" Target="http://www.sec.gov/Archives/edgar/data/813298/000156459018014591/dxlg-ex101_7.htm" TargetMode="External"/><Relationship Id="rId113" Type="http://schemas.openxmlformats.org/officeDocument/2006/relationships/hyperlink" Target="http://www.sec.gov/Archives/edgar/data/813298/000119312514306826/d773518dex101.htm" TargetMode="External"/><Relationship Id="rId114" Type="http://schemas.openxmlformats.org/officeDocument/2006/relationships/hyperlink" Target="http://www.sec.gov/Archives/edgar/data/813298/000156459017011835/dxlg-ex101_6.htm" TargetMode="External"/><Relationship Id="rId115" Type="http://schemas.openxmlformats.org/officeDocument/2006/relationships/hyperlink" Target="http://www.sec.gov/Archives/edgar/data/813298/000156459018022806/dxlg-ex101_6.htm" TargetMode="External"/><Relationship Id="rId116" Type="http://schemas.openxmlformats.org/officeDocument/2006/relationships/hyperlink" Target="http://www.sec.gov/Archives/edgar/data/813298/000119312509238028/dex101.htm" TargetMode="External"/><Relationship Id="rId118" Type="http://schemas.openxmlformats.org/officeDocument/2006/relationships/hyperlink" Target="http://www.sec.gov/Archives/edgar/data/813298/000156459018006615/dxlg-ex101_6.htm" TargetMode="External"/><Relationship Id="rId119" Type="http://schemas.openxmlformats.org/officeDocument/2006/relationships/hyperlink" Target="http://www.sec.gov/Archives/edgar/data/813298/000156459018016118/dxlg-ex101_6.htm" TargetMode="External"/><Relationship Id="rId120" Type="http://schemas.openxmlformats.org/officeDocument/2006/relationships/hyperlink" Target="http://www.sec.gov/Archives/edgar/data/813298/000156459018018156/dxlg-ex101_6.htm" TargetMode="External"/><Relationship Id="rId121" Type="http://schemas.openxmlformats.org/officeDocument/2006/relationships/hyperlink" Target="http://www.sec.gov/Archives/edgar/data/813298/000156459018030312/dxlg-ex101_8.htm" TargetMode="External"/><Relationship Id="rId122" Type="http://schemas.openxmlformats.org/officeDocument/2006/relationships/hyperlink" Target="http://www.sec.gov/Archives/edgar/data/813298/000156459019003353/dxlg-ex101_6.htm" TargetMode="External"/><Relationship Id="rId123" Type="http://schemas.openxmlformats.org/officeDocument/2006/relationships/hyperlink" Target="http://www.sec.gov/Archives/edgar/data/813298/000156459018006679/dxlg-ex1038_17.htm" TargetMode="External"/><Relationship Id="rId124" Type="http://schemas.openxmlformats.org/officeDocument/2006/relationships/hyperlink" Target="http://www.sec.gov/Archives/edgar/data/813298/000156459018024045/dxlg-ex101_51.htm" TargetMode="External"/><Relationship Id="rId125" Type="http://schemas.openxmlformats.org/officeDocument/2006/relationships/hyperlink" Target="http://www.sec.gov/Archives/edgar/data/813298/000156459018006679/dxlg-ex1032_18.htm" TargetMode="External"/><Relationship Id="rId126" Type="http://schemas.openxmlformats.org/officeDocument/2006/relationships/hyperlink" Target="http://www.sec.gov/Archives/edgar/data/813298/000156459018014689/dxlg-ex102_68.htm" TargetMode="External"/><Relationship Id="rId127" Type="http://schemas.openxmlformats.org/officeDocument/2006/relationships/hyperlink" Target="http://www.sec.gov/Archives/edgar/data/813298/000119312510003992/dex102.htm" TargetMode="External"/><Relationship Id="rId128" Type="http://schemas.openxmlformats.org/officeDocument/2006/relationships/hyperlink" Target="http://www.sec.gov/Archives/edgar/data/813298/000119312510061836/dex1034.htm" TargetMode="External"/><Relationship Id="rId129" Type="http://schemas.openxmlformats.org/officeDocument/2006/relationships/hyperlink" Target="http://www.sec.gov/Archives/edgar/data/813298/000156459015007593/dxlg-ex102_92.htm" TargetMode="External"/><Relationship Id="rId130" Type="http://schemas.openxmlformats.org/officeDocument/2006/relationships/hyperlink" Target="http://www.sec.gov/Archives/edgar/data/813298/000156459018006679/dxlg-ex1041_16.htm" TargetMode="External"/><Relationship Id="rId131" Type="http://schemas.openxmlformats.org/officeDocument/2006/relationships/hyperlink" Target="http://www.sec.gov/Archives/edgar/data/813298/000156459017004804/dxlg-ex1049_1026.htm" TargetMode="External"/><Relationship Id="rId132" Type="http://schemas.openxmlformats.org/officeDocument/2006/relationships/hyperlink" Target="http://www.sec.gov/Archives/edgar/data/813298/000156459017004804/dxlg-ex1050_70.htm" TargetMode="External"/><Relationship Id="rId133" Type="http://schemas.openxmlformats.org/officeDocument/2006/relationships/hyperlink" Target="http://www.sec.gov/Archives/edgar/data/813298/000156459018016002/dxlg-ex101_6.htm" TargetMode="External"/><Relationship Id="rId134" Type="http://schemas.openxmlformats.org/officeDocument/2006/relationships/hyperlink" Target="http://www.sec.gov/Archives/edgar/data/813298/000156459018030322/dxlg-ex101_13.htm" TargetMode="External"/><Relationship Id="rId137" Type="http://schemas.openxmlformats.org/officeDocument/2006/relationships/hyperlink" Target="http://www.sec.gov/Archives/edgar/data/813298/000119312503090962/dex104.htm" TargetMode="External"/><Relationship Id="rId138" Type="http://schemas.openxmlformats.org/officeDocument/2006/relationships/hyperlink" Target="http://www.sec.gov/Archives/edgar/data/813298/000156459017024740/dxlg-ex101_6.htm" TargetMode="External"/><Relationship Id="rId139" Type="http://schemas.openxmlformats.org/officeDocument/2006/relationships/hyperlink" Target="http://www.sec.gov/Archives/edgar/data/813298/000156459017023975/dxlg-ex101_8.htm" TargetMode="External"/><Relationship Id="rId140" Type="http://schemas.openxmlformats.org/officeDocument/2006/relationships/hyperlink" Target="http://www.sec.gov/Archives/edgar/data/813298/000156459018015452/dxlg-ex101_6.htm" TargetMode="External"/><Relationship Id="rId141" Type="http://schemas.openxmlformats.org/officeDocument/2006/relationships/hyperlink" Target="http://www.sec.gov/Archives/edgar/data/813298/000119312506019470/dex101.htm" TargetMode="External"/><Relationship Id="rId142" Type="http://schemas.openxmlformats.org/officeDocument/2006/relationships/hyperlink" Target="http://www.sec.gov/Archives/edgar/data/813298/000119312506019470/dex102.htm" TargetMode="External"/><Relationship Id="rId143" Type="http://schemas.openxmlformats.org/officeDocument/2006/relationships/hyperlink" Target="http://www.sec.gov/Archives/edgar/data/813298/000119312506019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2019-12-28T14:23:12Z</dcterms:created>
  <dcterms:modified xsi:type="dcterms:W3CDTF">2019-12-28T14:23:12Z</dcterms:modified>
</cp:coreProperties>
</file>