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079"/>
        <w:spacing w:after="0"/>
        <w:rPr>
          <w:sz w:val="20"/>
          <w:szCs w:val="20"/>
          <w:color w:val="auto"/>
        </w:rPr>
      </w:pPr>
      <w:r>
        <w:rPr>
          <w:rFonts w:ascii="Courier New" w:cs="Courier New" w:eastAsia="Courier New" w:hAnsi="Courier New"/>
          <w:sz w:val="15"/>
          <w:szCs w:val="15"/>
          <w:color w:val="auto"/>
        </w:rPr>
        <w:t>Filed pursuant to Rule 424(b)(3)</w:t>
      </w:r>
    </w:p>
    <w:p>
      <w:pPr>
        <w:spacing w:after="0" w:line="2"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5"/>
          <w:szCs w:val="15"/>
          <w:color w:val="auto"/>
        </w:rPr>
        <w:t>Registration NO. 333-90742</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24,809,338 SHARES</w:t>
      </w:r>
    </w:p>
    <w:p>
      <w:pPr>
        <w:spacing w:after="0" w:line="174"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CASUAL MALE RETAIL GROUP, INC.</w:t>
      </w:r>
    </w:p>
    <w:p>
      <w:pPr>
        <w:spacing w:after="0" w:line="174" w:lineRule="exact"/>
        <w:rPr>
          <w:sz w:val="24"/>
          <w:szCs w:val="24"/>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4"/>
          <w:szCs w:val="24"/>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This prospectus relates to the offer and sale by the selling stockholders listed beginning on page 10 of up to 24,809,338 shares of common stock, par value $0.01 per share, of Casual Male Retail Group, Inc. (formerly known as Designs, Inc.), consisting of (i) 1,379,300 shares of recently issued common stock, (ii) 18,016,200 shares of common stock issued following the conversion on August 8, 2002 of our series B convertible preferred stock, par value $0.01 per share, (iii) 3,391,471 shares of common stock issuable upon exercise of outstanding warrants, (iv) 1,140,000 shares of common stock issuable upon exercise of outstanding options and (v) 882,367 presently outstanding shares of common stock.</w:t>
      </w:r>
    </w:p>
    <w:p>
      <w:pPr>
        <w:spacing w:after="0" w:line="179" w:lineRule="exact"/>
        <w:rPr>
          <w:sz w:val="24"/>
          <w:szCs w:val="24"/>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issued 1,379,300 shares of common stock and 180,162 shares of series B preferred stock to certain selling stockholders in various private placement transactions in April and May 2002. Each share of series B preferred stock was automatically converted into 100 shares of common stock following the approval of the issuance of such common stock by our stockholders at the annual meeting of stockholders held on August 8, 2002. The selling stockholders may sell all or some of their respective shares offered pursuant to is prospectus through public or private transactions, at prevailing market prices, or at privately negotiated prices. We will not receive any proceeds from the sale of any of the shares by the selling stockholders.</w:t>
      </w:r>
    </w:p>
    <w:p>
      <w:pPr>
        <w:spacing w:after="0" w:line="179" w:lineRule="exact"/>
        <w:rPr>
          <w:sz w:val="24"/>
          <w:szCs w:val="24"/>
          <w:color w:val="auto"/>
        </w:rPr>
      </w:pPr>
    </w:p>
    <w:p>
      <w:pPr>
        <w:ind w:right="3159" w:firstLine="716"/>
        <w:spacing w:after="0" w:line="267" w:lineRule="auto"/>
        <w:rPr>
          <w:sz w:val="20"/>
          <w:szCs w:val="20"/>
          <w:color w:val="auto"/>
        </w:rPr>
      </w:pPr>
      <w:r>
        <w:rPr>
          <w:rFonts w:ascii="Courier New" w:cs="Courier New" w:eastAsia="Courier New" w:hAnsi="Courier New"/>
          <w:sz w:val="14"/>
          <w:szCs w:val="14"/>
          <w:color w:val="auto"/>
        </w:rPr>
        <w:t>Our common stock is listed on the Nasdaq National Market under the symbol "CMRG" (and was formerly listed under the symbol "DESI"). On September 10, 2002, the last reported sale price of our common stock was $4.99 per share.</w:t>
      </w:r>
    </w:p>
    <w:p>
      <w:pPr>
        <w:spacing w:after="0" w:line="15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Investing in our common stock involves risks. See "Risk Factors"</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beginning on page 4.</w:t>
      </w:r>
    </w:p>
    <w:p>
      <w:pPr>
        <w:spacing w:after="0" w:line="176" w:lineRule="exact"/>
        <w:rPr>
          <w:sz w:val="24"/>
          <w:szCs w:val="24"/>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ind w:left="1340"/>
              <w:spacing w:after="0"/>
              <w:rPr>
                <w:sz w:val="20"/>
                <w:szCs w:val="20"/>
                <w:color w:val="auto"/>
              </w:rPr>
            </w:pPr>
            <w:r>
              <w:rPr>
                <w:rFonts w:ascii="Courier New" w:cs="Courier New" w:eastAsia="Courier New" w:hAnsi="Courier New"/>
                <w:sz w:val="15"/>
                <w:szCs w:val="15"/>
                <w:color w:val="auto"/>
              </w:rPr>
              <w:t>The date of this prospectus is September 11, 2002.</w:t>
            </w:r>
          </w:p>
        </w:tc>
        <w:tc>
          <w:tcPr>
            <w:tcW w:w="180" w:type="dxa"/>
            <w:vAlign w:val="bottom"/>
          </w:tcPr>
          <w:p>
            <w:pPr>
              <w:spacing w:after="0"/>
              <w:rPr>
                <w:sz w:val="14"/>
                <w:szCs w:val="14"/>
                <w:color w:val="auto"/>
              </w:rPr>
            </w:pPr>
          </w:p>
        </w:tc>
      </w:tr>
      <w:tr>
        <w:trPr>
          <w:trHeight w:val="837"/>
        </w:trPr>
        <w:tc>
          <w:tcPr>
            <w:tcW w:w="6880" w:type="dxa"/>
            <w:vAlign w:val="bottom"/>
          </w:tcPr>
          <w:p>
            <w:pPr>
              <w:ind w:left="2860"/>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24"/>
                <w:szCs w:val="24"/>
                <w:color w:val="auto"/>
              </w:rPr>
            </w:pPr>
          </w:p>
        </w:tc>
      </w:tr>
      <w:tr>
        <w:trPr>
          <w:trHeight w:val="516"/>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THE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RECENT DEVELOPMENTS...........................................................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RISK FACTORS..................................................................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FORWARD-LOOKING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DIVIDENDS....................................................................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USE OF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SELLING 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PLAN OF DISTRIBUTION.........................................................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WHERE YOU CAN FIND MORE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516"/>
        </w:trPr>
        <w:tc>
          <w:tcPr>
            <w:tcW w:w="6880" w:type="dxa"/>
            <w:vAlign w:val="bottom"/>
          </w:tcPr>
          <w:p>
            <w:pPr>
              <w:ind w:left="2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r>
    </w:tbl>
    <w:p>
      <w:pPr>
        <w:spacing w:after="0" w:line="176" w:lineRule="exact"/>
        <w:rPr>
          <w:sz w:val="24"/>
          <w:szCs w:val="24"/>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You should rely only on the information or representations provided in this prospectus or incorporated by reference into this prospectus. We have not authorized anyone to provide you with any different information or to make any different representations in connection with any offering made by this prospectus. This prospectus does not constitute an offer to sell, or a solicitation of an offer to buy, in any state where the offer or sale is prohibited. Neither the delivery of this prospectus, nor any sale made under this prospectus shall, under any circumstances, imply that the information in this prospectus is correct as of any date after the date of this prospectus.</w:t>
      </w:r>
    </w:p>
    <w:p>
      <w:pPr>
        <w:spacing w:after="0" w:line="176"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18"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31" w:right="1440" w:bottom="70" w:gutter="0" w:footer="0" w:header="0"/>
        </w:sectPr>
      </w:pPr>
    </w:p>
    <w:bookmarkStart w:id="1" w:name="page2"/>
    <w:bookmarkEnd w:id="1"/>
    <w:p>
      <w:pPr>
        <w:ind w:left="312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Casual Male Retail Group, Inc. (formerly known as Designs, Inc.) is a publicly traded, Massachusetts-based brand retail operator which has historically specialized in selling quality branded apparel and accessories in outlet malls throughout the eastern part of the United States and Puerto Rico. All references in this prospectus to "Casual Male Retail Group," the "Company," "we," "us" and "our" are to Casual Male Retail Group, Inc. and its subsidiaries. For over 25 years, through a license agreement with Levi Strauss &amp; Co., we owned and operated retail outlet stores selling exclusively Levi's(R) branded merchandise.</w:t>
      </w:r>
    </w:p>
    <w:p>
      <w:pPr>
        <w:spacing w:after="0" w:line="178"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Expanding upon our core competency of operating retail stores for branded apparel in the outlet channel of distribution, we recently entered into the following arrangements with two well-known apparel manufacturers:</w:t>
      </w:r>
    </w:p>
    <w:p>
      <w:pPr>
        <w:spacing w:after="0" w:line="176" w:lineRule="exact"/>
        <w:rPr>
          <w:sz w:val="20"/>
          <w:szCs w:val="20"/>
          <w:color w:val="auto"/>
        </w:rPr>
      </w:pPr>
    </w:p>
    <w:p>
      <w:pPr>
        <w:ind w:left="880" w:right="3079" w:hanging="441"/>
        <w:spacing w:after="0" w:line="242"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2002, we entered into a license agreement with Candie's, Inc., a leading designer and marketer of young women's footwear, apparel and accessories. Under this license agreement, we plan, over the next five years, to open and operate 75 Candie's(R) branded retail stores in outlet malls and value centers throughout the United States. We plan to open 11 Candie's(R) branded stores in outlet malls during the fiscal year ending February 1, 2003.</w:t>
      </w:r>
    </w:p>
    <w:p>
      <w:pPr>
        <w:spacing w:after="0" w:line="176" w:lineRule="exact"/>
        <w:rPr>
          <w:rFonts w:ascii="Courier New" w:cs="Courier New" w:eastAsia="Courier New" w:hAnsi="Courier New"/>
          <w:sz w:val="15"/>
          <w:szCs w:val="15"/>
          <w:color w:val="auto"/>
        </w:rPr>
      </w:pPr>
    </w:p>
    <w:p>
      <w:pPr>
        <w:ind w:left="880" w:right="3339" w:hanging="441"/>
        <w:spacing w:after="0" w:line="262" w:lineRule="auto"/>
        <w:tabs>
          <w:tab w:leader="none" w:pos="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2002, we finalized an exclusive joint venture agreement with EcKo Complex, LLC, a leading design-driven lifestyle brand targeting young men and women. EcKo has worldwide annual sales exceeding $200 million. Under the joint venture agreement, we will open and operate 75 EcKo(R) branded outlet stores throughout the United States over a six-year period. We plan to open five EcKo(R) branded outlet stores during fiscal 2003.</w:t>
      </w:r>
    </w:p>
    <w:p>
      <w:pPr>
        <w:spacing w:after="0" w:line="164"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are continuing discussions with several other manufacturers as we strive to become a premier operator of branded retail outlet stores. We believe that manufacturers will find Casual Male Retail Group as their logical solution for an outlet channel of distribution of their branded merchandise.</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As of May 14, 2002, pursuant to an asset purchase agreement entered into as of May 2, 2002, by the Company, Casual Male Corp. and certain of its subsidiaries (which we refer to, collectively, as "old Casual Male"), we completed the acquisition of substantially all of the assets of old Casual Male for a purchase price of approximately $170 million, plus the assumption of certain operating liabilities. We were selected as the highest and best bidder for the old Casual Male assets at a bankruptcy court ordered auction commencing on May 1, 2002 and concluding on May 2, 2002, and our acquisition of old Casual Male was approved by the court on May 7, 2002.</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Old Casual Male was a leading independent specialty retailer of fashion, casual and dress apparel for big and tall men with annual sales that exceeded $350 million. Old Casual Male sold its branded merchandise through various channels of distribution including full price and outlet retail stores, direct mail and the internet. Old Casual Male had been operating under the protection of the U.S. Bankruptcy Court since May 2001.</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Casual Male acquisition, along with the payment of certain related fees and expenses, was completed with funds provided by: (i) approximately $30.2 million in additional borrowings from our amended three-year $120.0 million senior secured credit facility with our bank, Fleet Retail Finance, Inc., (ii) $15.0 million in a three-year term loan with a subsidiary of Fleet Retail Finance, (iii) proceeds from the private placement in April and May 2002 of $24.5 million principal amount of 12% senior subordinated notes due 2007 together with detachable warrants to acquire 1,715,000 shares of our common stock at an exercise price of $0.01 per share and additional detachable warrants to acquire 1,176,471 shares of our common stock at an exercise price of $8.50 per share, (iv) proceeds from the private placement in April and May 2002 of $11.0 million principal amount of 5% senior subordinated notes due 2007, (v) approximately $82.5 million of proceeds from the private placement in April and May 2002 of approximately 1,379,300 shares of newly issued common stock and 180,162 shares of series B preferred stock, and (vi) the assumption of a mortgage note in a principal amount of approximately $12.2 million.</w:t>
      </w:r>
    </w:p>
    <w:p>
      <w:pPr>
        <w:spacing w:after="0" w:line="183" w:lineRule="exact"/>
        <w:rPr>
          <w:sz w:val="20"/>
          <w:szCs w:val="20"/>
          <w:color w:val="auto"/>
        </w:rPr>
      </w:pPr>
    </w:p>
    <w:p>
      <w:pPr>
        <w:ind w:right="3519" w:firstLine="716"/>
        <w:spacing w:after="0" w:line="274" w:lineRule="auto"/>
        <w:rPr>
          <w:sz w:val="20"/>
          <w:szCs w:val="20"/>
          <w:color w:val="auto"/>
        </w:rPr>
      </w:pPr>
      <w:r>
        <w:rPr>
          <w:rFonts w:ascii="Courier New" w:cs="Courier New" w:eastAsia="Courier New" w:hAnsi="Courier New"/>
          <w:sz w:val="14"/>
          <w:szCs w:val="14"/>
          <w:color w:val="auto"/>
        </w:rPr>
        <w:t>Our principle executive offices are located at 555 Turnpike Street, Canton, Massachusetts 02021, and our telephone number is (781) 828-9300.</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2" w:name="page3"/>
    <w:bookmarkEnd w:id="2"/>
    <w:p>
      <w:pPr>
        <w:ind w:left="2760"/>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At the Company's annual meeting of stockholders held on August 8, 2002, the stockholders of the Company voted in favor of changing the Company's corporate name from Designs, Inc. to Casual Male Retail Group, Inc. Also at the annual meeting, the stockholders voted in favor of (i) changing the Company's state of incorporation from Delaware to Nevada, (ii) increasing the number of authorized shares of common stock from 50,000,000 shares to 75,000,000 shares and (iii) issuing additional shares of common stock upon the conversion of the Company's series B preferred stock and the exercise of certain outstanding warrants.</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On August 7, 2002, the Company announced that due to the continued erosion of the Levi's brand in the marketplace and Levi Strauss &amp; Co.'s consistent inability to provide a balanced assortment of product for our Levi's(R) and Dockers(R) stores, the Company evaluated the current trends of its Levi's(R)/Dockers(R) outlet stores as a result of the continuing comparable store sale decreases the business was experiencing. As a result, the Company plans to close between 34 and 40 Levi's(R)/Dockers(R) stores, combine 6 to 8 other stores and reduce the square footage in another 20 to 25 stores. The Company expects to close between 15 and 20 Levi's(R) and Dockers(R) outlet stores over the next twelve to eighteen months, and has already started negotiations with several landlords to terminate leases on the remaining underperforming stores. At the same time, the Company is continuing to execute its integration plan to combine the operations of Designs, Inc. with Casual Male and is in the process of relocating the Company's distribution facility and corporate offices to Canton, Massachusetts.</w:t>
      </w:r>
    </w:p>
    <w:p>
      <w:pPr>
        <w:spacing w:after="0" w:line="182"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On August 23, 2002, the Company announced its second quarter financial results. For the second quarter of fiscal 2003, the Company reported a net loss of $12.9 million, which includes restructuring charges totaling $11.0 million, primarily related to the previously announced restructuring of the Company's Levi's(R)/Dockers(R) business and the integration of the Casual Male operations. This compares to a net income of $0.7 million in the corresponding period of the prior year. For the six months ended August 3, 2002, the Company reported a net loss of $14.7 million, of which $11.0 million relates to the aforementioned restructuring charges recorded in the second quarter of fiscal 2003. This compares to a net loss of $0.7 million in the corresponding period of the prior year. As a result of the restructuring charge, the income tax benefit previously recorded in the first quarter of the current year was reversed in the second quarter, such that no income tax benefit has been recognized in the year-to-date results. Without the impact of the $11.0 million restructuring charge, the Company would have reported a net loss of $0.5 million for the second quarter of fiscal 2003 and a net loss of $2.3 million for the six months ended August 3, 2002.</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Investing in shares of our common stock involves a high degree of risk. You should carefully consider the following risk factors and all other information contained in this prospectus before purchasing our common stock. The risks and uncertainties described below are those that we currently believe may materially affect our company. Additional risks and uncertainties may also impair our business operations. If the following risks actually occur, our business, financial condition and results of operations could be seriously harmed, the trading price of our common stock could decline and you could lose all or part of your investment.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the Market in Which We Operate</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sales will suffer if we fail to accurately predict changing fashion trends and consumer preferences.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Our business is dependent upon our being able to predict fashion trends, customer preferences and other fashion-related factors. Customer tastes and fashion trends are volatile and tend to change rapidly. Our success depends in large part upon management's ability to effectively predict and respond to changing fashion tastes and consumer demands and to translate market trends to appropriate saleable product offerings far in advance. If we are unable to successfully predict or respond to changing styles or trends and misjudge the market for our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profit margins and profits. In addition, the failure to satisfy consumer demand could have serious longer-term consequences, such as an adverse impact on our brand recognition and the loss of market share to our competitors if our customer base comes to believe that other retailers are more successfully addressing their preferences.</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3" w:name="page4"/>
    <w:bookmarkEnd w:id="3"/>
    <w:p>
      <w:pPr>
        <w:ind w:right="3079"/>
        <w:spacing w:after="0"/>
        <w:rPr>
          <w:sz w:val="20"/>
          <w:szCs w:val="20"/>
          <w:color w:val="auto"/>
        </w:rPr>
      </w:pPr>
      <w:r>
        <w:rPr>
          <w:rFonts w:ascii="Courier New" w:cs="Courier New" w:eastAsia="Courier New" w:hAnsi="Courier New"/>
          <w:sz w:val="15"/>
          <w:szCs w:val="15"/>
          <w:color w:val="auto"/>
        </w:rPr>
        <w:t>Macroeconomic factors adversely affecting the retail industry could also cause a decrease our retail sales which would negatively impact our profitability.</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Our sales could be negatively impacted by a weak retail environment caused by a decline in consumer confidence and ultimately a reduction in consumer spending for such discretionary items such as apparel, which become a lower priority than necessities such as food and housing. Apparel retailers are subject to general economic conditions and purchases of apparel may decline at any time, especially during recessionary periods. In addition, our financial performance is also sensitive to changes in consumer spending trends and shopping patterns.</w:t>
      </w:r>
    </w:p>
    <w:p>
      <w:pPr>
        <w:spacing w:after="0" w:line="177"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understand that the retail industry can be adversely affected by certain economic factors outside of our control that would affect our costs as well as consumer spending behavior. Some of these factors include rising interest rates, negative consumer sentiment brought about by uncertainty over economic recovery and national security, inflation, and rising unemployment. Further, it is well-known in the apparel industry that when economic conditions worsen, men are more reluctant than women and children to shop for clothes for themselves. Because over 80% of our sales are attributable to men's apparel, we would be especially sensitive to such a decline. We have no ability to predict or control these economic and political variables.</w:t>
      </w:r>
    </w:p>
    <w:p>
      <w:pPr>
        <w:spacing w:after="0" w:line="179"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We could lose market share to competitors in the retail industry, which would cause a decline in our revenues and have a serious adverse impact on our profitability.</w:t>
      </w:r>
    </w:p>
    <w:p>
      <w:pPr>
        <w:spacing w:after="0" w:line="176"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The United States casual apparel market, men's big and tall market and footwear industry are highly competitive with many national and regional department stores, specialty apparel retailers and discount stores offering a broad range of apparel products similar to the products that we sell. Besides retail competitors, we consider any casual apparel manufacturer operating in outlet parks throughout the United States to be a competitor in the casual apparel market. Due to consolidation in the men's apparel industry, it is possible that another competitor, either a mass merchant or a men's specialty store or specialty apparel catalog, could gain market share in men's big and tall apparel due to more favorable pricing, locations, brand and fashion assortment and size availability. Recently, sales of Levi's(R) brand jeans have been impacted by the increased competition from private labels as well as fashion jeans market entrants and by a decrease in national sales trends of Levi's(R) brand products. Our future Candie's(R) Outlet stores face substantial competition in each of our product lines from, among other brands, Skechers, Steve Madden and Esprit. The presence in the marketplace of various fashion trends and the limited availability of shelf space also can affect competition.</w:t>
      </w:r>
    </w:p>
    <w:p>
      <w:pPr>
        <w:spacing w:after="0" w:line="337" w:lineRule="exact"/>
        <w:rPr>
          <w:sz w:val="20"/>
          <w:szCs w:val="20"/>
          <w:color w:val="auto"/>
        </w:rPr>
      </w:pPr>
    </w:p>
    <w:p>
      <w:pPr>
        <w:jc w:val="both"/>
        <w:ind w:right="3159" w:firstLine="716"/>
        <w:spacing w:after="0" w:line="241" w:lineRule="auto"/>
        <w:rPr>
          <w:sz w:val="20"/>
          <w:szCs w:val="20"/>
          <w:color w:val="auto"/>
        </w:rPr>
      </w:pPr>
      <w:r>
        <w:rPr>
          <w:rFonts w:ascii="Courier New" w:cs="Courier New" w:eastAsia="Courier New" w:hAnsi="Courier New"/>
          <w:sz w:val="15"/>
          <w:szCs w:val="15"/>
          <w:color w:val="auto"/>
        </w:rPr>
        <w:t>We may not be able to compete successfully with our competitors in the future and could lose brand recognition and market share. A significant loss of market share would put the Company's revenues and profitability at risk.</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Our advertising and promotion efforts, while increasing costs, may not result in increased sales.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Our business is directly affected by the success or failure of the advertising and promotional efforts of the Company and our vendors. Future advertising efforts of our company, our vendors or our other licensors may be costly and may not result in increased sales. If a major advertising campaign were undertaken without success, then the Company's failure to realize any revenues from its advertising and promotional expenditures, together with the possible resulting erosion of brand recognition and loss of market share, would have a negative impact upon the Company's revenues. In either case, increased costs and decreased margins, accompanied by static or decreased revenues, would cause a decline in the Company's profitability.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Operations</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Our business is likely to be damaged if we are unable to keep certain key personnel.</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Our future success is dependent on the personal efforts, performance and abilities of our key management. Although none of our senior executives is close to retirement age and we are not currently aware of any tensions between management and any senior executive, there is always the possibility that a key member of the management team could become unwilling or unable to continue in that capacity for other reasons. For example, the loss of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4" w:name="page5"/>
    <w:bookmarkEnd w:id="4"/>
    <w:p>
      <w:pPr>
        <w:ind w:right="3079"/>
        <w:spacing w:after="0" w:line="242" w:lineRule="auto"/>
        <w:rPr>
          <w:sz w:val="20"/>
          <w:szCs w:val="20"/>
          <w:color w:val="auto"/>
        </w:rPr>
      </w:pPr>
      <w:r>
        <w:rPr>
          <w:rFonts w:ascii="Courier New" w:cs="Courier New" w:eastAsia="Courier New" w:hAnsi="Courier New"/>
          <w:sz w:val="15"/>
          <w:szCs w:val="15"/>
          <w:color w:val="auto"/>
        </w:rPr>
        <w:t>services of the Company's chief executive officer, David Levin, or its chief financial officer, Dennis Hernreich, both of whom are an integral part of our daily operations and primary decision makers in all operating matters, could significantly impact the business, until adequate replacements can be identified and put in place, by causing a loss of organizational focus, poor operating execution, or both. In addition, the loss of our chief executive officer and chief financial officer, each of whom has many years of senior executive experience in the retail apparel industry, could materially reduce our ability to identify and execute potential strategic initiatives such as joint venture and licensing opportunities, the establishment of new store locations, and possible acquisitions. That could, among other things, reduce potential revenues, prevent us from diversifying from more limited product lines and geographic concentrations, and expose us to downturns in those markets. The loss of those individuals as well as our chairman,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an erosion in the Company's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188"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If we fail to adequately upgrade and enhance our information systems and control procedures, our systems may not be able to support our requirements.</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The Company depends heavily upon technology and information systems to control inventory, sales, markdowns, merchandise on hand and other critical information. We periodically review, improve and, under certain circumstances, replace our technology and management information systems to provide enhanced support to all operating areas of our company. Currently, the Company is undergoing a significant effort to replace Casual Male's existing antiquated legacy systems, as part of the process of integrating the historical Designs, Inc. and Casual Male operations.</w:t>
      </w:r>
    </w:p>
    <w:p>
      <w:pPr>
        <w:spacing w:after="0" w:line="177"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It is critically important to the successful operation of the Company that the implementation of the systems integration process, which entails the replacement, enhancement, or upgrade of all Casual Male's vital information systems, be completed timely without disruption to the daily operations of the Company. The Company anticipates that the implementation will require approximately 12 months to complete.</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However, we may not be able to successfully implement required enhancements to our operating systems in the future. If such upgrades and enhancements are not successfully implemented, then our current systems may not be able to continue to support adequately our future management information requirements.</w:t>
      </w:r>
    </w:p>
    <w:p>
      <w:pPr>
        <w:spacing w:after="0" w:line="175"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Any significant deficiencies in our management information systems resulting in less than optimal systems performance could have a negative impact upon the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the Company's sales could be severely impacted, or its gross margins could easily erode.</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If we fail to continue to improve upon and enhance our present management information systems, then we may not be able to resolve or eliminate any existing or potential difficulties, which could have a significant impact on our business and results of operations.</w:t>
      </w:r>
    </w:p>
    <w:p>
      <w:pPr>
        <w:spacing w:after="0" w:line="175"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If the third party manufacturers upon which we are dependent are unable or unwilling to meet our needs, then we may be unable to obtain sufficient products of adequate quality.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do not own or operate any manufacturing facilities and are therefore are entirely dependent on third parties for the manufacture of the products we sell, which are the core of our business. Without adequate supplies of merchandise to sell to our customers in the merchandise styles and fashions demanded by the Company's particular customer base, sales would decrease materially and the Company's business would be in jeopardy. Furthermore, approximately 75-80% of our merchandise are private label items made specifically for Casual Male and its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5" w:name="page6"/>
    <w:bookmarkEnd w:id="5"/>
    <w:p>
      <w:pPr>
        <w:ind w:right="3159"/>
        <w:spacing w:after="0" w:line="242" w:lineRule="auto"/>
        <w:rPr>
          <w:sz w:val="20"/>
          <w:szCs w:val="20"/>
          <w:color w:val="auto"/>
        </w:rPr>
      </w:pPr>
      <w:r>
        <w:rPr>
          <w:rFonts w:ascii="Courier New" w:cs="Courier New" w:eastAsia="Courier New" w:hAnsi="Courier New"/>
          <w:sz w:val="15"/>
          <w:szCs w:val="15"/>
          <w:color w:val="auto"/>
        </w:rPr>
        <w:t>or qualify such manufacturers for existing or new products in a timely manner and such manufacturers might not allocate sufficient capacity to us in order to meet our requirements. The consequences of not securing adequate and timely supplies of private label merchandise would negatively impact proper inventory levels, sales and gross margin rates, and ultimately the profitability of the Company.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and the amount of merchandise we sell, or the prices we charge for such merchandise, or both, would be reduced, decreasing our revenues and our profitability.</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profit margins, or both, will suffer.</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If our trademarks or licenses are compromised, then the market for our products could decline.</w:t>
      </w:r>
    </w:p>
    <w:p>
      <w:pPr>
        <w:spacing w:after="0" w:line="176"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We own and use a number of trademarks and operate under certain trademark license agreements. We believe that these trademarks have significant value and are instrumental in our ability to create and sustain demand for and market our products. We cannot assure that these trademarks and licensing agreements will remain in effect or that they will be renewed. In addition, any future disputes concerning these trademarks and licenses may cause us to incur significant litigation costs or force us to suspend use of the trademarks. For additional details about our license agreements, you should refer to our Annual Report on Form 10-K for the fiscal year ended February 2, 2002 (which we refer to as the "Form 10-K"), which is incorporated herein by reference.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not be able to successfully expand our operations as planned.</w:t>
      </w:r>
    </w:p>
    <w:p>
      <w:pPr>
        <w:spacing w:after="0" w:line="176" w:lineRule="exact"/>
        <w:rPr>
          <w:sz w:val="20"/>
          <w:szCs w:val="20"/>
          <w:color w:val="auto"/>
        </w:rPr>
      </w:pPr>
    </w:p>
    <w:p>
      <w:pPr>
        <w:ind w:right="3079" w:firstLine="716"/>
        <w:spacing w:after="0" w:line="261" w:lineRule="auto"/>
        <w:rPr>
          <w:sz w:val="20"/>
          <w:szCs w:val="20"/>
          <w:color w:val="auto"/>
        </w:rPr>
      </w:pPr>
      <w:r>
        <w:rPr>
          <w:rFonts w:ascii="Courier New" w:cs="Courier New" w:eastAsia="Courier New" w:hAnsi="Courier New"/>
          <w:sz w:val="14"/>
          <w:szCs w:val="14"/>
          <w:color w:val="auto"/>
        </w:rPr>
        <w:t>We plan to significantly expand our operations in fiscal 2003 by opening several new stores and we expect to have capital expenditures of approximately $4.0 million. Our expansion plans are discussed in detail in the Form 10-K. Our growth strategy depends on our ability to open and operate new retail stores on a profitable basis. Our operating complexity and management responsibilities will increase as we continue to grow, and we may face challenges in managing our future growth. This anticipated growth will require that we continue to expand and improve our operations, including our distribution infrastructure, and expand, train and manage our employee base. In addition, we may be unable to hire a sufficient number of qualified personnel to work in our new stores or to successfully integrate the stores into our business. Our expansion prospects also depend on a number of other factors, many of which are beyond our control, including, among other things: economic conditions, competition, and consumer preferences. We may not be able to achieve our store expansion goals and, even if we succeed in opening new stores as planned, our newly opened stores may not achieve revenue or profitability levels comparable to those of our existing stores in the time periods estimated by us, or at all.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Acts of terrorism or war could adversely impact our business.</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Additional actual or threatened acts of terrorism or war could negatively impact availability of merchandise or consumer spending trends and may otherwise adversely impact our business. Depending upon the nature of an attack or threatened attack, consumers may be unwilling or unable to go to our retail outlets or may otherwise decrease spending in general. A significant decrease in consumer spending could have a significant adverse impact on our revenues.</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addition, approximately 20% of the Company's merchandise is directly imported from other countries, and most of its remaining merchandise is supplied by U.S. domestic suppliers which source their goods from other countries. If imported goods become difficult or impossible to bring into the United States, and if we cannot obtain such merchandise from other sources at similar costs, then the Company's sales, gross margins and profit margins would significantly decline. Furthermore, in the event that commercial transportation is curtailed or substantially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6" w:name="page7"/>
    <w:bookmarkEnd w:id="6"/>
    <w:p>
      <w:pPr>
        <w:ind w:right="3159"/>
        <w:spacing w:after="0" w:line="242" w:lineRule="auto"/>
        <w:rPr>
          <w:sz w:val="20"/>
          <w:szCs w:val="20"/>
          <w:color w:val="auto"/>
        </w:rPr>
      </w:pPr>
      <w:r>
        <w:rPr>
          <w:rFonts w:ascii="Courier New" w:cs="Courier New" w:eastAsia="Courier New" w:hAnsi="Courier New"/>
          <w:sz w:val="15"/>
          <w:szCs w:val="15"/>
          <w:color w:val="auto"/>
        </w:rPr>
        <w:t>delayed, the Company may not be able to maintain adequate inventory levels of important merchandise levels on a consistent basis, which would negatively impact the Company's sales and potentially erode the confidence of its customer base, leading to further loss of sales and decline in profitability.</w:t>
      </w:r>
    </w:p>
    <w:p>
      <w:pPr>
        <w:spacing w:after="0" w:line="175" w:lineRule="exact"/>
        <w:rPr>
          <w:sz w:val="20"/>
          <w:szCs w:val="20"/>
          <w:color w:val="auto"/>
        </w:rPr>
      </w:pPr>
    </w:p>
    <w:p>
      <w:pPr>
        <w:jc w:val="both"/>
        <w:ind w:right="3159" w:firstLine="716"/>
        <w:spacing w:after="0" w:line="242" w:lineRule="auto"/>
        <w:rPr>
          <w:sz w:val="20"/>
          <w:szCs w:val="20"/>
          <w:color w:val="auto"/>
        </w:rPr>
      </w:pPr>
      <w:r>
        <w:rPr>
          <w:rFonts w:ascii="Courier New" w:cs="Courier New" w:eastAsia="Courier New" w:hAnsi="Courier New"/>
          <w:sz w:val="15"/>
          <w:szCs w:val="15"/>
          <w:color w:val="auto"/>
        </w:rPr>
        <w:t>In extreme circumstances, it may be necessary to close less productive stores so as to consolidate important merchandise categories into the Company's most productive stores which would severely impact the Company's profitability and cash flow.</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Additional issuances of our common stock would cause you to incur immediate dilution.</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In private placement transactions in April and May 2002, we issued shares of common stock, preferred stock convertible into common stock and warrants to purchase common stock. The issuance of common stock upon conversion of the preferred stock and exercise of the warrants and other issuances of additional common stock by us, from time to time, subjects our common stock to the dilutive effects of such issuances.</w:t>
      </w:r>
    </w:p>
    <w:p>
      <w:pPr>
        <w:spacing w:after="0" w:line="176"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Several provisions of our governing law could discourage, delay or prevent transactions that stockholders might otherwise consider favorable.</w:t>
      </w:r>
    </w:p>
    <w:p>
      <w:pPr>
        <w:spacing w:after="0" w:line="154"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It is possible that certain provisions of the Delaware corporate law or, if we change our state of incorporation from Delaware to Nevada (as approved at our annual meeting of stockholders on August 8, 2002), the Nevada corporate law may make it more difficult to accomplish transactions which stockholders may otherwise deem to be in their best interests. Such provisions may be deemed to have an anti-takeover effect and may delay, defer or prevent a tender offer or takeover attempt that might result in the receipt of a premium over the market price for the securities held by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Acquisition of Casual Male</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We may fail to realize the cost savings we anticipated from the Casual Male acquisition.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anticipate significant cost savings following our May 2002 acquisition of substantially all the assets of Casual Male, primarily through headcount reductions, renegotiation of contractual arrangements for supplies and services associated with the operation for more favorable pricing terms, elimination of inefficient and costly business processes and costs by streamlining the Company's management information systems and economies of scale in purchasing. It is possible that some of the contemplated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and reducing our expected profitability. If there are substantial failures to achieve these cost savings, cash flow and the servicing of debt related to the acquisition could also be reduced.</w:t>
      </w:r>
    </w:p>
    <w:p>
      <w:pPr>
        <w:spacing w:after="0" w:line="18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We may not be able to successfully integrate the Company's prior operations with the Casual Male operations.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Following the Casual Male acquisition, we face execution risk on two fronts: (i) successful post-acquisition integration of Casual Male operations and (ii) on-schedule store openings as outlined in our licensing and joint venture agreements with Candie's, Inc. and EcKo Complex, LLC, respectively. It is possible that unforeseen pitfalls during the post-acquisition integration effort could adversely affect our historical operation of operating branded outlet stores as well as our ability to operate the Casual Male stores effectively. In such an event, the Company's anticipated revenue growth may not be realized and the expected profit margins may not be achieved, and therefore the Company may not reach the level of profitability anticipated by management in connection with the acquisition. In an extreme case, the historical levels of both sales and profit margins for the different businesses could also be adversely impacted.</w:t>
      </w: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7" w:name="page8"/>
    <w:bookmarkEnd w:id="7"/>
    <w:p>
      <w:pPr>
        <w:ind w:right="3779"/>
        <w:spacing w:after="0"/>
        <w:rPr>
          <w:sz w:val="20"/>
          <w:szCs w:val="20"/>
          <w:color w:val="auto"/>
        </w:rPr>
      </w:pPr>
      <w:r>
        <w:rPr>
          <w:rFonts w:ascii="Courier New" w:cs="Courier New" w:eastAsia="Courier New" w:hAnsi="Courier New"/>
          <w:sz w:val="15"/>
          <w:szCs w:val="15"/>
          <w:color w:val="auto"/>
        </w:rPr>
        <w:t>We may not succeed in our efforts to manage multiple brands in different channels of distribution.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Several retailers have had problems executing a corporate strategy aimed at operating multiple brands in multiple channels. We have expertise in the outlet channel of distribution, but the Casual Male acquisition introduces operations in the specialty store and internet channels of distribution. We are now also responsible for all aspects of brand management with respect to the Casual Male brand, including advertising and promotion, and the servicing and merchandising of private label merchandise, which currently represent approximately 75-80% of Casual Male's merchandise inventory. Under the current operating model, this function is mostly the responsibility of the branded manufacturer. If the managing of multiple brands within multiple channels is poorly executed, the Company will not achieve its expected level of profitability, and could ultimately be compelled to eliminate the multiple brand strategy so that the organization may focus on a single brand strategy.</w:t>
      </w:r>
    </w:p>
    <w:p>
      <w:pPr>
        <w:spacing w:after="0" w:line="181"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If the size of our target demographic group shrinks, our sales are likely to decrease.</w:t>
      </w:r>
    </w:p>
    <w:p>
      <w:pPr>
        <w:spacing w:after="0" w:line="176" w:lineRule="exact"/>
        <w:rPr>
          <w:sz w:val="20"/>
          <w:szCs w:val="20"/>
          <w:color w:val="auto"/>
        </w:rPr>
      </w:pPr>
    </w:p>
    <w:p>
      <w:pPr>
        <w:jc w:val="both"/>
        <w:ind w:right="3159" w:firstLine="716"/>
        <w:spacing w:after="0" w:line="260" w:lineRule="auto"/>
        <w:rPr>
          <w:sz w:val="20"/>
          <w:szCs w:val="20"/>
          <w:color w:val="auto"/>
        </w:rPr>
      </w:pPr>
      <w:r>
        <w:rPr>
          <w:rFonts w:ascii="Courier New" w:cs="Courier New" w:eastAsia="Courier New" w:hAnsi="Courier New"/>
          <w:sz w:val="14"/>
          <w:szCs w:val="14"/>
          <w:color w:val="auto"/>
        </w:rPr>
        <w:t>Research provided to Casual Male by The NPD Group suggests that big and tall men accounted for approximately 11% of the total men's apparel market for 1999. Casual Male currently targets big and tall men in the 25-54 age group.</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However, as more and more food retailers begin to compete on the basis of providing more healthy menus, and American popular culture becomes more health conscious, the size of this target demographic could decrease, resulting in lower sales.</w:t>
      </w:r>
    </w:p>
    <w:p>
      <w:pPr>
        <w:spacing w:after="0" w:line="175"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Covenants with our lenders may prevent management from doing things that would otherwise be in the Company's best interests.</w:t>
      </w:r>
    </w:p>
    <w:p>
      <w:pPr>
        <w:spacing w:after="0" w:line="176"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The Third Amended and Restated Loan and Security Agreement that we entered into with Fleet Retail Finance and other lenders on May 14, 2002 contains numerous operating covenants that will limit the discretion of management with respect to certain business matters, and which will place restrictions on, among other things, our ability to incur additional indebtedness, to create liens or other encumbrances, and to make certain payments or investments, loans and guarantees. These restrictions can have a negative impact upon the Company being able to expend funds as it deems necessary, including for the opening of new store locations or the pursuit of potential acquisitions, joint ventures or other strategic initiatives, or enter into important contractual relationships for the improvement of the operation, which could ultimately negatively impact the Company's financial performance.</w:t>
      </w:r>
    </w:p>
    <w:p>
      <w:pPr>
        <w:spacing w:after="0" w:line="339"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Changes in the Company's credit profile following the Casual Male acquisition could have a detrimental effect on its relationship with its suppliers.</w:t>
      </w:r>
    </w:p>
    <w:p>
      <w:pPr>
        <w:spacing w:after="0" w:line="154" w:lineRule="exact"/>
        <w:rPr>
          <w:sz w:val="20"/>
          <w:szCs w:val="20"/>
          <w:color w:val="auto"/>
        </w:rPr>
      </w:pPr>
    </w:p>
    <w:p>
      <w:pPr>
        <w:ind w:right="3079" w:firstLine="716"/>
        <w:spacing w:after="0" w:line="261" w:lineRule="auto"/>
        <w:rPr>
          <w:sz w:val="20"/>
          <w:szCs w:val="20"/>
          <w:color w:val="auto"/>
        </w:rPr>
      </w:pPr>
      <w:r>
        <w:rPr>
          <w:rFonts w:ascii="Courier New" w:cs="Courier New" w:eastAsia="Courier New" w:hAnsi="Courier New"/>
          <w:sz w:val="14"/>
          <w:szCs w:val="14"/>
          <w:color w:val="auto"/>
        </w:rPr>
        <w:t>As a result of the additional debt we incurred to finance the Casual Male acquisition, we have become a highly leveraged company. This will have several important effects on our future operations including, but not limited to, (i) a substantial portion of our cash flow from operations must be dedicated to the payment of interest on our indebtedness and will not be available for other purposes, (ii) certain restrictions related to our borrowing may limit our ability to borrow additional funds or dispose of assets and may affect our flexibility in planning for, and reacting to, changes in it business, including other possible acquisition activities, and (iii) our ability to obtain additional financing in the future for working capital, capital expenditures, acquisitions, general corporate or other purposes may be impaired.</w:t>
      </w:r>
    </w:p>
    <w:p>
      <w:pPr>
        <w:spacing w:after="0" w:line="16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Based on the foregoing, our credit risk profile has changed from that of a historically unleveraged company to that of a highly leveraged company. As such, certain suppliers may change the terms under which they are willing to extend trade credit to us or the amount of such credit they are willing to extend at any one time. In both cases the amount of trade credit would be reduced, which would negatively impact the Company's working capital available for operating purposes, increase the borrowings under its revolving line of credit, and reduce the liquidity amount available under its revolving line of credit. In the event that suppliers reduce credit terms or place us on a cash-on-delivery (C.O.D.) basis, our working capital liquidity could be substantially reduced and we could have difficulty maintaining inventory levels or otherwise funding our operating needs.</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8" w:name="page9"/>
    <w:bookmarkEnd w:id="8"/>
    <w:p>
      <w:pPr>
        <w:jc w:val="center"/>
        <w:ind w:right="3079"/>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This prospectus contains forward looking statements, which include statements based on our current expectations, assumptions, estimates and projections about our business and our industry. The nature of forward-looking information is that such information involves assumptions, risks and uncertainties. Forward-looking information requires our management to make assumptions, estimates, forecasts and projections regarding our future results as well as the future effectiveness of our strategic plans and future operational decisions. Forward-looking statements made by us or on our behalf are subject to the risk that the forecasts, projections, and expectations of management, or assumptions underlying such forecasts, projections and expectations, may become inaccurate. Accordingly, our future financial positions, the actual results of our operations and the implementation of our plans and operations may differ materially from forward-looking statements made by us or on our behalf.</w:t>
      </w:r>
    </w:p>
    <w:p>
      <w:pPr>
        <w:spacing w:after="0" w:line="182"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use words such as "believes," "anticipates," "expects," "intends," "plans" and similar expressions to identify forward-looking statements, but these are not the exclusive means of identifying these statements. Actual results could differ materially from those projected in any forward-looking statements for the reasons detailed in "Risk Factors" or elsewhere in this prospectus. Before you decide to invest in our common stock, you should be aware that if any of the events described in the "Risk Factors" section and elsewhere in this prospectus occur, they could have an adverse affect on our business. We assume no obligation to update any forward-looking statement.</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716"/>
        <w:spacing w:after="0" w:line="265" w:lineRule="auto"/>
        <w:rPr>
          <w:sz w:val="20"/>
          <w:szCs w:val="20"/>
          <w:color w:val="auto"/>
        </w:rPr>
      </w:pPr>
      <w:r>
        <w:rPr>
          <w:rFonts w:ascii="Courier New" w:cs="Courier New" w:eastAsia="Courier New" w:hAnsi="Courier New"/>
          <w:sz w:val="14"/>
          <w:szCs w:val="14"/>
          <w:color w:val="auto"/>
        </w:rPr>
        <w:t>We presently intend to retain earnings for working capital and to fund capital expenditures. Accordingly, there is no present intention to pay dividends on any shares of our common stock. In addition, the Third Amended and Restated Loan and Security Agreement further restricts the payment of dividends.</w:t>
      </w:r>
    </w:p>
    <w:p>
      <w:pPr>
        <w:spacing w:after="0" w:line="15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We will not receive any proceeds from any sales of the shares offered pursuant to this prospectus.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SELLING STOCKHOLDERS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May 2002, we issued to certain investors who are selling stockholders hereunder a total of 180,162 shares of series B preferred stock and 1,379,300 shares of common stock, and we have issued to the placement agent for certain such transactions warrants to purchase 500,000 shares of common stock at an exercise price of $4.25 per share. Each share of series B preferred stock was automatically converted into 100 shares of common stock upon approval by our stockholders of the proposal to approve the issuance of common stock upon conversion of the series B preferred stock at the annual meeting of our stockholders held on August 8, 2002. These transactions and the process of stockholder approval are described more fully in our Current Report on Form 8-K filed on May 23, 2002, as amended on May 23, 2002 and June 14, 2002, and our definitive proxy statement filed on July 8, 2002, all of which are incorporated herein by reference.</w:t>
      </w:r>
    </w:p>
    <w:p>
      <w:pPr>
        <w:spacing w:after="0" w:line="181"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Also in April and May 2002, in connection with the private placement of our senior subordinated notes, we issued certain purchasers of such notes who are selling stockholders hereunder detachable warrants to purchase an aggregate of 2,891,471 shares of common stock with initial exercise prices ranging from $0.01 to $8.50 per share.</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following table sets forth information as of June 3, 2002, regarding the beneficial ownership of shares of common stock by the selling stockholders. The table presents the total number of shares of common stock owned by the selling stockholders prior to the offering contemplated by this prospectus, the total number of shares included in the offering and, assuming the selling stockholders will offer all of the shares listed in the table below pursuant to the offering contemplated by this prospectus, the total number of shares of common stock owned by the selling stockholders after completion of the offering. This prospectus offers, and the registration statement of which this prospectus forms a part registers, only the shares which are listed in the table below in the column titled "Number of shares of Offered Common Stock." Selling stockholders may sell only those shares pursuant to the offering. The presentation is based on (i) 15,989,343 shares of our common stock that were reported as outstanding on June 3, 2002, (ii) 18,016,200 shares of our common stock issued upon conversion of the series B preferred stock on August</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9" w:name="page10"/>
    <w:bookmarkEnd w:id="9"/>
    <w:p>
      <w:pPr>
        <w:ind w:right="4460"/>
        <w:spacing w:after="0"/>
        <w:rPr>
          <w:sz w:val="20"/>
          <w:szCs w:val="20"/>
          <w:color w:val="auto"/>
        </w:rPr>
      </w:pPr>
      <w:r>
        <w:rPr>
          <w:rFonts w:ascii="Courier New" w:cs="Courier New" w:eastAsia="Courier New" w:hAnsi="Courier New"/>
          <w:sz w:val="15"/>
          <w:szCs w:val="15"/>
          <w:color w:val="auto"/>
        </w:rPr>
        <w:t>8, 2002 and (iii) 4,531,471 shares of our common stock anticipated to be issued or issuable upon exercise of warrants and options.</w:t>
      </w:r>
    </w:p>
    <w:p>
      <w:pPr>
        <w:spacing w:after="0" w:line="176" w:lineRule="exact"/>
        <w:rPr>
          <w:sz w:val="20"/>
          <w:szCs w:val="20"/>
          <w:color w:val="auto"/>
        </w:rPr>
      </w:pPr>
    </w:p>
    <w:p>
      <w:pPr>
        <w:ind w:right="4380" w:firstLine="716"/>
        <w:spacing w:after="0" w:line="242" w:lineRule="auto"/>
        <w:rPr>
          <w:sz w:val="20"/>
          <w:szCs w:val="20"/>
          <w:color w:val="auto"/>
        </w:rPr>
      </w:pPr>
      <w:r>
        <w:rPr>
          <w:rFonts w:ascii="Courier New" w:cs="Courier New" w:eastAsia="Courier New" w:hAnsi="Courier New"/>
          <w:sz w:val="15"/>
          <w:szCs w:val="15"/>
          <w:color w:val="auto"/>
        </w:rPr>
        <w:t>The following table and notes following the table were prepared based on information provided to us by the listed selling stockholders. Other than as set forth in the footnotes to the following table, the selling stockholders have not had any material relationship with Casual Male Retail Group within the past three years.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outstanding</w:t>
            </w:r>
          </w:p>
        </w:tc>
      </w:tr>
      <w:tr>
        <w:trPr>
          <w:trHeight w:val="172"/>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shares</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3480" w:type="dxa"/>
            <w:vAlign w:val="bottom"/>
          </w:tcPr>
          <w:p>
            <w:pPr>
              <w:spacing w:after="0"/>
              <w:rPr>
                <w:sz w:val="14"/>
                <w:szCs w:val="14"/>
                <w:color w:val="auto"/>
              </w:rPr>
            </w:pP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shares owned</w:t>
            </w:r>
          </w:p>
        </w:tc>
      </w:tr>
      <w:tr>
        <w:trPr>
          <w:trHeight w:val="172"/>
        </w:trPr>
        <w:tc>
          <w:tcPr>
            <w:tcW w:w="3480" w:type="dxa"/>
            <w:vAlign w:val="bottom"/>
          </w:tcPr>
          <w:p>
            <w:pPr>
              <w:spacing w:after="0"/>
              <w:rPr>
                <w:sz w:val="14"/>
                <w:szCs w:val="14"/>
                <w:color w:val="auto"/>
              </w:rPr>
            </w:pP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subsequent</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subsequent</w:t>
            </w:r>
          </w:p>
        </w:tc>
      </w:tr>
      <w:tr>
        <w:trPr>
          <w:trHeight w:val="172"/>
        </w:trPr>
        <w:tc>
          <w:tcPr>
            <w:tcW w:w="3480" w:type="dxa"/>
            <w:vAlign w:val="bottom"/>
          </w:tcPr>
          <w:p>
            <w:pPr>
              <w:spacing w:after="0"/>
              <w:rPr>
                <w:sz w:val="14"/>
                <w:szCs w:val="14"/>
                <w:color w:val="auto"/>
              </w:rPr>
            </w:pP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to the</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to the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offering</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offering</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0"/>
                <w:szCs w:val="20"/>
                <w:color w:val="auto"/>
              </w:rPr>
            </w:pPr>
            <w:r>
              <w:rPr>
                <w:rFonts w:ascii="Courier New" w:cs="Courier New" w:eastAsia="Courier New" w:hAnsi="Courier New"/>
                <w:sz w:val="15"/>
                <w:szCs w:val="15"/>
                <w:color w:val="auto"/>
              </w:rPr>
              <w:t>300 Plaza Drive Associates</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Almarc Trading Corp. Defined Benefit</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Plan**</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AMT Asset Management,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Barclays Global Investors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33,000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33,000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Baron Asset Fund on behalf of</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3,760,353</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3,760,353</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the Small Cap Fund Series (1)**</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Benchmark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Bull Fund,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148,200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148,200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C.P.F.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66,800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Institutional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52,200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52,200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 Offshore,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94,200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46,100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46,100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The Branagh Revocable Trust, Peter W</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Branagh and Ramona Y. Branagh, Trustees</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Bric Retail,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10,600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Bric6,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225,200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218,400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Enhanced,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219,400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219,300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Managed Trust</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48,900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48,900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Offshore,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361,900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361,000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305,500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304,700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238,500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12,400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Bricoleur-Plus Fund,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10,600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Allen Brill</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Brook Road Nominee Trust</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Int'l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55,600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51,800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720,900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661,200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59,700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BY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289,800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289,800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Carafe Investment Co.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397,000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Clark Partners I, L.P. (2)</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2,346,359</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2,346,359</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Stewart L. Cohen</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Cragswood,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18,900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Kenneth C. Cummins (3)</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Walter Fischer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10,000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Glenhill Capital,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1,129,500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Glenhill Capital Overseas Partners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282,400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282,400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Howard Gonchar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Richard W. Greene IRA</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Jon D. Gruber &amp; Linda W. Gruber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58,900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4"/>
                <w:szCs w:val="24"/>
                <w:color w:val="auto"/>
              </w:rPr>
            </w:pPr>
          </w:p>
        </w:tc>
        <w:tc>
          <w:tcPr>
            <w:tcW w:w="3440" w:type="dxa"/>
            <w:vAlign w:val="bottom"/>
          </w:tcPr>
          <w:p>
            <w:pPr>
              <w:jc w:val="right"/>
              <w:ind w:right="3185"/>
              <w:spacing w:after="0"/>
              <w:rPr>
                <w:sz w:val="20"/>
                <w:szCs w:val="20"/>
                <w:color w:val="auto"/>
              </w:rPr>
            </w:pPr>
            <w:r>
              <w:rPr>
                <w:rFonts w:ascii="Courier New" w:cs="Courier New" w:eastAsia="Courier New" w:hAnsi="Courier New"/>
                <w:sz w:val="15"/>
                <w:szCs w:val="15"/>
                <w:color w:val="auto"/>
                <w:w w:val="88"/>
              </w:rPr>
              <w:t>11</w:t>
            </w: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20"/>
          </w:cols>
          <w:pgMar w:left="240" w:top="635" w:right="1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shares</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4680" w:type="dxa"/>
            <w:vAlign w:val="bottom"/>
          </w:tcPr>
          <w:p>
            <w:pPr>
              <w:spacing w:after="0"/>
              <w:rPr>
                <w:sz w:val="14"/>
                <w:szCs w:val="14"/>
                <w:color w:val="auto"/>
              </w:rPr>
            </w:pP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shares owned</w:t>
            </w:r>
          </w:p>
        </w:tc>
      </w:tr>
      <w:tr>
        <w:trPr>
          <w:trHeight w:val="172"/>
        </w:trPr>
        <w:tc>
          <w:tcPr>
            <w:tcW w:w="4680" w:type="dxa"/>
            <w:vAlign w:val="bottom"/>
          </w:tcPr>
          <w:p>
            <w:pPr>
              <w:spacing w:after="0"/>
              <w:rPr>
                <w:sz w:val="14"/>
                <w:szCs w:val="14"/>
                <w:color w:val="auto"/>
              </w:rPr>
            </w:pP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subsequent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subsequent</w:t>
            </w:r>
          </w:p>
        </w:tc>
      </w:tr>
      <w:tr>
        <w:trPr>
          <w:trHeight w:val="172"/>
        </w:trPr>
        <w:tc>
          <w:tcPr>
            <w:tcW w:w="4680" w:type="dxa"/>
            <w:vAlign w:val="bottom"/>
          </w:tcPr>
          <w:p>
            <w:pPr>
              <w:spacing w:after="0"/>
              <w:rPr>
                <w:sz w:val="14"/>
                <w:szCs w:val="14"/>
                <w:color w:val="auto"/>
              </w:rPr>
            </w:pP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to the</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to the</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offering</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offering</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516"/>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Gruber &amp; McBaine International</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125,800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121,800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Patrick M. Guarini</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Guerrilla IRA Partners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Guerrilla Partners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33,100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33,100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Halpern Capital DBA UVEST Investment</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Services (4)</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Dennis R. Hernreich (5)</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109,268</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49,268</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Hocky Capital,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227,100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227,100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Hocky Capital QP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224,800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Allison Holtzman IRA, Bear Stearns</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Securities Corp. Custodian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Allison</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Olivia</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Garcia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Percy</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Rivers</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Sterling</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Garcia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Temple</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Steven 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Seymour Holtzman (6)</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4,050,739</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2,148,280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5.6%</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Interstate Properties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Jewelcor Management, Inc. (7)</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3,682,974</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1,602,459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2,080,515</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5.4%</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JLF Offshore Fund, Ltd.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795,000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795,000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JLF Partners I,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616,800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Warren B. Kanders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Burton I.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Milton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Ruthanne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Lagunitas Partners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422,700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407,700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David A. Levin (8)</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497,667</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465,500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32,167</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Carl M. Lieberman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Anne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Elizabeth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Mary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and Carolyn Lynch JWROS**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95,000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The Lynch Foundation**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Lead Annuity</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5,900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Remainder</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47,100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13,000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Unitrust**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7,100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Allan R. Lyons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Paul R. Mancia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R. McMullin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Metrowest Ent. 401(K) Profit Sharing</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Plan FBO Carl M. Lieberman</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Jeremiah P. Murphy, Jr. (9)</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94,326</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69,326</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New Valu, Inc.</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Robert Patron (10)</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Joseph Pennacchio (11)</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121,212</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71,212</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ind w:left="3480"/>
              <w:spacing w:after="0"/>
              <w:rPr>
                <w:sz w:val="20"/>
                <w:szCs w:val="20"/>
                <w:color w:val="auto"/>
              </w:rPr>
            </w:pPr>
            <w:r>
              <w:rPr>
                <w:rFonts w:ascii="Courier New" w:cs="Courier New" w:eastAsia="Courier New" w:hAnsi="Courier New"/>
                <w:sz w:val="15"/>
                <w:szCs w:val="15"/>
                <w:color w:val="auto"/>
              </w:rPr>
              <w:t>12</w:t>
            </w: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20"/>
          </w:cols>
          <w:pgMar w:left="240" w:top="977" w:right="139" w:bottom="1440" w:gutter="0" w:footer="0" w:header="0"/>
        </w:sectPr>
      </w:pPr>
    </w:p>
    <w:bookmarkStart w:id="11" w:name="page12"/>
    <w:bookmarkEnd w:id="1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outstanding</w:t>
            </w:r>
          </w:p>
        </w:tc>
      </w:tr>
      <w:tr>
        <w:trPr>
          <w:trHeight w:val="172"/>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460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shares owned</w:t>
            </w:r>
          </w:p>
        </w:tc>
      </w:tr>
      <w:tr>
        <w:trPr>
          <w:trHeight w:val="172"/>
        </w:trPr>
        <w:tc>
          <w:tcPr>
            <w:tcW w:w="4600" w:type="dxa"/>
            <w:vAlign w:val="bottom"/>
          </w:tcPr>
          <w:p>
            <w:pPr>
              <w:spacing w:after="0"/>
              <w:rPr>
                <w:sz w:val="14"/>
                <w:szCs w:val="14"/>
                <w:color w:val="auto"/>
              </w:rPr>
            </w:pP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subsequent</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subsequent</w:t>
            </w:r>
          </w:p>
        </w:tc>
      </w:tr>
      <w:tr>
        <w:trPr>
          <w:trHeight w:val="172"/>
        </w:trPr>
        <w:tc>
          <w:tcPr>
            <w:tcW w:w="4600" w:type="dxa"/>
            <w:vAlign w:val="bottom"/>
          </w:tcPr>
          <w:p>
            <w:pPr>
              <w:spacing w:after="0"/>
              <w:rPr>
                <w:sz w:val="14"/>
                <w:szCs w:val="14"/>
                <w:color w:val="auto"/>
              </w:rPr>
            </w:pP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 the</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to the</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offering</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600" w:type="dxa"/>
            <w:vAlign w:val="bottom"/>
          </w:tcPr>
          <w:p>
            <w:pPr>
              <w:spacing w:after="0"/>
              <w:rPr>
                <w:sz w:val="20"/>
                <w:szCs w:val="20"/>
                <w:color w:val="auto"/>
              </w:rPr>
            </w:pPr>
            <w:r>
              <w:rPr>
                <w:rFonts w:ascii="Courier New" w:cs="Courier New" w:eastAsia="Courier New" w:hAnsi="Courier New"/>
                <w:sz w:val="15"/>
                <w:szCs w:val="15"/>
                <w:color w:val="auto"/>
              </w:rPr>
              <w:t>Permal U.S. Opportunities Fund, Ltd.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565,000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565,000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Pollack Investment Partnership,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Pollat, Evans &amp; Co. Inc.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George T. Porter, Jr. (12)</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92,906</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37,906</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Prism Partners I,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Prism Partners II Offshore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Investment Funds- Putnam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989,600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989,600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Variable Trust- Putnam VT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377,000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377,000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World Trust II: Putnam U.S.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Equity Fund (Dublin)**</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Reservoir Capital Master Fund,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67,600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67,600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Reservoir Capital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403,100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403,100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Eugene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61,500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Estate of Marvin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Phillip W.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60,000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Sonia Seidman</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&amp; Associates, LLC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34,000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34,000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Investment Partnership II,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Investment Partnership,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John J. Sweeney (13)</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20,668</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17,168</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Tucker Anthony Incorporated (14)</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Hugh Sheldon Unger, Lincoln Trust TTEE</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IRA</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12,500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Jeffrey and Sheryl Unger (15)</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43,650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33,650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Michael H. Weiss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55,800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Weiss, Peck &amp; Greer, L.L.C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1,529,500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Whiffletree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Willow Creek Capital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Willow Creek Offshore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WPG Tudor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Partners Small Cap Value,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126,300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126,300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Partners Small Cap Value, LP I</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181,800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181,800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Small Cap Value Offshore</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Fund, Ltd.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92,000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92,000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Equity Neutral,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78,500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Offshore Limited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571,500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571,500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138,000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138,000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Affiliate of registered broker-dealer.</w:t>
      </w:r>
    </w:p>
    <w:p>
      <w:pPr>
        <w:spacing w:after="0" w:line="176" w:lineRule="exact"/>
        <w:rPr>
          <w:sz w:val="20"/>
          <w:szCs w:val="20"/>
          <w:color w:val="auto"/>
        </w:rPr>
      </w:pPr>
    </w:p>
    <w:p>
      <w:pPr>
        <w:ind w:left="448" w:right="5080"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1,407,353 shares of common stock issuable upon exercise of warrants.</w:t>
      </w:r>
    </w:p>
    <w:p>
      <w:pPr>
        <w:spacing w:after="0" w:line="176" w:lineRule="exact"/>
        <w:rPr>
          <w:rFonts w:ascii="Courier New" w:cs="Courier New" w:eastAsia="Courier New" w:hAnsi="Courier New"/>
          <w:sz w:val="15"/>
          <w:szCs w:val="15"/>
          <w:color w:val="auto"/>
        </w:rPr>
      </w:pPr>
    </w:p>
    <w:p>
      <w:pPr>
        <w:ind w:left="448" w:right="4380" w:hanging="448"/>
        <w:spacing w:after="0" w:line="241"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934,559 shares of common stock issuable upon exercise of warrants. Stephen M. Duff, who is Treasurer of Ninth Floor Corporation, the general partner of Clark Partners I, L.P., and Senior Investment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8"/>
          </w:cols>
          <w:pgMar w:left="232" w:top="977" w:right="139" w:bottom="1440" w:gutter="0" w:footer="0" w:header="0"/>
        </w:sectPr>
      </w:pPr>
    </w:p>
    <w:bookmarkStart w:id="12" w:name="page13"/>
    <w:bookmarkEnd w:id="12"/>
    <w:p>
      <w:pPr>
        <w:ind w:left="448" w:right="3599"/>
        <w:spacing w:after="0"/>
        <w:rPr>
          <w:sz w:val="20"/>
          <w:szCs w:val="20"/>
          <w:color w:val="auto"/>
        </w:rPr>
      </w:pPr>
      <w:r>
        <w:rPr>
          <w:rFonts w:ascii="Courier New" w:cs="Courier New" w:eastAsia="Courier New" w:hAnsi="Courier New"/>
          <w:sz w:val="15"/>
          <w:szCs w:val="15"/>
          <w:color w:val="auto"/>
        </w:rPr>
        <w:t>Manager at The Clark Estates, Inc., has been a member of the Board of Directors of the Company since May 14, 2002.</w:t>
      </w:r>
    </w:p>
    <w:p>
      <w:pPr>
        <w:spacing w:after="0" w:line="176" w:lineRule="exact"/>
        <w:rPr>
          <w:sz w:val="20"/>
          <w:szCs w:val="20"/>
          <w:color w:val="auto"/>
        </w:rPr>
      </w:pPr>
    </w:p>
    <w:p>
      <w:pPr>
        <w:ind w:left="448" w:right="343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Kenneth C. Cummins has been a legal consultant to the Company since November 12, 1996. Includes 20,000 shares of common stock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500,000 shares of common stock issuable upon exercise of warrants.</w:t>
      </w:r>
    </w:p>
    <w:p>
      <w:pPr>
        <w:spacing w:after="0" w:line="185" w:lineRule="exact"/>
        <w:rPr>
          <w:rFonts w:ascii="Courier New" w:cs="Courier New" w:eastAsia="Courier New" w:hAnsi="Courier New"/>
          <w:sz w:val="14"/>
          <w:szCs w:val="14"/>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Dennis R. Hernreich has been Senior Vice President, Chief Financial Officer and Treasurer of the Company since September 5, 2000. Includes 61,668 shares of common stock issuable upon exercise of options exercisable within 60 days.</w:t>
      </w:r>
    </w:p>
    <w:p>
      <w:pPr>
        <w:spacing w:after="0" w:line="174"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Seymour Holtzman was appointed a director of the Company on April 7, 2000 and Chairman of the Board on April 11, 2000. On May 25, 2001, the Company hired Mr. Holtzman as an executive officer of the Company. Mr. Holtzman may be deemed to have shared voting and investment power over 4,050,739 shares of common stock, which includes 3,682,974 shares (including 549,559 shares issuable upon exercise of warrants) beneficially owned by Jewelcor Management, Inc., of which Mr. Holtzman is the Chairman, President and Chief Executive Officer and indirectly, with his wife, the primary shareholder; 337,765 shares owned individually, which includes 300,000 shares being offered pursuant to this prospectus subject to options and 25,000 shares subject to options exercisable within 60 days; and 30,000 shares owned by Mr. Holtzman's grandchildren as to which he disclaims beneficial ownership. The number of shares owned subsequent to the offering excludes 1,681,926 shares being offered by Jewelcor Management, Inc. pursuant to this prospectus.</w:t>
      </w:r>
    </w:p>
    <w:p>
      <w:pPr>
        <w:spacing w:after="0" w:line="182"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Jewelcor Management, Inc. has provided consulting services to the Company since October 1999. This consulting arrangement and other related transactions are described more fully in the Company's definitive proxy statement filed on July 8, 2002, which is incorporated herein by reference. Includes 549,559 shares of common stock issuable upon exercise of warrants. Excludes 337,765 shares, including 300,000 shares being offered pursuant to this prospectus subject to options and 25,000 shares subject to options exercisable within 60 days, owned individually by Seymour Holtzman and 30,000 shares owned by Mr. Holtzman's grandchildren. Includes 60,659 shares of common stock issued to Jewelcor Management, Inc. pursuant to a consulting agreement with the Company, which agreement was extended effective April 29, 2002.</w:t>
      </w:r>
    </w:p>
    <w:p>
      <w:pPr>
        <w:spacing w:after="0" w:line="180"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A. Levin has been President and Chief Executive Officer of the Company since April 10, 2000 and a director of the Company since April 11, 2000. Includes 241,667 shares of common stock issuable upon exercise of options exercisable within 60 days.</w:t>
      </w:r>
    </w:p>
    <w:p>
      <w:pPr>
        <w:spacing w:after="0" w:line="174"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Jeremiah P. Murphy, Jr. has been a director of the Company since October 8, 1999. Includes 35,000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Patron had been a director of the Company since October 1999 until his resignation effective March 11, 2002. Includes 30,000 shares of common stock issuable upon exercise of options.</w:t>
      </w:r>
    </w:p>
    <w:p>
      <w:pPr>
        <w:spacing w:after="0" w:line="176"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Pennacchio has been a director of the Company since October 8, 1999. Includes 35,000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T. Porter, Jr. has been a director of the Company since October 28, 1999. Includes 65,000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33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Sweeney has been an employee of the Company since April 7, 1997. Includes 5,334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079"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of common stock issuable upon exercise of options granted in connection with professional services rendered to the Company.</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5" w:right="1440" w:bottom="1440" w:gutter="0" w:footer="0" w:header="0"/>
        </w:sectPr>
      </w:pPr>
    </w:p>
    <w:bookmarkStart w:id="13" w:name="page14"/>
    <w:bookmarkEnd w:id="13"/>
    <w:p>
      <w:pPr>
        <w:ind w:left="448" w:right="3079" w:hanging="448"/>
        <w:spacing w:after="0" w:line="242"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Jeffrey Unger was an employee of the Company from October 1999 through July 2000. Mr. Unger has been a investor relations consultant to the Company since July 2000. Includes 20,000 shares of common stock issuable upon exercise of options exercisable within 60 days.</w:t>
      </w:r>
    </w:p>
    <w:p>
      <w:pPr>
        <w:spacing w:after="0" w:line="175" w:lineRule="exact"/>
        <w:rPr>
          <w:sz w:val="20"/>
          <w:szCs w:val="20"/>
          <w:color w:val="auto"/>
        </w:rPr>
      </w:pPr>
    </w:p>
    <w:p>
      <w:pPr>
        <w:ind w:left="8" w:right="3159" w:firstLine="716"/>
        <w:spacing w:after="0" w:line="267" w:lineRule="auto"/>
        <w:rPr>
          <w:sz w:val="20"/>
          <w:szCs w:val="20"/>
          <w:color w:val="auto"/>
        </w:rPr>
      </w:pPr>
      <w:r>
        <w:rPr>
          <w:rFonts w:ascii="Courier New" w:cs="Courier New" w:eastAsia="Courier New" w:hAnsi="Courier New"/>
          <w:sz w:val="14"/>
          <w:szCs w:val="14"/>
          <w:color w:val="auto"/>
        </w:rPr>
        <w:t>The aggregate proceeds to the selling stockholders from the sale of the shares listed in this prospectus offered by them pursuant to this prospectus will be the sale price of the shares less discounts and commissions, if any.</w:t>
      </w:r>
    </w:p>
    <w:p>
      <w:pPr>
        <w:spacing w:after="0" w:line="159" w:lineRule="exact"/>
        <w:rPr>
          <w:sz w:val="20"/>
          <w:szCs w:val="20"/>
          <w:color w:val="auto"/>
        </w:rPr>
      </w:pPr>
    </w:p>
    <w:p>
      <w:pPr>
        <w:ind w:left="8" w:right="3259" w:firstLine="716"/>
        <w:spacing w:after="0"/>
        <w:rPr>
          <w:sz w:val="20"/>
          <w:szCs w:val="20"/>
          <w:color w:val="auto"/>
        </w:rPr>
      </w:pPr>
      <w:r>
        <w:rPr>
          <w:rFonts w:ascii="Courier New" w:cs="Courier New" w:eastAsia="Courier New" w:hAnsi="Courier New"/>
          <w:sz w:val="15"/>
          <w:szCs w:val="15"/>
          <w:color w:val="auto"/>
        </w:rPr>
        <w:t>Additional information about certain selling stockholders is contained in "Annex A - Additional Information About Selling Stockholders."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The selling stockholders, which term includes their successors, transferees, pledgees or donees or their successors, may sell the shares offered pursuant to this prospectus directly to purchasers or through underwriters, broker-dealers or agents, who may receive compensation in the form of discounts, concessions or commissions from the selling stockholders or the purchasers, which discounts, concessions or commissions as to any particular underwriter, broker-dealer or agent may be in excess of those customary in the types of transactions involved.</w:t>
      </w:r>
    </w:p>
    <w:p>
      <w:pPr>
        <w:spacing w:after="0" w:line="177" w:lineRule="exact"/>
        <w:rPr>
          <w:sz w:val="20"/>
          <w:szCs w:val="20"/>
          <w:color w:val="auto"/>
        </w:rPr>
      </w:pPr>
    </w:p>
    <w:p>
      <w:pPr>
        <w:ind w:left="8" w:right="3079" w:firstLine="716"/>
        <w:spacing w:after="0" w:line="261" w:lineRule="auto"/>
        <w:rPr>
          <w:sz w:val="20"/>
          <w:szCs w:val="20"/>
          <w:color w:val="auto"/>
        </w:rPr>
      </w:pPr>
      <w:r>
        <w:rPr>
          <w:rFonts w:ascii="Courier New" w:cs="Courier New" w:eastAsia="Courier New" w:hAnsi="Courier New"/>
          <w:sz w:val="14"/>
          <w:szCs w:val="14"/>
          <w:color w:val="auto"/>
        </w:rPr>
        <w:t>The shares offered pursuant to this prospectus may be sold by any selling stockholder in one or more transactions at fixed prices, at prevailing market prices at the time of sale, at prices related to such prevailing market prices, at varying prices determined at the time of sale, or at negotiated prices. Such sales may be effected in transactions, which may involve crosses or block transactions (1) on any national securities exchange or quotation service on which our common stock may be listed or quoted at the time of sale, (2) in the over-the-counter market, (3) in transactions otherwise than on such exchanges or services or in the over-the-counter market, (4) through the writing of options, whether such options are listed on an options exchange or otherwise, or (5) through the settlement of short sales. In connection with the sale of the shares offered pursuant to this prospectus or otherwise, any selling stockholder may enter into hedging transactions with broker-dealers or other financial institutions which may in turn engage in short sales of the common stock and deliver these securities to close out such short positions, or loan or pledge the common stock to broker-dealers that in turn may sell these securities.</w:t>
      </w:r>
    </w:p>
    <w:p>
      <w:pPr>
        <w:spacing w:after="0" w:line="165" w:lineRule="exact"/>
        <w:rPr>
          <w:sz w:val="20"/>
          <w:szCs w:val="20"/>
          <w:color w:val="auto"/>
        </w:rPr>
      </w:pPr>
    </w:p>
    <w:p>
      <w:pPr>
        <w:ind w:left="8" w:right="3079" w:firstLine="716"/>
        <w:spacing w:after="0" w:line="241" w:lineRule="auto"/>
        <w:rPr>
          <w:sz w:val="20"/>
          <w:szCs w:val="20"/>
          <w:color w:val="auto"/>
        </w:rPr>
      </w:pPr>
      <w:r>
        <w:rPr>
          <w:rFonts w:ascii="Courier New" w:cs="Courier New" w:eastAsia="Courier New" w:hAnsi="Courier New"/>
          <w:sz w:val="15"/>
          <w:szCs w:val="15"/>
          <w:color w:val="auto"/>
        </w:rPr>
        <w:t>Each selling stockholder reserves the right to accept and, together with its agents from time to time, to reject, in whole or in part, any proposed purchase of common stock to be made directly or through agents.</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At the time of the private placement of our series B preferred stock and the issuance of our detachable warrants (converted into or exercisable for shares of common stock offered pursuant to this prospectus), each investor, including any registered broker-dealer or affiliate of a broker-dealer (whose purchases are understood by the Company to be in the ordinary course of business), represented to the Company, among other things, that such investor was not acquiring the securities with a view to any distribution thereof, and each such investor in our series B preferred stock represented that such investor had no agreement, undertaking, arrangement, obligation or commitment providing for the disposition of the securities. The following selling stockholders which are registered broker-dealers are identified as "underwriters" (within the meaning of Section 2(11) of the Securities Act of 1933, as amended) with respect to the shares offered for sale by them pursuant to this prospectus: Halpern Capital DBA UVEST Investment Services; Tucker Anthony Incorporated; and Weiss, Peck &amp; Greer, L.L.C. All selling stockholders which are affiliates of registered broker-dealers are identified by a double asterisk (**) in the table of selling stockholders appearing on pages 11 to 13 of this prospectus. The Company also understands that any underwriters, broker-dealers or agents that participate in the sale of the shares offered pursuant to this prospectus on behalf of the selling stockholders may be considered "underwriters" within the meaning of such statute. Any discounts, commissions, concessions or profit they earn on any resale of the shares may be underwriting discounts and commissions under the Securities Act.</w:t>
      </w:r>
    </w:p>
    <w:p>
      <w:pPr>
        <w:spacing w:after="0" w:line="188"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To the extent required, the common stock to be sold, the name of each selling stockholder, the respective purchase prices and the public offering prices, the name of any agent,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5" w:right="1440" w:bottom="1440" w:gutter="0" w:footer="0" w:header="0"/>
        </w:sectPr>
      </w:pPr>
    </w:p>
    <w:bookmarkStart w:id="14" w:name="page15"/>
    <w:bookmarkEnd w:id="14"/>
    <w:p>
      <w:pPr>
        <w:ind w:left="3300"/>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and schedules as of February 2, 2002 and February 3, 2001 and the years then ended included in our Annual Report on Form 10-K for the year ended February 2, 2002, as set forth in their report, which is incorporated by reference in this prospectus and elsewhere in the registration statement. Our fiscal 2002 and fiscal 2001 financial statements and schedules are incorporated by reference in reliance on Ernst &amp; Young LLP's report, given on their authority as experts in accounting and auditing.</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consolidated statements of operations, stockholders' equity, and cash flows for the year ended January 29, 2000 and the related financial statement schedule for the year ended January 29, 2000, incorporated in this prospectus by reference from Designs, Inc.'s Annual Report on Form 10-K for the year ended February 2, 2002,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77"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The consolidated financial statements of Casual Male Corp., debtor-in-possession, as of February 2, 2002 and February 3, 2001, and for each of the years in the three-years ended February 2, 2002, February 3, 2001 and January 29, 2000, have been incorporated by reference herein in reliance upon the report of KPMG LLP, independent accountants, incorporated by reference herein, and upon the authority of said firm as experts in accounting and auditing.</w:t>
      </w:r>
    </w:p>
    <w:p>
      <w:pPr>
        <w:spacing w:after="0" w:line="348" w:lineRule="exact"/>
        <w:rPr>
          <w:sz w:val="20"/>
          <w:szCs w:val="20"/>
          <w:color w:val="auto"/>
        </w:rPr>
      </w:pPr>
    </w:p>
    <w:p>
      <w:pPr>
        <w:ind w:right="3159" w:firstLine="716"/>
        <w:spacing w:after="0" w:line="262" w:lineRule="auto"/>
        <w:rPr>
          <w:sz w:val="20"/>
          <w:szCs w:val="20"/>
          <w:color w:val="auto"/>
        </w:rPr>
      </w:pPr>
      <w:r>
        <w:rPr>
          <w:rFonts w:ascii="Courier New" w:cs="Courier New" w:eastAsia="Courier New" w:hAnsi="Courier New"/>
          <w:sz w:val="14"/>
          <w:szCs w:val="14"/>
          <w:color w:val="auto"/>
        </w:rPr>
        <w:t>The audit report covering the February 2, 2002 financial statements contains an explanatory paragraph that states that most of the assets of Casual Male Corp. have been sold. Casual Male Corp. will continue operations primarily to liquidate any remaining assets and settle Casual Male Corp.'s remaining liabilities, including liabilities subject to compromise, to the extent possible. After the settlements have occurred, it is expected that Casual Male Corp. will cease operations. The consolidated financial statements do not include any adjustments that might result from the outcome of this uncertainty.</w:t>
      </w:r>
    </w:p>
    <w:p>
      <w:pPr>
        <w:spacing w:after="0" w:line="200" w:lineRule="exact"/>
        <w:rPr>
          <w:sz w:val="20"/>
          <w:szCs w:val="20"/>
          <w:color w:val="auto"/>
        </w:rPr>
      </w:pPr>
    </w:p>
    <w:p>
      <w:pPr>
        <w:spacing w:after="0" w:line="30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15" w:name="page16"/>
    <w:bookmarkEnd w:id="15"/>
    <w:p>
      <w:pPr>
        <w:ind w:left="20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This prospectus constitutes a part of a registration statement on Form S-3 that we filed with the Securities and Exchange Commission under the Securities Act, including amendments thereto, relating to the shares offered pursuant to this prospectus. This prospectus does not contain all of the information set forth in the registration statement. You should rely only on the information contained in this prospectus or incorporated herein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common stock.</w:t>
      </w:r>
    </w:p>
    <w:p>
      <w:pPr>
        <w:spacing w:after="0" w:line="180"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are subject to the informational requirements of the Securities Exchange Act of 1934, as amended, and in accordance therewith, file reports, proxy statements and other information with the Commission. Such reports, proxy statements and other information filed by us may be inspected and copied at the Commission's Public Reference Section located at 450 Fifth Street, N.W., Washington, D.C. 20549. Copies of such material also can be obtained from the Public Reference Section of the Commission at 450 Fifth Street, N.W., Washington, D.C. 20549, at prescribed rates. Please call the Commission at</w:t>
      </w:r>
    </w:p>
    <w:p>
      <w:pPr>
        <w:spacing w:after="0" w:line="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1-800-SEC-0330 for more information about the operation of the public reference rooms. The Commission also makes electronic filings publicly available on the Internet. The Commission's Internet address is http://www.sec.gov. The Commission's web site also contains reports, proxy statements and other information regarding us that has been filed with the Commission. Our common stock is quoted under the symbol "CMRG" on the Nasdaq National Market. Reports, proxy statements and other information concerning us may be inspected at the National Association of Securities Dealers, Inc. at 1735 K Street, N.W., Washington, D.C. 20006.</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Further, all filings we make under the Exchange Act after the date of the initial registration statement and prior to effectiveness of the registration statement shall be deemed to be incorporated by reference into this prospectus. We incorporate by reference the documents listed below and any future filings we will make with the Commission under Section 13(a), 13(c), 14 or 15(d) of the Exchange Act:</w:t>
      </w:r>
    </w:p>
    <w:p>
      <w:pPr>
        <w:spacing w:after="0" w:line="178" w:lineRule="exact"/>
        <w:rPr>
          <w:sz w:val="20"/>
          <w:szCs w:val="20"/>
          <w:color w:val="auto"/>
        </w:rPr>
      </w:pPr>
    </w:p>
    <w:p>
      <w:pPr>
        <w:ind w:left="880"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definitive Proxy Statement, filed on July 8, 2002;</w:t>
      </w:r>
    </w:p>
    <w:p>
      <w:pPr>
        <w:spacing w:after="0" w:line="175"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February 2, 2002;</w:t>
      </w:r>
    </w:p>
    <w:p>
      <w:pPr>
        <w:spacing w:after="0" w:line="176" w:lineRule="exact"/>
        <w:rPr>
          <w:rFonts w:ascii="Courier New" w:cs="Courier New" w:eastAsia="Courier New" w:hAnsi="Courier New"/>
          <w:sz w:val="15"/>
          <w:szCs w:val="15"/>
          <w:color w:val="auto"/>
        </w:rPr>
      </w:pPr>
    </w:p>
    <w:p>
      <w:pPr>
        <w:ind w:left="880" w:right="307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Amendment No. 1 to our Annual Report on Form 10-K/A for the fiscal year ended February 2, 2002, filed on September 11, 2002;</w:t>
      </w:r>
    </w:p>
    <w:p>
      <w:pPr>
        <w:spacing w:after="0" w:line="176"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fiscal quarter ended May 4, 2002;</w:t>
      </w:r>
    </w:p>
    <w:p>
      <w:pPr>
        <w:spacing w:after="0" w:line="176" w:lineRule="exact"/>
        <w:rPr>
          <w:rFonts w:ascii="Courier New" w:cs="Courier New" w:eastAsia="Courier New" w:hAnsi="Courier New"/>
          <w:sz w:val="15"/>
          <w:szCs w:val="15"/>
          <w:color w:val="auto"/>
        </w:rPr>
      </w:pPr>
    </w:p>
    <w:p>
      <w:pPr>
        <w:ind w:left="880" w:right="307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Amendment No. 1 to our Quarterly Report on Form 10-Q/A for the fiscal quarter ended May 4, 2002, filed on September 11, 2002;</w:t>
      </w:r>
    </w:p>
    <w:p>
      <w:pPr>
        <w:spacing w:after="0" w:line="176"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8-K filed on May 23, 2002, as amended on May 23, 2002 and June 14, 2002;</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8-K/A filed on September 11, 2002;</w:t>
      </w:r>
    </w:p>
    <w:p>
      <w:pPr>
        <w:spacing w:after="0" w:line="175"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capital stock set forth in our Registration Statement on Form S-1 (Registration No. 33-13402), filed with the SEC on April 22, 1987;</w:t>
      </w:r>
    </w:p>
    <w:p>
      <w:pPr>
        <w:spacing w:after="0" w:line="176" w:lineRule="exact"/>
        <w:rPr>
          <w:rFonts w:ascii="Courier New" w:cs="Courier New" w:eastAsia="Courier New" w:hAnsi="Courier New"/>
          <w:sz w:val="15"/>
          <w:szCs w:val="15"/>
          <w:color w:val="auto"/>
        </w:rPr>
      </w:pPr>
    </w:p>
    <w:p>
      <w:pPr>
        <w:ind w:left="880" w:right="333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reports filed by us pursuant to Section 13(a) or 15(d) of the Exchange Act since the end of the fiscal year covered by the annual report referred to above; and</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and reports subsequently filed by us pursuant to Sections 13(a), 13(c), 14 or 15(d) of the Exchange Act, prior to the termination of the offering.</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will furnish to any person to whom this prospectus is delivered, without charge, a copy of these documents upon written or oral request to Secretary, Casual Male Retail Group, Inc., 555 Turnpike Street, Canton, Massachusetts 02021. Our telephone number is (781) 828-9300. A copy of any exhibits to these documents will be furnished at no cost to any stockholder upon written or oral request.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6" w:name="page17"/>
    <w:bookmarkEnd w:id="16"/>
    <w:p>
      <w:pPr>
        <w:jc w:val="center"/>
        <w:ind w:right="2999"/>
        <w:spacing w:after="0"/>
        <w:rPr>
          <w:sz w:val="20"/>
          <w:szCs w:val="20"/>
          <w:color w:val="auto"/>
        </w:rPr>
      </w:pPr>
      <w:r>
        <w:rPr>
          <w:rFonts w:ascii="Courier New" w:cs="Courier New" w:eastAsia="Courier New" w:hAnsi="Courier New"/>
          <w:sz w:val="15"/>
          <w:szCs w:val="15"/>
          <w:color w:val="auto"/>
        </w:rPr>
        <w:t>Disclosure of Commission Position on Indemnification for Securities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Act Liabilities.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Casual Male Retail Group pursuant to the provisions of Item 510 of Regulation S-K, or otherwise, we have been advised that in the opinion of the Commission such indemnification is against public policy as expressed in the Securities Act and is, therefore, unenforceable. In the event that a claim for indemnification against such liabilities (other than the payment by Casual Male Retail Group of expenses incurred or paid by a director, officer or controlling person of Casual Male Retail Group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17" w:name="page18"/>
    <w:bookmarkEnd w:id="17"/>
    <w:p>
      <w:pPr>
        <w:jc w:val="center"/>
        <w:ind w:right="3040"/>
        <w:spacing w:after="0"/>
        <w:rPr>
          <w:sz w:val="20"/>
          <w:szCs w:val="20"/>
          <w:color w:val="auto"/>
        </w:rPr>
      </w:pPr>
      <w:r>
        <w:rPr>
          <w:rFonts w:ascii="Courier New" w:cs="Courier New" w:eastAsia="Courier New" w:hAnsi="Courier New"/>
          <w:sz w:val="15"/>
          <w:szCs w:val="15"/>
          <w:color w:val="auto"/>
        </w:rPr>
        <w:t>Annex A</w:t>
      </w:r>
    </w:p>
    <w:p>
      <w:pPr>
        <w:spacing w:after="0" w:line="174"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Additional Information About Selling Stockholders</w:t>
      </w:r>
    </w:p>
    <w:p>
      <w:pPr>
        <w:spacing w:after="0" w:line="176" w:lineRule="exact"/>
        <w:rPr>
          <w:sz w:val="20"/>
          <w:szCs w:val="20"/>
          <w:color w:val="auto"/>
        </w:rPr>
      </w:pPr>
    </w:p>
    <w:p>
      <w:pPr>
        <w:ind w:right="3220"/>
        <w:spacing w:after="0" w:line="241" w:lineRule="auto"/>
        <w:rPr>
          <w:sz w:val="20"/>
          <w:szCs w:val="20"/>
          <w:color w:val="auto"/>
        </w:rPr>
      </w:pPr>
      <w:r>
        <w:rPr>
          <w:rFonts w:ascii="Courier New" w:cs="Courier New" w:eastAsia="Courier New" w:hAnsi="Courier New"/>
          <w:sz w:val="15"/>
          <w:szCs w:val="15"/>
          <w:color w:val="auto"/>
        </w:rPr>
        <w:t>The following table identifies, where applicable, the name(s) of the natural person(s) who hold investment and voting control of the shares offered pursuant to the prospectus by certain selling stockholders: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6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Natural Person(s) with Investment and Voting</w:t>
            </w:r>
          </w:p>
        </w:tc>
      </w:tr>
      <w:tr>
        <w:trPr>
          <w:trHeight w:val="172"/>
        </w:trPr>
        <w:tc>
          <w:tcPr>
            <w:tcW w:w="4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Control of Shares</w:t>
            </w:r>
          </w:p>
        </w:tc>
      </w:tr>
      <w:tr>
        <w:trPr>
          <w:trHeight w:val="516"/>
        </w:trPr>
        <w:tc>
          <w:tcPr>
            <w:tcW w:w="4280" w:type="dxa"/>
            <w:vAlign w:val="bottom"/>
          </w:tcPr>
          <w:p>
            <w:pPr>
              <w:spacing w:after="0"/>
              <w:rPr>
                <w:sz w:val="20"/>
                <w:szCs w:val="20"/>
                <w:color w:val="auto"/>
              </w:rPr>
            </w:pPr>
            <w:r>
              <w:rPr>
                <w:rFonts w:ascii="Courier New" w:cs="Courier New" w:eastAsia="Courier New" w:hAnsi="Courier New"/>
                <w:sz w:val="15"/>
                <w:szCs w:val="15"/>
                <w:color w:val="auto"/>
              </w:rPr>
              <w:t>300 Plaza Drive Associates</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David L. Koffman and Jeffrey P. Koffman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Almarc Trading Corp. Defined Benefit Plan</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Jesse Gerstel</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 investment control; Almarc</w:t>
            </w:r>
          </w:p>
        </w:tc>
      </w:tr>
      <w:tr>
        <w:trPr>
          <w:trHeight w:val="172"/>
        </w:trPr>
        <w:tc>
          <w:tcPr>
            <w:tcW w:w="428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Trading Corp.</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 voting control</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Barclays Global Investors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Apex Capital,</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LLC and Sanford J. Cohen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Benchmark Partners, LP</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Richard Whitman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The Branagh Revocable Trust, Peter W. Branagh</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Apex Capital,</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LLC and Sanford J. Cohen</w:t>
            </w:r>
          </w:p>
        </w:tc>
      </w:tr>
      <w:tr>
        <w:trPr>
          <w:trHeight w:val="172"/>
        </w:trPr>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and Ramona Y. Branagh, Trustees</w:t>
            </w:r>
          </w:p>
        </w:tc>
        <w:tc>
          <w:tcPr>
            <w:tcW w:w="1520" w:type="dxa"/>
            <w:vAlign w:val="bottom"/>
          </w:tcPr>
          <w:p>
            <w:pPr>
              <w:spacing w:after="0"/>
              <w:rPr>
                <w:sz w:val="14"/>
                <w:szCs w:val="14"/>
                <w:color w:val="auto"/>
              </w:rPr>
            </w:pP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 Retail,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Bric6,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Enhanced,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Managed Trust</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Offshore,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Partners II,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 Partners,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Bricoleur-Plus Fund,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Robert Poole,</w:t>
            </w:r>
          </w:p>
        </w:tc>
        <w:tc>
          <w:tcPr>
            <w:tcW w:w="4480" w:type="dxa"/>
            <w:vAlign w:val="bottom"/>
          </w:tcPr>
          <w:p>
            <w:pPr>
              <w:spacing w:after="0"/>
              <w:rPr>
                <w:sz w:val="20"/>
                <w:szCs w:val="20"/>
                <w:color w:val="auto"/>
              </w:rPr>
            </w:pPr>
            <w:r>
              <w:rPr>
                <w:rFonts w:ascii="Courier New" w:cs="Courier New" w:eastAsia="Courier New" w:hAnsi="Courier New"/>
                <w:sz w:val="15"/>
                <w:szCs w:val="15"/>
                <w:color w:val="auto"/>
              </w:rPr>
              <w:t>Gary Lenhoff and Daniel Wimsatt</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Brook Road Nominee Trust</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Esther Smith</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Carafe Investment Co. Ltd.</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Werner Merzbacher</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Cragswood, Ltd.</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David and Allison Sachs</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Glenhill Capital,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Glenn Krevlin</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Glenhill Capital Overseas Partners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Glenn Krevlin</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Gruber &amp; McBaine International</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Gruber &amp; McBaine Capital Management, LLC, Jon D.</w:t>
            </w:r>
          </w:p>
        </w:tc>
      </w:tr>
      <w:tr>
        <w:trPr>
          <w:trHeight w:val="172"/>
        </w:trPr>
        <w:tc>
          <w:tcPr>
            <w:tcW w:w="4280" w:type="dxa"/>
            <w:vAlign w:val="bottom"/>
          </w:tcPr>
          <w:p>
            <w:pPr>
              <w:spacing w:after="0"/>
              <w:rPr>
                <w:sz w:val="14"/>
                <w:szCs w:val="14"/>
                <w:color w:val="auto"/>
              </w:rPr>
            </w:pP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Gruber, J. Patterson McBaine and Eric Zwergold</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Guerrilla IRA Partners</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Peter Siris and Leigh Curry</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Guerrilla Partners</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Peter Siris and Leigh Curry</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Halpern Capital DBA UVEST Investment Services</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w w:val="96"/>
              </w:rPr>
              <w:t>Baruch Halpern</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Hocky Capital, LP</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David and Allison Sachs</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Hocky Capital QP LP</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David and Allison Sachs</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Interstate Properties</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Russell B. Wight, Jr., Steven Roth and David</w:t>
            </w:r>
          </w:p>
        </w:tc>
      </w:tr>
      <w:tr>
        <w:trPr>
          <w:trHeight w:val="172"/>
        </w:trPr>
        <w:tc>
          <w:tcPr>
            <w:tcW w:w="4280" w:type="dxa"/>
            <w:vAlign w:val="bottom"/>
          </w:tcPr>
          <w:p>
            <w:pPr>
              <w:spacing w:after="0"/>
              <w:rPr>
                <w:sz w:val="14"/>
                <w:szCs w:val="14"/>
                <w:color w:val="auto"/>
              </w:rPr>
            </w:pP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Mandelbaum</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Jewelcor Management, Inc.</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Seymour and Evelyn Holtzman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JLF Offshore Fund, Ltd.</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Jeff Feinberg</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JLF Partners I, LP</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Jeff Feinberg</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Lagunitas Partners LP</w:t>
            </w: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Gruber &amp; McBaine Capital Management, LLC, Jon D.</w:t>
            </w:r>
          </w:p>
        </w:tc>
      </w:tr>
      <w:tr>
        <w:trPr>
          <w:trHeight w:val="172"/>
        </w:trPr>
        <w:tc>
          <w:tcPr>
            <w:tcW w:w="4280" w:type="dxa"/>
            <w:vAlign w:val="bottom"/>
          </w:tcPr>
          <w:p>
            <w:pPr>
              <w:spacing w:after="0"/>
              <w:rPr>
                <w:sz w:val="14"/>
                <w:szCs w:val="14"/>
                <w:color w:val="auto"/>
              </w:rPr>
            </w:pPr>
          </w:p>
        </w:tc>
        <w:tc>
          <w:tcPr>
            <w:tcW w:w="60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Gruber, J. Patterson McBaine and Eric Zwergold</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Lynch Childrens Trust FBO Anne Lynch</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 -</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investment control; Carolyn Lynch - voting control</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Lynch Childrens Trust FBO Elizabeth Lynch</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 -</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investment control; Carolyn Lynch - voting control</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Lynch Childrens Trust FBO Mary Lynch</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 -</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investment control; Carolyn Lynch - voting control</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The Lynch Foundation</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w:t>
            </w:r>
          </w:p>
        </w:tc>
        <w:tc>
          <w:tcPr>
            <w:tcW w:w="4480" w:type="dxa"/>
            <w:vAlign w:val="bottom"/>
          </w:tcPr>
          <w:p>
            <w:pPr>
              <w:spacing w:after="0"/>
              <w:rPr>
                <w:sz w:val="14"/>
                <w:szCs w:val="14"/>
                <w:color w:val="auto"/>
              </w:rPr>
            </w:pP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Peter S. Lynch Charitable Lead Annuity Trust</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Peter Lynch -</w:t>
            </w:r>
          </w:p>
        </w:tc>
        <w:tc>
          <w:tcPr>
            <w:tcW w:w="4480" w:type="dxa"/>
            <w:vAlign w:val="bottom"/>
          </w:tcPr>
          <w:p>
            <w:pPr>
              <w:spacing w:after="0"/>
              <w:rPr>
                <w:sz w:val="20"/>
                <w:szCs w:val="20"/>
                <w:color w:val="auto"/>
              </w:rPr>
            </w:pPr>
            <w:r>
              <w:rPr>
                <w:rFonts w:ascii="Courier New" w:cs="Courier New" w:eastAsia="Courier New" w:hAnsi="Courier New"/>
                <w:sz w:val="15"/>
                <w:szCs w:val="15"/>
                <w:color w:val="auto"/>
                <w:w w:val="99"/>
              </w:rPr>
              <w:t>investment control; Carolyn Lynch - voting control</w:t>
            </w:r>
          </w:p>
        </w:tc>
      </w:tr>
      <w:tr>
        <w:trPr>
          <w:trHeight w:val="516"/>
        </w:trPr>
        <w:tc>
          <w:tcPr>
            <w:tcW w:w="4280" w:type="dxa"/>
            <w:vAlign w:val="bottom"/>
          </w:tcPr>
          <w:p>
            <w:pPr>
              <w:ind w:left="3400"/>
              <w:spacing w:after="0"/>
              <w:rPr>
                <w:sz w:val="20"/>
                <w:szCs w:val="20"/>
                <w:color w:val="auto"/>
              </w:rPr>
            </w:pPr>
            <w:r>
              <w:rPr>
                <w:rFonts w:ascii="Courier New" w:cs="Courier New" w:eastAsia="Courier New" w:hAnsi="Courier New"/>
                <w:sz w:val="15"/>
                <w:szCs w:val="15"/>
                <w:color w:val="auto"/>
              </w:rPr>
              <w:t>A-1</w:t>
            </w:r>
          </w:p>
        </w:tc>
        <w:tc>
          <w:tcPr>
            <w:tcW w:w="1520" w:type="dxa"/>
            <w:vAlign w:val="bottom"/>
          </w:tcPr>
          <w:p>
            <w:pPr>
              <w:spacing w:after="0"/>
              <w:rPr>
                <w:sz w:val="24"/>
                <w:szCs w:val="24"/>
                <w:color w:val="auto"/>
              </w:rPr>
            </w:pPr>
          </w:p>
        </w:tc>
        <w:tc>
          <w:tcPr>
            <w:tcW w:w="4480" w:type="dxa"/>
            <w:vAlign w:val="bottom"/>
          </w:tcPr>
          <w:p>
            <w:pPr>
              <w:spacing w:after="0"/>
              <w:rPr>
                <w:sz w:val="24"/>
                <w:szCs w:val="24"/>
                <w:color w:val="auto"/>
              </w:rPr>
            </w:pPr>
          </w:p>
        </w:tc>
      </w:tr>
    </w:tbl>
    <w:p>
      <w:pPr>
        <w:sectPr>
          <w:pgSz w:w="11900" w:h="16838" w:orient="portrait"/>
          <w:cols w:equalWidth="0" w:num="1">
            <w:col w:w="10280"/>
          </w:cols>
          <w:pgMar w:left="240" w:top="633" w:right="137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Selling Stockholder</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Courier New" w:cs="Courier New" w:eastAsia="Courier New" w:hAnsi="Courier New"/>
          <w:sz w:val="14"/>
          <w:szCs w:val="14"/>
          <w:color w:val="auto"/>
        </w:rPr>
        <w:t>Natural Person(s) with Investment and Voting</w:t>
      </w:r>
    </w:p>
    <w:p>
      <w:pPr>
        <w:spacing w:after="0" w:line="12" w:lineRule="exact"/>
        <w:rPr>
          <w:sz w:val="20"/>
          <w:szCs w:val="20"/>
          <w:color w:val="auto"/>
        </w:rPr>
      </w:pPr>
    </w:p>
    <w:p>
      <w:pPr>
        <w:jc w:val="center"/>
        <w:ind w:right="1800"/>
        <w:spacing w:after="0"/>
        <w:rPr>
          <w:sz w:val="20"/>
          <w:szCs w:val="20"/>
          <w:color w:val="auto"/>
        </w:rPr>
      </w:pPr>
      <w:r>
        <w:rPr>
          <w:rFonts w:ascii="Courier New" w:cs="Courier New" w:eastAsia="Courier New" w:hAnsi="Courier New"/>
          <w:sz w:val="15"/>
          <w:szCs w:val="15"/>
          <w:color w:val="auto"/>
        </w:rPr>
        <w:t>Control of Shares</w:t>
      </w:r>
    </w:p>
    <w:p>
      <w:pPr>
        <w:spacing w:after="0" w:line="200" w:lineRule="exact"/>
        <w:rPr>
          <w:sz w:val="20"/>
          <w:szCs w:val="20"/>
          <w:color w:val="auto"/>
        </w:rPr>
      </w:pPr>
    </w:p>
    <w:p>
      <w:pPr>
        <w:sectPr>
          <w:pgSz w:w="11900" w:h="16838" w:orient="portrait"/>
          <w:cols w:equalWidth="0" w:num="2">
            <w:col w:w="3920" w:space="720"/>
            <w:col w:w="5640"/>
          </w:cols>
          <w:pgMar w:left="240" w:top="979" w:right="1379" w:bottom="1440" w:gutter="0" w:footer="0" w:header="0"/>
        </w:sectPr>
      </w:pPr>
    </w:p>
    <w:p>
      <w:pPr>
        <w:spacing w:after="0" w:line="148" w:lineRule="exact"/>
        <w:rPr>
          <w:sz w:val="20"/>
          <w:szCs w:val="20"/>
          <w:color w:val="auto"/>
        </w:rPr>
      </w:pPr>
    </w:p>
    <w:p>
      <w:pPr>
        <w:ind w:right="180"/>
        <w:spacing w:after="0" w:line="260" w:lineRule="auto"/>
        <w:rPr>
          <w:sz w:val="20"/>
          <w:szCs w:val="20"/>
          <w:color w:val="auto"/>
        </w:rPr>
      </w:pPr>
      <w:r>
        <w:rPr>
          <w:rFonts w:ascii="Courier New" w:cs="Courier New" w:eastAsia="Courier New" w:hAnsi="Courier New"/>
          <w:sz w:val="14"/>
          <w:szCs w:val="14"/>
          <w:color w:val="auto"/>
        </w:rPr>
        <w:t>Peter S. Lynch Charitable Remainder Trust Peter S. Lynch Charitable Unitrust Metrowest Ent. 401(K) Profit Sharing Plan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Lynch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Lynch - investment control; Carolyn Lynch - voting control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 Lieberman</w:t>
      </w:r>
    </w:p>
    <w:p>
      <w:pPr>
        <w:spacing w:after="0" w:line="4" w:lineRule="exact"/>
        <w:rPr>
          <w:sz w:val="20"/>
          <w:szCs w:val="20"/>
          <w:color w:val="auto"/>
        </w:rPr>
      </w:pPr>
    </w:p>
    <w:p>
      <w:pPr>
        <w:sectPr>
          <w:pgSz w:w="11900" w:h="16838" w:orient="portrait"/>
          <w:cols w:equalWidth="0" w:num="2">
            <w:col w:w="3840" w:space="720"/>
            <w:col w:w="5720"/>
          </w:cols>
          <w:pgMar w:left="240" w:top="979" w:right="13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FBO Carl M. Lieberman</w:t>
      </w:r>
    </w:p>
    <w:p>
      <w:pPr>
        <w:sectPr>
          <w:pgSz w:w="11900" w:h="16838" w:orient="portrait"/>
          <w:cols w:equalWidth="0" w:num="1">
            <w:col w:w="10280"/>
          </w:cols>
          <w:pgMar w:left="240" w:top="979" w:right="1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Valu,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Permal U.S. Opportunities Fund,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Pollack Investment Partnership,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Pollat, Evans &amp; Co.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Prism Partners I,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Prism Partners II Offshore Fund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Investment Funds- Putnam Small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Bud Koffman and Milt Koffman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Apex Capital, LLC and Sanford J. Cohen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Pollack and Larry Seidman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Apex Capital, LLC and Sanford J. Cohen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Weintraub Capital Management LLC and Jerry Weintraub</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Weintraub Capital Management LLC and Jerry Weintraub</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Eric Harthun</w:t>
      </w:r>
    </w:p>
    <w:p>
      <w:pPr>
        <w:spacing w:after="0" w:line="4" w:lineRule="exact"/>
        <w:rPr>
          <w:sz w:val="20"/>
          <w:szCs w:val="20"/>
          <w:color w:val="auto"/>
        </w:rPr>
      </w:pPr>
    </w:p>
    <w:p>
      <w:pPr>
        <w:sectPr>
          <w:pgSz w:w="11900" w:h="16838" w:orient="portrait"/>
          <w:cols w:equalWidth="0" w:num="2">
            <w:col w:w="3840" w:space="720"/>
            <w:col w:w="5720"/>
          </w:cols>
          <w:pgMar w:left="240" w:top="979" w:right="13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Cap Value Fund</w:t>
      </w:r>
    </w:p>
    <w:p>
      <w:pPr>
        <w:sectPr>
          <w:pgSz w:w="11900" w:h="16838" w:orient="portrait"/>
          <w:cols w:equalWidth="0" w:num="1">
            <w:col w:w="10280"/>
          </w:cols>
          <w:pgMar w:left="240" w:top="979" w:right="137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Variable Trust- Putnam VT Small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Eric Harthun</w:t>
      </w:r>
    </w:p>
    <w:p>
      <w:pPr>
        <w:spacing w:after="0" w:line="13" w:lineRule="exact"/>
        <w:rPr>
          <w:sz w:val="20"/>
          <w:szCs w:val="20"/>
          <w:color w:val="auto"/>
        </w:rPr>
      </w:pPr>
    </w:p>
    <w:p>
      <w:pPr>
        <w:sectPr>
          <w:pgSz w:w="11900" w:h="16838" w:orient="portrait"/>
          <w:cols w:equalWidth="0" w:num="2">
            <w:col w:w="3840" w:space="720"/>
            <w:col w:w="5720"/>
          </w:cols>
          <w:pgMar w:left="240" w:top="979" w:right="13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Cap Value Fund</w:t>
      </w:r>
    </w:p>
    <w:p>
      <w:pPr>
        <w:sectPr>
          <w:pgSz w:w="11900" w:h="16838" w:orient="portrait"/>
          <w:cols w:equalWidth="0" w:num="1">
            <w:col w:w="10280"/>
          </w:cols>
          <w:pgMar w:left="240" w:top="979" w:right="137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Putnam World Trust II: Putnam U.S. Small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Eric Harthun</w:t>
      </w:r>
    </w:p>
    <w:p>
      <w:pPr>
        <w:spacing w:after="0" w:line="13" w:lineRule="exact"/>
        <w:rPr>
          <w:sz w:val="20"/>
          <w:szCs w:val="20"/>
          <w:color w:val="auto"/>
        </w:rPr>
      </w:pPr>
    </w:p>
    <w:p>
      <w:pPr>
        <w:sectPr>
          <w:pgSz w:w="11900" w:h="16838" w:orient="portrait"/>
          <w:cols w:equalWidth="0" w:num="2">
            <w:col w:w="3840" w:space="720"/>
            <w:col w:w="5720"/>
          </w:cols>
          <w:pgMar w:left="240" w:top="979" w:right="1379"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Cap Value Equity Fund (Dublin)</w:t>
      </w:r>
    </w:p>
    <w:p>
      <w:pPr>
        <w:sectPr>
          <w:pgSz w:w="11900" w:h="16838" w:orient="portrait"/>
          <w:cols w:equalWidth="0" w:num="1">
            <w:col w:w="10280"/>
          </w:cols>
          <w:pgMar w:left="240" w:top="979" w:right="137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Reservoir Capital Master Fund,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Reservoir Capital Partners,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Estate of Marvin Roth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Seidman &amp; Associates,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Seidman Investment Partnership II,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Seidman Investment Partnership,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Tucker Anthony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Weiss, Peck &amp; Greer,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Whiffletree Partners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Creek Capital Partners,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Willow Creek Offshore Fund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WPG Tudor Fund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Wynnefield Partners Small Cap Value, 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Wynnefield Partners Small Cap Value, LP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Wynnefield Small Cap Value Offshore Fund,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Daniel Stern, Craig Huff and Gregg Zeitlin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Daniel Stern, Craig Huff and Gregg Zeitlin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Philip Roth and Eugene Roth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Seidman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Seidman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Seidman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Lisa Ferris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Shuster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Whitman and Steve Berman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Aaron Braun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Aaron Braun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Walter Prendergast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Nelson Obus and Josh Landis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Nelson Obus and Josh Landis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Nelson Obus and Josh Landis</w:t>
      </w:r>
    </w:p>
    <w:p>
      <w:pPr>
        <w:spacing w:after="0" w:line="200" w:lineRule="exact"/>
        <w:rPr>
          <w:sz w:val="20"/>
          <w:szCs w:val="20"/>
          <w:color w:val="auto"/>
        </w:rPr>
      </w:pPr>
    </w:p>
    <w:p>
      <w:pPr>
        <w:sectPr>
          <w:pgSz w:w="11900" w:h="16838" w:orient="portrait"/>
          <w:cols w:equalWidth="0" w:num="2">
            <w:col w:w="4100" w:space="460"/>
            <w:col w:w="5720"/>
          </w:cols>
          <w:pgMar w:left="240" w:top="979" w:right="1379" w:bottom="1440" w:gutter="0" w:footer="0" w:header="0"/>
          <w:type w:val="continuous"/>
        </w:sectPr>
      </w:pPr>
    </w:p>
    <w:p>
      <w:pPr>
        <w:spacing w:after="0" w:line="32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80"/>
          </w:cols>
          <w:pgMar w:left="240" w:top="979" w:right="1379" w:bottom="1440" w:gutter="0" w:footer="0" w:header="0"/>
          <w:type w:val="continuous"/>
        </w:sectPr>
      </w:pPr>
    </w:p>
    <w:bookmarkStart w:id="19" w:name="page20"/>
    <w:bookmarkEnd w:id="19"/>
    <w:p>
      <w:pPr>
        <w:ind w:right="3079"/>
        <w:spacing w:after="0" w:line="261" w:lineRule="auto"/>
        <w:rPr>
          <w:sz w:val="20"/>
          <w:szCs w:val="20"/>
          <w:color w:val="auto"/>
        </w:rPr>
      </w:pPr>
      <w:r>
        <w:rPr>
          <w:rFonts w:ascii="Courier New" w:cs="Courier New" w:eastAsia="Courier New" w:hAnsi="Courier New"/>
          <w:sz w:val="14"/>
          <w:szCs w:val="14"/>
          <w:color w:val="auto"/>
        </w:rPr>
        <w:t>No dealer, salesman or other person has been authorized to give any information or to make representations other than those contained in this prospectus, and if given or made, such information or representations must not be relied upon as having been authorized by us or the selling stockholders. Neither the delivery of this prospectus nor any sale hereunder will, under any circumstances, create an implication that the information herein is correct as of any time subsequent to its date. This prospectus does not constitute an offer to or solicitation of offers by anyone in any jurisdiction in which such an offer or solicitation is not authorized or in which the person making such an offer is not qualified to do so or to anyone to whom it is unlawful to make such an offer or solicitation.</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24,809,338 SHARES</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CASUAL MALE RETAIL GROUP, INC.</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PROSPECTUS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11, 2002</w:t>
      </w:r>
    </w:p>
    <w:sectPr>
      <w:pgSz w:w="11900" w:h="16838" w:orient="portrait"/>
      <w:cols w:equalWidth="0" w:num="1">
        <w:col w:w="10219"/>
      </w:cols>
      <w:pgMar w:left="240" w:top="6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5"/>
    </w:lvl>
  </w:abstractNum>
  <w:abstractNum w:abstractNumId="4">
    <w:nsid w:val="46E87CCD"/>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2019-12-20T01:13:40Z</dcterms:created>
  <dcterms:modified xsi:type="dcterms:W3CDTF">2019-12-20T01:13:40Z</dcterms:modified>
</cp:coreProperties>
</file>