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Destination XL Group,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25065K104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12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18"/>
                <w:szCs w:val="18"/>
                <w:color w:val="auto"/>
              </w:rPr>
            </w:pPr>
          </w:p>
        </w:tc>
        <w:tc>
          <w:tcPr>
            <w:tcW w:w="1098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66"/>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RBC Global Asset Management (U.S.) Inc.</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10080" w:type="dxa"/>
            <w:vAlign w:val="bottom"/>
            <w:tcBorders>
              <w:bottom w:val="single" w:sz="8" w:color="auto"/>
              <w:right w:val="single" w:sz="8" w:color="auto"/>
            </w:tcBorders>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098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6"/>
              </w:rPr>
              <w:t>Minnesota</w:t>
            </w:r>
          </w:p>
        </w:tc>
        <w:tc>
          <w:tcPr>
            <w:tcW w:w="80" w:type="dxa"/>
            <w:vAlign w:val="bottom"/>
            <w:tcBorders>
              <w:bottom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20"/>
                <w:szCs w:val="20"/>
                <w:color w:val="auto"/>
              </w:rPr>
            </w:pPr>
          </w:p>
        </w:tc>
        <w:tc>
          <w:tcPr>
            <w:tcW w:w="10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5"/>
              </w:rPr>
              <w:t>Number of</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00" w:type="dxa"/>
            <w:vAlign w:val="bottom"/>
            <w:tcBorders>
              <w:left w:val="single" w:sz="8" w:color="auto"/>
            </w:tcBorders>
          </w:tcPr>
          <w:p>
            <w:pPr>
              <w:spacing w:after="0"/>
              <w:rPr>
                <w:sz w:val="20"/>
                <w:szCs w:val="20"/>
                <w:color w:val="auto"/>
              </w:rPr>
            </w:pPr>
          </w:p>
        </w:tc>
        <w:tc>
          <w:tcPr>
            <w:tcW w:w="74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Shares</w:t>
            </w: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20"/>
                <w:szCs w:val="20"/>
                <w:color w:val="auto"/>
              </w:rPr>
            </w:pPr>
          </w:p>
        </w:tc>
        <w:tc>
          <w:tcPr>
            <w:tcW w:w="10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3,994,690</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100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30"/>
              <w:spacing w:after="0" w:line="182" w:lineRule="exact"/>
              <w:rPr>
                <w:sz w:val="20"/>
                <w:szCs w:val="20"/>
                <w:color w:val="auto"/>
              </w:rPr>
            </w:pPr>
            <w:r>
              <w:rPr>
                <w:rFonts w:ascii="Arial" w:cs="Arial" w:eastAsia="Arial" w:hAnsi="Arial"/>
                <w:sz w:val="18"/>
                <w:szCs w:val="18"/>
                <w:color w:val="auto"/>
                <w:w w:val="87"/>
              </w:rPr>
              <w:t>Each</w:t>
            </w: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Borders>
              <w:right w:val="single" w:sz="8" w:color="auto"/>
            </w:tcBorders>
          </w:tcPr>
          <w:p>
            <w:pPr>
              <w:spacing w:after="0"/>
              <w:rPr>
                <w:sz w:val="15"/>
                <w:szCs w:val="15"/>
                <w:color w:val="auto"/>
              </w:rPr>
            </w:pPr>
          </w:p>
        </w:tc>
        <w:tc>
          <w:tcPr>
            <w:tcW w:w="100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Borders>
              <w:left w:val="single" w:sz="8" w:color="auto"/>
            </w:tcBorders>
          </w:tcPr>
          <w:p>
            <w:pPr>
              <w:spacing w:after="0"/>
              <w:rPr>
                <w:sz w:val="18"/>
                <w:szCs w:val="18"/>
                <w:color w:val="auto"/>
              </w:rPr>
            </w:pPr>
          </w:p>
        </w:tc>
        <w:tc>
          <w:tcPr>
            <w:tcW w:w="74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Person</w:t>
            </w:r>
          </w:p>
        </w:tc>
        <w:tc>
          <w:tcPr>
            <w:tcW w:w="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7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7"/>
              </w:rPr>
              <w:t>With:</w:t>
            </w:r>
          </w:p>
        </w:tc>
        <w:tc>
          <w:tcPr>
            <w:tcW w:w="2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Borders>
              <w:left w:val="single" w:sz="8" w:color="auto"/>
            </w:tcBorders>
          </w:tcPr>
          <w:p>
            <w:pPr>
              <w:spacing w:after="0"/>
              <w:rPr>
                <w:sz w:val="12"/>
                <w:szCs w:val="12"/>
                <w:color w:val="auto"/>
              </w:rPr>
            </w:pPr>
          </w:p>
        </w:tc>
        <w:tc>
          <w:tcPr>
            <w:tcW w:w="740" w:type="dxa"/>
            <w:vAlign w:val="bottom"/>
            <w:tcBorders>
              <w:right w:val="single" w:sz="8" w:color="auto"/>
            </w:tcBorders>
            <w:gridSpan w:val="2"/>
            <w:vMerge w:val="continue"/>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right w:val="single" w:sz="8" w:color="auto"/>
            </w:tcBorders>
          </w:tcPr>
          <w:p>
            <w:pPr>
              <w:spacing w:after="0"/>
              <w:rPr>
                <w:sz w:val="12"/>
                <w:szCs w:val="12"/>
                <w:color w:val="auto"/>
              </w:rPr>
            </w:pPr>
          </w:p>
        </w:tc>
        <w:tc>
          <w:tcPr>
            <w:tcW w:w="100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0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5,267,123</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20"/>
                <w:szCs w:val="20"/>
                <w:color w:val="auto"/>
              </w:rPr>
            </w:pPr>
          </w:p>
        </w:tc>
        <w:tc>
          <w:tcPr>
            <w:tcW w:w="980" w:type="dxa"/>
            <w:vAlign w:val="bottom"/>
            <w:gridSpan w:val="3"/>
          </w:tcPr>
          <w:p>
            <w:pPr>
              <w:ind w:left="80"/>
              <w:spacing w:after="0"/>
              <w:rPr>
                <w:sz w:val="20"/>
                <w:szCs w:val="20"/>
                <w:color w:val="auto"/>
              </w:rPr>
            </w:pPr>
            <w:r>
              <w:rPr>
                <w:rFonts w:ascii="Arial" w:cs="Arial" w:eastAsia="Arial" w:hAnsi="Arial"/>
                <w:sz w:val="18"/>
                <w:szCs w:val="18"/>
                <w:color w:val="auto"/>
              </w:rPr>
              <w:t>Aggregate</w:t>
            </w:r>
          </w:p>
        </w:tc>
        <w:tc>
          <w:tcPr>
            <w:tcW w:w="10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9"/>
              </w:rPr>
              <w:t>5,267,123</w:t>
            </w:r>
          </w:p>
        </w:tc>
        <w:tc>
          <w:tcPr>
            <w:tcW w:w="80" w:type="dxa"/>
            <w:vAlign w:val="bottom"/>
            <w:tcBorders>
              <w:bottom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10.8%</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IA</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p>
    <w:p>
      <w:pPr>
        <w:spacing w:after="0" w:line="135"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Destination XL Group, Inc.</w:t>
      </w:r>
    </w:p>
    <w:p>
      <w:pPr>
        <w:spacing w:after="0" w:line="116" w:lineRule="exact"/>
        <w:rPr>
          <w:sz w:val="20"/>
          <w:szCs w:val="20"/>
          <w:color w:val="auto"/>
        </w:rPr>
      </w:pPr>
    </w:p>
    <w:p>
      <w:pPr>
        <w:ind w:left="920" w:right="7100" w:hanging="466"/>
        <w:spacing w:after="0" w:line="258" w:lineRule="auto"/>
        <w:tabs>
          <w:tab w:leader="none" w:pos="898"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Issuer’s Principal Executive Offices 555 Turnpike Street</w:t>
      </w:r>
    </w:p>
    <w:p>
      <w:pPr>
        <w:spacing w:after="0" w:line="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Canton, Massachusetts 02021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5"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RBC Global Asset Management (U.S.) Inc.</w:t>
      </w:r>
    </w:p>
    <w:p>
      <w:pPr>
        <w:spacing w:after="0" w:line="116" w:lineRule="exact"/>
        <w:rPr>
          <w:rFonts w:ascii="Arial" w:cs="Arial" w:eastAsia="Arial" w:hAnsi="Arial"/>
          <w:sz w:val="18"/>
          <w:szCs w:val="18"/>
          <w:color w:val="auto"/>
        </w:rPr>
      </w:pPr>
    </w:p>
    <w:p>
      <w:pPr>
        <w:ind w:left="900" w:right="6240" w:hanging="446"/>
        <w:spacing w:after="0" w:line="258" w:lineRule="auto"/>
        <w:tabs>
          <w:tab w:leader="none" w:pos="897"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50 South Sixth StreetSuite 2350</w:t>
      </w:r>
    </w:p>
    <w:p>
      <w:pPr>
        <w:spacing w:after="0" w:line="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Minneapolis, Minnesota 55402</w:t>
      </w:r>
    </w:p>
    <w:p>
      <w:pPr>
        <w:spacing w:after="0" w:line="116"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RBC Global Asset Management (U.S.) Inc. is incorporated under the laws of Minnesota</w:t>
      </w:r>
    </w:p>
    <w:p>
      <w:pPr>
        <w:spacing w:after="0" w:line="116" w:lineRule="exact"/>
        <w:rPr>
          <w:rFonts w:ascii="Arial" w:cs="Arial" w:eastAsia="Arial" w:hAnsi="Arial"/>
          <w:sz w:val="18"/>
          <w:szCs w:val="18"/>
          <w:color w:val="auto"/>
        </w:rPr>
      </w:pPr>
    </w:p>
    <w:p>
      <w:pPr>
        <w:ind w:left="900" w:right="8600" w:hanging="446"/>
        <w:spacing w:after="0" w:line="342" w:lineRule="auto"/>
        <w:tabs>
          <w:tab w:leader="none" w:pos="897" w:val="left"/>
        </w:tabs>
        <w:numPr>
          <w:ilvl w:val="0"/>
          <w:numId w:val="5"/>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29" w:lineRule="exact"/>
        <w:rPr>
          <w:rFonts w:ascii="Arial" w:cs="Arial" w:eastAsia="Arial" w:hAnsi="Arial"/>
          <w:sz w:val="16"/>
          <w:szCs w:val="16"/>
          <w:color w:val="auto"/>
        </w:rPr>
      </w:pPr>
    </w:p>
    <w:p>
      <w:pPr>
        <w:ind w:left="900" w:right="9380" w:hanging="446"/>
        <w:spacing w:after="0" w:line="342" w:lineRule="auto"/>
        <w:tabs>
          <w:tab w:leader="none" w:pos="897" w:val="left"/>
        </w:tabs>
        <w:numPr>
          <w:ilvl w:val="0"/>
          <w:numId w:val="5"/>
        </w:numPr>
        <w:rPr>
          <w:rFonts w:ascii="Arial" w:cs="Arial" w:eastAsia="Arial" w:hAnsi="Arial"/>
          <w:sz w:val="16"/>
          <w:szCs w:val="16"/>
          <w:color w:val="auto"/>
        </w:rPr>
      </w:pPr>
      <w:r>
        <w:rPr>
          <w:rFonts w:ascii="Arial" w:cs="Arial" w:eastAsia="Arial" w:hAnsi="Arial"/>
          <w:sz w:val="16"/>
          <w:szCs w:val="16"/>
          <w:color w:val="auto"/>
        </w:rPr>
        <w:t>CUSIP Number 25065K104</w:t>
      </w: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02" w:lineRule="exact"/>
        <w:rPr>
          <w:sz w:val="20"/>
          <w:szCs w:val="20"/>
          <w:color w:val="auto"/>
        </w:rPr>
      </w:pPr>
    </w:p>
    <w:p>
      <w:pPr>
        <w:ind w:left="880" w:hanging="413"/>
        <w:spacing w:after="0" w:line="207" w:lineRule="exact"/>
        <w:tabs>
          <w:tab w:leader="none" w:pos="8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880" w:hanging="413"/>
        <w:spacing w:after="0" w:line="207" w:lineRule="exact"/>
        <w:tabs>
          <w:tab w:leader="none" w:pos="8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880" w:hanging="413"/>
        <w:spacing w:after="0" w:line="207" w:lineRule="exact"/>
        <w:tabs>
          <w:tab w:leader="none" w:pos="8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880" w:hanging="413"/>
        <w:spacing w:after="0" w:line="207" w:lineRule="exact"/>
        <w:tabs>
          <w:tab w:leader="none" w:pos="8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880" w:hanging="413"/>
        <w:spacing w:after="0" w:line="207" w:lineRule="exact"/>
        <w:tabs>
          <w:tab w:leader="none" w:pos="8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880" w:hanging="413"/>
        <w:spacing w:after="0" w:line="207" w:lineRule="exact"/>
        <w:tabs>
          <w:tab w:leader="none" w:pos="8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880" w:hanging="413"/>
        <w:spacing w:after="0" w:line="207" w:lineRule="exact"/>
        <w:tabs>
          <w:tab w:leader="none" w:pos="8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880" w:hanging="413"/>
        <w:spacing w:after="0" w:line="207" w:lineRule="exact"/>
        <w:tabs>
          <w:tab w:leader="none" w:pos="8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260" w:hanging="793"/>
        <w:spacing w:after="0" w:line="239" w:lineRule="exact"/>
        <w:tabs>
          <w:tab w:leader="none" w:pos="882"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880" w:hanging="413"/>
        <w:spacing w:after="0" w:line="207" w:lineRule="exact"/>
        <w:tabs>
          <w:tab w:leader="none" w:pos="8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13d-1(b)(1)(ii)(J);</w:t>
      </w:r>
    </w:p>
    <w:p>
      <w:pPr>
        <w:spacing w:after="0" w:line="117" w:lineRule="exact"/>
        <w:rPr>
          <w:rFonts w:ascii="Arial" w:cs="Arial" w:eastAsia="Arial" w:hAnsi="Arial"/>
          <w:sz w:val="18"/>
          <w:szCs w:val="18"/>
          <w:color w:val="auto"/>
        </w:rPr>
      </w:pPr>
    </w:p>
    <w:p>
      <w:pPr>
        <w:ind w:left="880" w:hanging="413"/>
        <w:spacing w:after="0" w:line="207" w:lineRule="exact"/>
        <w:tabs>
          <w:tab w:leader="none" w:pos="8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w:t>
      </w:r>
    </w:p>
    <w:p>
      <w:pPr>
        <w:sectPr>
          <w:pgSz w:w="11900" w:h="16838" w:orient="portrait"/>
          <w:cols w:equalWidth="0" w:num="1">
            <w:col w:w="11420"/>
          </w:cols>
          <w:pgMar w:left="240" w:top="270" w:right="239" w:bottom="1440" w:gutter="0" w:footer="0" w:header="0"/>
        </w:sectPr>
      </w:pPr>
    </w:p>
    <w:bookmarkStart w:id="3" w:name="page4"/>
    <w:bookmarkEnd w:id="3"/>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42"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See Item 9 of the Cover Page.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See Item 11 of the Cover Page.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30" w:lineRule="exact"/>
        <w:rPr>
          <w:rFonts w:ascii="Arial" w:cs="Arial" w:eastAsia="Arial" w:hAnsi="Arial"/>
          <w:sz w:val="18"/>
          <w:szCs w:val="18"/>
          <w:color w:val="auto"/>
        </w:rPr>
      </w:pPr>
    </w:p>
    <w:p>
      <w:pPr>
        <w:ind w:left="1500" w:right="7140" w:hanging="587"/>
        <w:spacing w:after="0" w:line="308" w:lineRule="auto"/>
        <w:tabs>
          <w:tab w:leader="none" w:pos="1489" w:val="left"/>
        </w:tabs>
        <w:numPr>
          <w:ilvl w:val="1"/>
          <w:numId w:val="7"/>
        </w:numPr>
        <w:rPr>
          <w:rFonts w:ascii="Arial" w:cs="Arial" w:eastAsia="Arial" w:hAnsi="Arial"/>
          <w:sz w:val="17"/>
          <w:szCs w:val="17"/>
          <w:color w:val="auto"/>
        </w:rPr>
      </w:pPr>
      <w:r>
        <w:rPr>
          <w:rFonts w:ascii="Arial" w:cs="Arial" w:eastAsia="Arial" w:hAnsi="Arial"/>
          <w:sz w:val="17"/>
          <w:szCs w:val="17"/>
          <w:color w:val="auto"/>
        </w:rPr>
        <w:t>Sole power to vote or to direct the vote See Item 5 of the Cover Page.</w:t>
      </w:r>
    </w:p>
    <w:p>
      <w:pPr>
        <w:spacing w:after="0" w:line="51" w:lineRule="exact"/>
        <w:rPr>
          <w:rFonts w:ascii="Arial" w:cs="Arial" w:eastAsia="Arial" w:hAnsi="Arial"/>
          <w:sz w:val="17"/>
          <w:szCs w:val="17"/>
          <w:color w:val="auto"/>
        </w:rPr>
      </w:pPr>
    </w:p>
    <w:p>
      <w:pPr>
        <w:ind w:left="1500" w:right="6960" w:hanging="587"/>
        <w:spacing w:after="0" w:line="277" w:lineRule="auto"/>
        <w:tabs>
          <w:tab w:leader="none" w:pos="1489"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6 of the Cover Page.</w:t>
      </w:r>
    </w:p>
    <w:p>
      <w:pPr>
        <w:spacing w:after="0" w:line="75" w:lineRule="exact"/>
        <w:rPr>
          <w:rFonts w:ascii="Arial" w:cs="Arial" w:eastAsia="Arial" w:hAnsi="Arial"/>
          <w:sz w:val="18"/>
          <w:szCs w:val="18"/>
          <w:color w:val="auto"/>
        </w:rPr>
      </w:pPr>
    </w:p>
    <w:p>
      <w:pPr>
        <w:ind w:left="1500" w:right="6220" w:hanging="587"/>
        <w:spacing w:after="0" w:line="277" w:lineRule="auto"/>
        <w:tabs>
          <w:tab w:leader="none" w:pos="1489"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Item 7 of the Cover Page.</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Item 8 of the Cover Page.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 see §240.13d-3(d)(1).</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jc w:val="both"/>
        <w:ind w:left="92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270" w:right="239" w:bottom="1440" w:gutter="0" w:footer="0" w:header="0"/>
        </w:sectPr>
      </w:pPr>
    </w:p>
    <w:bookmarkStart w:id="4" w:name="page5"/>
    <w:bookmarkEnd w:id="4"/>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2018</w:t>
      </w:r>
    </w:p>
    <w:p>
      <w:pPr>
        <w:spacing w:after="0" w:line="252"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RBC GLOBAL ASSET MANAGEMENT (U.S.) INC.</w:t>
      </w:r>
    </w:p>
    <w:p>
      <w:pPr>
        <w:spacing w:after="0" w:line="22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Carol Kuha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Carol Kuha /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Name/Title</w:t>
      </w:r>
    </w:p>
    <w:sectPr>
      <w:pgSz w:w="11900" w:h="16838" w:orient="portrait"/>
      <w:cols w:equalWidth="0" w:num="1">
        <w:col w:w="10920"/>
      </w:cols>
      <w:pgMar w:left="240" w:top="27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2019-12-20T23:01:29Z</dcterms:created>
  <dcterms:modified xsi:type="dcterms:W3CDTF">2019-12-20T23:01:29Z</dcterms:modified>
</cp:coreProperties>
</file>