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Destination XL Group,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25065K104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w:t>
      </w:r>
    </w:p>
    <w:p>
      <w:pPr>
        <w:spacing w:after="0" w:line="27" w:lineRule="exact"/>
        <w:rPr>
          <w:sz w:val="24"/>
          <w:szCs w:val="24"/>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1"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8"/>
          <w:szCs w:val="18"/>
          <w:color w:val="auto"/>
        </w:rPr>
        <w:t>1</w:t>
        <w:tab/>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Glenhill Advisors, LLC</w:t>
            </w:r>
          </w:p>
        </w:tc>
        <w:tc>
          <w:tcPr>
            <w:tcW w:w="0" w:type="dxa"/>
            <w:vAlign w:val="bottom"/>
          </w:tcPr>
          <w:p>
            <w:pPr>
              <w:spacing w:after="0"/>
              <w:rPr>
                <w:sz w:val="1"/>
                <w:szCs w:val="1"/>
                <w:color w:val="auto"/>
              </w:rPr>
            </w:pPr>
          </w:p>
        </w:tc>
      </w:tr>
      <w:tr>
        <w:trPr>
          <w:trHeight w:val="163"/>
        </w:trPr>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11020" w:type="dxa"/>
            <w:vAlign w:val="bottom"/>
            <w:gridSpan w:val="5"/>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4,045,150</w:t>
            </w:r>
          </w:p>
        </w:tc>
        <w:tc>
          <w:tcPr>
            <w:tcW w:w="0" w:type="dxa"/>
            <w:vAlign w:val="bottom"/>
          </w:tcPr>
          <w:p>
            <w:pPr>
              <w:spacing w:after="0"/>
              <w:rPr>
                <w:sz w:val="1"/>
                <w:szCs w:val="1"/>
                <w:color w:val="auto"/>
              </w:rPr>
            </w:pPr>
          </w:p>
        </w:tc>
      </w:tr>
      <w:tr>
        <w:trPr>
          <w:trHeight w:val="43"/>
        </w:trPr>
        <w:tc>
          <w:tcPr>
            <w:tcW w:w="116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Borders>
              <w:right w:val="single" w:sz="8" w:color="auto"/>
            </w:tcBorders>
          </w:tcPr>
          <w:p>
            <w:pPr>
              <w:spacing w:after="0"/>
              <w:rPr>
                <w:sz w:val="3"/>
                <w:szCs w:val="3"/>
                <w:color w:val="auto"/>
              </w:rPr>
            </w:pPr>
          </w:p>
        </w:tc>
        <w:tc>
          <w:tcPr>
            <w:tcW w:w="10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425,299</w:t>
            </w:r>
          </w:p>
        </w:tc>
        <w:tc>
          <w:tcPr>
            <w:tcW w:w="0" w:type="dxa"/>
            <w:vAlign w:val="bottom"/>
          </w:tcPr>
          <w:p>
            <w:pPr>
              <w:spacing w:after="0"/>
              <w:rPr>
                <w:sz w:val="1"/>
                <w:szCs w:val="1"/>
                <w:color w:val="auto"/>
              </w:rPr>
            </w:pPr>
          </w:p>
        </w:tc>
      </w:tr>
      <w:tr>
        <w:trPr>
          <w:trHeight w:val="234"/>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78" w:lineRule="exact"/>
              <w:rPr>
                <w:sz w:val="20"/>
                <w:szCs w:val="20"/>
                <w:color w:val="auto"/>
              </w:rPr>
            </w:pPr>
            <w:r>
              <w:rPr>
                <w:rFonts w:ascii="Times New Roman" w:cs="Times New Roman" w:eastAsia="Times New Roman" w:hAnsi="Times New Roman"/>
                <w:sz w:val="18"/>
                <w:szCs w:val="18"/>
                <w:color w:val="auto"/>
              </w:rPr>
              <w:t>each</w:t>
            </w:r>
          </w:p>
        </w:tc>
        <w:tc>
          <w:tcPr>
            <w:tcW w:w="60" w:type="dxa"/>
            <w:vAlign w:val="bottom"/>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740" w:type="dxa"/>
            <w:vAlign w:val="bottom"/>
            <w:tcBorders>
              <w:right w:val="single" w:sz="8" w:color="auto"/>
            </w:tcBorders>
          </w:tcPr>
          <w:p>
            <w:pPr>
              <w:jc w:val="center"/>
              <w:ind w:right="165"/>
              <w:spacing w:after="0"/>
              <w:rPr>
                <w:sz w:val="20"/>
                <w:szCs w:val="20"/>
                <w:color w:val="auto"/>
              </w:rPr>
            </w:pPr>
            <w:r>
              <w:rPr>
                <w:rFonts w:ascii="Times New Roman" w:cs="Times New Roman" w:eastAsia="Times New Roman" w:hAnsi="Times New Roman"/>
                <w:sz w:val="18"/>
                <w:szCs w:val="18"/>
                <w:color w:val="auto"/>
                <w:w w:val="99"/>
              </w:rPr>
              <w:t>person</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0040" w:type="dxa"/>
            <w:vAlign w:val="bottom"/>
          </w:tcPr>
          <w:p>
            <w:pPr>
              <w:ind w:left="360"/>
              <w:spacing w:after="0" w:line="248" w:lineRule="exact"/>
              <w:rPr>
                <w:sz w:val="20"/>
                <w:szCs w:val="20"/>
                <w:color w:val="auto"/>
              </w:rPr>
            </w:pPr>
            <w:r>
              <w:rPr>
                <w:rFonts w:ascii="Times New Roman" w:cs="Times New Roman" w:eastAsia="Times New Roman" w:hAnsi="Times New Roman"/>
                <w:sz w:val="22"/>
                <w:szCs w:val="22"/>
                <w:color w:val="auto"/>
              </w:rPr>
              <w:t>4,470,449</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Times New Roman" w:cs="Times New Roman" w:eastAsia="Times New Roman" w:hAnsi="Times New Roman"/>
                <w:sz w:val="18"/>
                <w:szCs w:val="18"/>
                <w:color w:val="auto"/>
              </w:rPr>
              <w:t>with:</w:t>
            </w: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Borders>
              <w:right w:val="single" w:sz="8" w:color="auto"/>
            </w:tcBorders>
          </w:tcPr>
          <w:p>
            <w:pPr>
              <w:spacing w:after="0"/>
              <w:rPr>
                <w:sz w:val="12"/>
                <w:szCs w:val="12"/>
                <w:color w:val="auto"/>
              </w:rPr>
            </w:pPr>
          </w:p>
        </w:tc>
        <w:tc>
          <w:tcPr>
            <w:tcW w:w="10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9"/>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w:t>
            </w: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4,470,449</w:t>
            </w:r>
          </w:p>
        </w:tc>
        <w:tc>
          <w:tcPr>
            <w:tcW w:w="0" w:type="dxa"/>
            <w:vAlign w:val="bottom"/>
          </w:tcPr>
          <w:p>
            <w:pPr>
              <w:spacing w:after="0"/>
              <w:rPr>
                <w:sz w:val="1"/>
                <w:szCs w:val="1"/>
                <w:color w:val="auto"/>
              </w:rPr>
            </w:pPr>
          </w:p>
        </w:tc>
      </w:tr>
      <w:tr>
        <w:trPr>
          <w:trHeight w:val="277"/>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20" w:type="dxa"/>
            <w:vAlign w:val="bottom"/>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3"/>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22"/>
                <w:szCs w:val="22"/>
                <w:color w:val="auto"/>
              </w:rPr>
              <w:t>8.8%</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IA,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71"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8"/>
          <w:szCs w:val="18"/>
          <w:color w:val="auto"/>
        </w:rPr>
        <w:t>1</w:t>
        <w:tab/>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Glenn J. Krevlin</w:t>
            </w:r>
          </w:p>
        </w:tc>
        <w:tc>
          <w:tcPr>
            <w:tcW w:w="0" w:type="dxa"/>
            <w:vAlign w:val="bottom"/>
          </w:tcPr>
          <w:p>
            <w:pPr>
              <w:spacing w:after="0"/>
              <w:rPr>
                <w:sz w:val="1"/>
                <w:szCs w:val="1"/>
                <w:color w:val="auto"/>
              </w:rPr>
            </w:pPr>
          </w:p>
        </w:tc>
      </w:tr>
      <w:tr>
        <w:trPr>
          <w:trHeight w:val="163"/>
        </w:trPr>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11020" w:type="dxa"/>
            <w:vAlign w:val="bottom"/>
            <w:gridSpan w:val="5"/>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4,045,150</w:t>
            </w:r>
          </w:p>
        </w:tc>
        <w:tc>
          <w:tcPr>
            <w:tcW w:w="0" w:type="dxa"/>
            <w:vAlign w:val="bottom"/>
          </w:tcPr>
          <w:p>
            <w:pPr>
              <w:spacing w:after="0"/>
              <w:rPr>
                <w:sz w:val="1"/>
                <w:szCs w:val="1"/>
                <w:color w:val="auto"/>
              </w:rPr>
            </w:pPr>
          </w:p>
        </w:tc>
      </w:tr>
      <w:tr>
        <w:trPr>
          <w:trHeight w:val="43"/>
        </w:trPr>
        <w:tc>
          <w:tcPr>
            <w:tcW w:w="116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Borders>
              <w:right w:val="single" w:sz="8" w:color="auto"/>
            </w:tcBorders>
          </w:tcPr>
          <w:p>
            <w:pPr>
              <w:spacing w:after="0"/>
              <w:rPr>
                <w:sz w:val="3"/>
                <w:szCs w:val="3"/>
                <w:color w:val="auto"/>
              </w:rPr>
            </w:pPr>
          </w:p>
        </w:tc>
        <w:tc>
          <w:tcPr>
            <w:tcW w:w="10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425,299</w:t>
            </w:r>
          </w:p>
        </w:tc>
        <w:tc>
          <w:tcPr>
            <w:tcW w:w="0" w:type="dxa"/>
            <w:vAlign w:val="bottom"/>
          </w:tcPr>
          <w:p>
            <w:pPr>
              <w:spacing w:after="0"/>
              <w:rPr>
                <w:sz w:val="1"/>
                <w:szCs w:val="1"/>
                <w:color w:val="auto"/>
              </w:rPr>
            </w:pPr>
          </w:p>
        </w:tc>
      </w:tr>
      <w:tr>
        <w:trPr>
          <w:trHeight w:val="234"/>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78" w:lineRule="exact"/>
              <w:rPr>
                <w:sz w:val="20"/>
                <w:szCs w:val="20"/>
                <w:color w:val="auto"/>
              </w:rPr>
            </w:pPr>
            <w:r>
              <w:rPr>
                <w:rFonts w:ascii="Times New Roman" w:cs="Times New Roman" w:eastAsia="Times New Roman" w:hAnsi="Times New Roman"/>
                <w:sz w:val="18"/>
                <w:szCs w:val="18"/>
                <w:color w:val="auto"/>
              </w:rPr>
              <w:t>each</w:t>
            </w:r>
          </w:p>
        </w:tc>
        <w:tc>
          <w:tcPr>
            <w:tcW w:w="60" w:type="dxa"/>
            <w:vAlign w:val="bottom"/>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740" w:type="dxa"/>
            <w:vAlign w:val="bottom"/>
            <w:tcBorders>
              <w:right w:val="single" w:sz="8" w:color="auto"/>
            </w:tcBorders>
          </w:tcPr>
          <w:p>
            <w:pPr>
              <w:jc w:val="center"/>
              <w:ind w:right="165"/>
              <w:spacing w:after="0"/>
              <w:rPr>
                <w:sz w:val="20"/>
                <w:szCs w:val="20"/>
                <w:color w:val="auto"/>
              </w:rPr>
            </w:pPr>
            <w:r>
              <w:rPr>
                <w:rFonts w:ascii="Times New Roman" w:cs="Times New Roman" w:eastAsia="Times New Roman" w:hAnsi="Times New Roman"/>
                <w:sz w:val="18"/>
                <w:szCs w:val="18"/>
                <w:color w:val="auto"/>
                <w:w w:val="99"/>
              </w:rPr>
              <w:t>person</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0040" w:type="dxa"/>
            <w:vAlign w:val="bottom"/>
          </w:tcPr>
          <w:p>
            <w:pPr>
              <w:ind w:left="360"/>
              <w:spacing w:after="0" w:line="248" w:lineRule="exact"/>
              <w:rPr>
                <w:sz w:val="20"/>
                <w:szCs w:val="20"/>
                <w:color w:val="auto"/>
              </w:rPr>
            </w:pPr>
            <w:r>
              <w:rPr>
                <w:rFonts w:ascii="Times New Roman" w:cs="Times New Roman" w:eastAsia="Times New Roman" w:hAnsi="Times New Roman"/>
                <w:sz w:val="22"/>
                <w:szCs w:val="22"/>
                <w:color w:val="auto"/>
              </w:rPr>
              <w:t>4,470,449</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Times New Roman" w:cs="Times New Roman" w:eastAsia="Times New Roman" w:hAnsi="Times New Roman"/>
                <w:sz w:val="18"/>
                <w:szCs w:val="18"/>
                <w:color w:val="auto"/>
              </w:rPr>
              <w:t>with:</w:t>
            </w: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Borders>
              <w:right w:val="single" w:sz="8" w:color="auto"/>
            </w:tcBorders>
          </w:tcPr>
          <w:p>
            <w:pPr>
              <w:spacing w:after="0"/>
              <w:rPr>
                <w:sz w:val="12"/>
                <w:szCs w:val="12"/>
                <w:color w:val="auto"/>
              </w:rPr>
            </w:pPr>
          </w:p>
        </w:tc>
        <w:tc>
          <w:tcPr>
            <w:tcW w:w="10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9"/>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w:t>
            </w: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4,470,449</w:t>
            </w:r>
          </w:p>
        </w:tc>
        <w:tc>
          <w:tcPr>
            <w:tcW w:w="0" w:type="dxa"/>
            <w:vAlign w:val="bottom"/>
          </w:tcPr>
          <w:p>
            <w:pPr>
              <w:spacing w:after="0"/>
              <w:rPr>
                <w:sz w:val="1"/>
                <w:szCs w:val="1"/>
                <w:color w:val="auto"/>
              </w:rPr>
            </w:pPr>
          </w:p>
        </w:tc>
      </w:tr>
      <w:tr>
        <w:trPr>
          <w:trHeight w:val="277"/>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20" w:type="dxa"/>
            <w:vAlign w:val="bottom"/>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3"/>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22"/>
                <w:szCs w:val="22"/>
                <w:color w:val="auto"/>
              </w:rPr>
              <w:t>8.8%</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IN,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71"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8"/>
          <w:szCs w:val="18"/>
          <w:color w:val="auto"/>
        </w:rPr>
        <w:t>1</w:t>
        <w:tab/>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Glenhill Capital Advisors, LLC</w:t>
            </w:r>
          </w:p>
        </w:tc>
        <w:tc>
          <w:tcPr>
            <w:tcW w:w="0" w:type="dxa"/>
            <w:vAlign w:val="bottom"/>
          </w:tcPr>
          <w:p>
            <w:pPr>
              <w:spacing w:after="0"/>
              <w:rPr>
                <w:sz w:val="1"/>
                <w:szCs w:val="1"/>
                <w:color w:val="auto"/>
              </w:rPr>
            </w:pPr>
          </w:p>
        </w:tc>
      </w:tr>
      <w:tr>
        <w:trPr>
          <w:trHeight w:val="163"/>
        </w:trPr>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11020" w:type="dxa"/>
            <w:vAlign w:val="bottom"/>
            <w:gridSpan w:val="5"/>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16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Borders>
              <w:right w:val="single" w:sz="8" w:color="auto"/>
            </w:tcBorders>
          </w:tcPr>
          <w:p>
            <w:pPr>
              <w:spacing w:after="0"/>
              <w:rPr>
                <w:sz w:val="3"/>
                <w:szCs w:val="3"/>
                <w:color w:val="auto"/>
              </w:rPr>
            </w:pPr>
          </w:p>
        </w:tc>
        <w:tc>
          <w:tcPr>
            <w:tcW w:w="10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4,470,449</w:t>
            </w:r>
          </w:p>
        </w:tc>
        <w:tc>
          <w:tcPr>
            <w:tcW w:w="0" w:type="dxa"/>
            <w:vAlign w:val="bottom"/>
          </w:tcPr>
          <w:p>
            <w:pPr>
              <w:spacing w:after="0"/>
              <w:rPr>
                <w:sz w:val="1"/>
                <w:szCs w:val="1"/>
                <w:color w:val="auto"/>
              </w:rPr>
            </w:pPr>
          </w:p>
        </w:tc>
      </w:tr>
      <w:tr>
        <w:trPr>
          <w:trHeight w:val="234"/>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78" w:lineRule="exact"/>
              <w:rPr>
                <w:sz w:val="20"/>
                <w:szCs w:val="20"/>
                <w:color w:val="auto"/>
              </w:rPr>
            </w:pPr>
            <w:r>
              <w:rPr>
                <w:rFonts w:ascii="Times New Roman" w:cs="Times New Roman" w:eastAsia="Times New Roman" w:hAnsi="Times New Roman"/>
                <w:sz w:val="18"/>
                <w:szCs w:val="18"/>
                <w:color w:val="auto"/>
              </w:rPr>
              <w:t>each</w:t>
            </w:r>
          </w:p>
        </w:tc>
        <w:tc>
          <w:tcPr>
            <w:tcW w:w="60" w:type="dxa"/>
            <w:vAlign w:val="bottom"/>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740" w:type="dxa"/>
            <w:vAlign w:val="bottom"/>
            <w:tcBorders>
              <w:right w:val="single" w:sz="8" w:color="auto"/>
            </w:tcBorders>
          </w:tcPr>
          <w:p>
            <w:pPr>
              <w:jc w:val="center"/>
              <w:ind w:right="165"/>
              <w:spacing w:after="0"/>
              <w:rPr>
                <w:sz w:val="20"/>
                <w:szCs w:val="20"/>
                <w:color w:val="auto"/>
              </w:rPr>
            </w:pPr>
            <w:r>
              <w:rPr>
                <w:rFonts w:ascii="Times New Roman" w:cs="Times New Roman" w:eastAsia="Times New Roman" w:hAnsi="Times New Roman"/>
                <w:sz w:val="18"/>
                <w:szCs w:val="18"/>
                <w:color w:val="auto"/>
                <w:w w:val="99"/>
              </w:rPr>
              <w:t>person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40" w:type="dxa"/>
            <w:vAlign w:val="bottom"/>
          </w:tcPr>
          <w:p>
            <w:pPr>
              <w:ind w:left="30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Times New Roman" w:cs="Times New Roman" w:eastAsia="Times New Roman" w:hAnsi="Times New Roman"/>
                <w:sz w:val="18"/>
                <w:szCs w:val="18"/>
                <w:color w:val="auto"/>
              </w:rPr>
              <w:t>with:</w:t>
            </w: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Borders>
              <w:right w:val="single" w:sz="8" w:color="auto"/>
            </w:tcBorders>
          </w:tcPr>
          <w:p>
            <w:pPr>
              <w:spacing w:after="0"/>
              <w:rPr>
                <w:sz w:val="11"/>
                <w:szCs w:val="11"/>
                <w:color w:val="auto"/>
              </w:rPr>
            </w:pPr>
          </w:p>
        </w:tc>
        <w:tc>
          <w:tcPr>
            <w:tcW w:w="10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4,470,449</w:t>
            </w:r>
          </w:p>
        </w:tc>
        <w:tc>
          <w:tcPr>
            <w:tcW w:w="0" w:type="dxa"/>
            <w:vAlign w:val="bottom"/>
          </w:tcPr>
          <w:p>
            <w:pPr>
              <w:spacing w:after="0"/>
              <w:rPr>
                <w:sz w:val="1"/>
                <w:szCs w:val="1"/>
                <w:color w:val="auto"/>
              </w:rPr>
            </w:pPr>
          </w:p>
        </w:tc>
      </w:tr>
      <w:tr>
        <w:trPr>
          <w:trHeight w:val="229"/>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w:t>
            </w: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4,470,449</w:t>
            </w:r>
          </w:p>
        </w:tc>
        <w:tc>
          <w:tcPr>
            <w:tcW w:w="0" w:type="dxa"/>
            <w:vAlign w:val="bottom"/>
          </w:tcPr>
          <w:p>
            <w:pPr>
              <w:spacing w:after="0"/>
              <w:rPr>
                <w:sz w:val="1"/>
                <w:szCs w:val="1"/>
                <w:color w:val="auto"/>
              </w:rPr>
            </w:pPr>
          </w:p>
        </w:tc>
      </w:tr>
      <w:tr>
        <w:trPr>
          <w:trHeight w:val="277"/>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20" w:type="dxa"/>
            <w:vAlign w:val="bottom"/>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3"/>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22"/>
                <w:szCs w:val="22"/>
                <w:color w:val="auto"/>
              </w:rPr>
              <w:t>8.8%</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IA,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71"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8"/>
          <w:szCs w:val="18"/>
          <w:color w:val="auto"/>
        </w:rPr>
        <w:t>1</w:t>
        <w:tab/>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Glenhill Capital Management, LLC</w:t>
            </w:r>
          </w:p>
        </w:tc>
        <w:tc>
          <w:tcPr>
            <w:tcW w:w="0" w:type="dxa"/>
            <w:vAlign w:val="bottom"/>
          </w:tcPr>
          <w:p>
            <w:pPr>
              <w:spacing w:after="0"/>
              <w:rPr>
                <w:sz w:val="1"/>
                <w:szCs w:val="1"/>
                <w:color w:val="auto"/>
              </w:rPr>
            </w:pPr>
          </w:p>
        </w:tc>
      </w:tr>
      <w:tr>
        <w:trPr>
          <w:trHeight w:val="163"/>
        </w:trPr>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11020" w:type="dxa"/>
            <w:vAlign w:val="bottom"/>
            <w:gridSpan w:val="5"/>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16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Borders>
              <w:right w:val="single" w:sz="8" w:color="auto"/>
            </w:tcBorders>
          </w:tcPr>
          <w:p>
            <w:pPr>
              <w:spacing w:after="0"/>
              <w:rPr>
                <w:sz w:val="3"/>
                <w:szCs w:val="3"/>
                <w:color w:val="auto"/>
              </w:rPr>
            </w:pPr>
          </w:p>
        </w:tc>
        <w:tc>
          <w:tcPr>
            <w:tcW w:w="10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4,045,150</w:t>
            </w:r>
          </w:p>
        </w:tc>
        <w:tc>
          <w:tcPr>
            <w:tcW w:w="0" w:type="dxa"/>
            <w:vAlign w:val="bottom"/>
          </w:tcPr>
          <w:p>
            <w:pPr>
              <w:spacing w:after="0"/>
              <w:rPr>
                <w:sz w:val="1"/>
                <w:szCs w:val="1"/>
                <w:color w:val="auto"/>
              </w:rPr>
            </w:pPr>
          </w:p>
        </w:tc>
      </w:tr>
      <w:tr>
        <w:trPr>
          <w:trHeight w:val="234"/>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78" w:lineRule="exact"/>
              <w:rPr>
                <w:sz w:val="20"/>
                <w:szCs w:val="20"/>
                <w:color w:val="auto"/>
              </w:rPr>
            </w:pPr>
            <w:r>
              <w:rPr>
                <w:rFonts w:ascii="Times New Roman" w:cs="Times New Roman" w:eastAsia="Times New Roman" w:hAnsi="Times New Roman"/>
                <w:sz w:val="18"/>
                <w:szCs w:val="18"/>
                <w:color w:val="auto"/>
              </w:rPr>
              <w:t>each</w:t>
            </w:r>
          </w:p>
        </w:tc>
        <w:tc>
          <w:tcPr>
            <w:tcW w:w="60" w:type="dxa"/>
            <w:vAlign w:val="bottom"/>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740" w:type="dxa"/>
            <w:vAlign w:val="bottom"/>
            <w:tcBorders>
              <w:right w:val="single" w:sz="8" w:color="auto"/>
            </w:tcBorders>
          </w:tcPr>
          <w:p>
            <w:pPr>
              <w:jc w:val="center"/>
              <w:ind w:right="165"/>
              <w:spacing w:after="0"/>
              <w:rPr>
                <w:sz w:val="20"/>
                <w:szCs w:val="20"/>
                <w:color w:val="auto"/>
              </w:rPr>
            </w:pPr>
            <w:r>
              <w:rPr>
                <w:rFonts w:ascii="Times New Roman" w:cs="Times New Roman" w:eastAsia="Times New Roman" w:hAnsi="Times New Roman"/>
                <w:sz w:val="18"/>
                <w:szCs w:val="18"/>
                <w:color w:val="auto"/>
                <w:w w:val="99"/>
              </w:rPr>
              <w:t>person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40" w:type="dxa"/>
            <w:vAlign w:val="bottom"/>
          </w:tcPr>
          <w:p>
            <w:pPr>
              <w:ind w:left="30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Times New Roman" w:cs="Times New Roman" w:eastAsia="Times New Roman" w:hAnsi="Times New Roman"/>
                <w:sz w:val="18"/>
                <w:szCs w:val="18"/>
                <w:color w:val="auto"/>
              </w:rPr>
              <w:t>with:</w:t>
            </w: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Borders>
              <w:right w:val="single" w:sz="8" w:color="auto"/>
            </w:tcBorders>
          </w:tcPr>
          <w:p>
            <w:pPr>
              <w:spacing w:after="0"/>
              <w:rPr>
                <w:sz w:val="11"/>
                <w:szCs w:val="11"/>
                <w:color w:val="auto"/>
              </w:rPr>
            </w:pPr>
          </w:p>
        </w:tc>
        <w:tc>
          <w:tcPr>
            <w:tcW w:w="10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4,045,150</w:t>
            </w:r>
          </w:p>
        </w:tc>
        <w:tc>
          <w:tcPr>
            <w:tcW w:w="0" w:type="dxa"/>
            <w:vAlign w:val="bottom"/>
          </w:tcPr>
          <w:p>
            <w:pPr>
              <w:spacing w:after="0"/>
              <w:rPr>
                <w:sz w:val="1"/>
                <w:szCs w:val="1"/>
                <w:color w:val="auto"/>
              </w:rPr>
            </w:pPr>
          </w:p>
        </w:tc>
      </w:tr>
      <w:tr>
        <w:trPr>
          <w:trHeight w:val="229"/>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w:t>
            </w: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4,045,150</w:t>
            </w:r>
          </w:p>
        </w:tc>
        <w:tc>
          <w:tcPr>
            <w:tcW w:w="0" w:type="dxa"/>
            <w:vAlign w:val="bottom"/>
          </w:tcPr>
          <w:p>
            <w:pPr>
              <w:spacing w:after="0"/>
              <w:rPr>
                <w:sz w:val="1"/>
                <w:szCs w:val="1"/>
                <w:color w:val="auto"/>
              </w:rPr>
            </w:pPr>
          </w:p>
        </w:tc>
      </w:tr>
      <w:tr>
        <w:trPr>
          <w:trHeight w:val="277"/>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20" w:type="dxa"/>
            <w:vAlign w:val="bottom"/>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3"/>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22"/>
                <w:szCs w:val="22"/>
                <w:color w:val="auto"/>
              </w:rPr>
              <w:t>7.9%</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IA,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71"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8"/>
          <w:szCs w:val="18"/>
          <w:color w:val="auto"/>
        </w:rPr>
        <w:t>1</w:t>
        <w:tab/>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Glenhill Capital Overseas Master Fund, LP</w:t>
            </w:r>
          </w:p>
        </w:tc>
        <w:tc>
          <w:tcPr>
            <w:tcW w:w="0" w:type="dxa"/>
            <w:vAlign w:val="bottom"/>
          </w:tcPr>
          <w:p>
            <w:pPr>
              <w:spacing w:after="0"/>
              <w:rPr>
                <w:sz w:val="1"/>
                <w:szCs w:val="1"/>
                <w:color w:val="auto"/>
              </w:rPr>
            </w:pPr>
          </w:p>
        </w:tc>
      </w:tr>
      <w:tr>
        <w:trPr>
          <w:trHeight w:val="163"/>
        </w:trPr>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11020" w:type="dxa"/>
            <w:vAlign w:val="bottom"/>
            <w:gridSpan w:val="5"/>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Cayman</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16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Borders>
              <w:right w:val="single" w:sz="8" w:color="auto"/>
            </w:tcBorders>
          </w:tcPr>
          <w:p>
            <w:pPr>
              <w:spacing w:after="0"/>
              <w:rPr>
                <w:sz w:val="3"/>
                <w:szCs w:val="3"/>
                <w:color w:val="auto"/>
              </w:rPr>
            </w:pPr>
          </w:p>
        </w:tc>
        <w:tc>
          <w:tcPr>
            <w:tcW w:w="10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2,613,573</w:t>
            </w:r>
          </w:p>
        </w:tc>
        <w:tc>
          <w:tcPr>
            <w:tcW w:w="0" w:type="dxa"/>
            <w:vAlign w:val="bottom"/>
          </w:tcPr>
          <w:p>
            <w:pPr>
              <w:spacing w:after="0"/>
              <w:rPr>
                <w:sz w:val="1"/>
                <w:szCs w:val="1"/>
                <w:color w:val="auto"/>
              </w:rPr>
            </w:pPr>
          </w:p>
        </w:tc>
      </w:tr>
      <w:tr>
        <w:trPr>
          <w:trHeight w:val="234"/>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78" w:lineRule="exact"/>
              <w:rPr>
                <w:sz w:val="20"/>
                <w:szCs w:val="20"/>
                <w:color w:val="auto"/>
              </w:rPr>
            </w:pPr>
            <w:r>
              <w:rPr>
                <w:rFonts w:ascii="Times New Roman" w:cs="Times New Roman" w:eastAsia="Times New Roman" w:hAnsi="Times New Roman"/>
                <w:sz w:val="18"/>
                <w:szCs w:val="18"/>
                <w:color w:val="auto"/>
              </w:rPr>
              <w:t>each</w:t>
            </w:r>
          </w:p>
        </w:tc>
        <w:tc>
          <w:tcPr>
            <w:tcW w:w="60" w:type="dxa"/>
            <w:vAlign w:val="bottom"/>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740" w:type="dxa"/>
            <w:vAlign w:val="bottom"/>
            <w:tcBorders>
              <w:right w:val="single" w:sz="8" w:color="auto"/>
            </w:tcBorders>
          </w:tcPr>
          <w:p>
            <w:pPr>
              <w:jc w:val="center"/>
              <w:ind w:right="165"/>
              <w:spacing w:after="0"/>
              <w:rPr>
                <w:sz w:val="20"/>
                <w:szCs w:val="20"/>
                <w:color w:val="auto"/>
              </w:rPr>
            </w:pPr>
            <w:r>
              <w:rPr>
                <w:rFonts w:ascii="Times New Roman" w:cs="Times New Roman" w:eastAsia="Times New Roman" w:hAnsi="Times New Roman"/>
                <w:sz w:val="18"/>
                <w:szCs w:val="18"/>
                <w:color w:val="auto"/>
                <w:w w:val="99"/>
              </w:rPr>
              <w:t>person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40" w:type="dxa"/>
            <w:vAlign w:val="bottom"/>
          </w:tcPr>
          <w:p>
            <w:pPr>
              <w:ind w:left="30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Times New Roman" w:cs="Times New Roman" w:eastAsia="Times New Roman" w:hAnsi="Times New Roman"/>
                <w:sz w:val="18"/>
                <w:szCs w:val="18"/>
                <w:color w:val="auto"/>
              </w:rPr>
              <w:t>with:</w:t>
            </w: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Borders>
              <w:right w:val="single" w:sz="8" w:color="auto"/>
            </w:tcBorders>
          </w:tcPr>
          <w:p>
            <w:pPr>
              <w:spacing w:after="0"/>
              <w:rPr>
                <w:sz w:val="11"/>
                <w:szCs w:val="11"/>
                <w:color w:val="auto"/>
              </w:rPr>
            </w:pPr>
          </w:p>
        </w:tc>
        <w:tc>
          <w:tcPr>
            <w:tcW w:w="10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2,613,573</w:t>
            </w:r>
          </w:p>
        </w:tc>
        <w:tc>
          <w:tcPr>
            <w:tcW w:w="0" w:type="dxa"/>
            <w:vAlign w:val="bottom"/>
          </w:tcPr>
          <w:p>
            <w:pPr>
              <w:spacing w:after="0"/>
              <w:rPr>
                <w:sz w:val="1"/>
                <w:szCs w:val="1"/>
                <w:color w:val="auto"/>
              </w:rPr>
            </w:pPr>
          </w:p>
        </w:tc>
      </w:tr>
      <w:tr>
        <w:trPr>
          <w:trHeight w:val="229"/>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w:t>
            </w: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2,613,573</w:t>
            </w:r>
          </w:p>
        </w:tc>
        <w:tc>
          <w:tcPr>
            <w:tcW w:w="0" w:type="dxa"/>
            <w:vAlign w:val="bottom"/>
          </w:tcPr>
          <w:p>
            <w:pPr>
              <w:spacing w:after="0"/>
              <w:rPr>
                <w:sz w:val="1"/>
                <w:szCs w:val="1"/>
                <w:color w:val="auto"/>
              </w:rPr>
            </w:pPr>
          </w:p>
        </w:tc>
      </w:tr>
      <w:tr>
        <w:trPr>
          <w:trHeight w:val="277"/>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20" w:type="dxa"/>
            <w:vAlign w:val="bottom"/>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3"/>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22"/>
                <w:szCs w:val="22"/>
                <w:color w:val="auto"/>
              </w:rPr>
              <w:t>5.1%</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22"/>
                <w:szCs w:val="22"/>
                <w:color w:val="auto"/>
              </w:rPr>
              <w:t>PN</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6" w:name="page7"/>
    <w:bookmarkEnd w:id="6"/>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Canton, MA 02021</w:t>
      </w:r>
    </w:p>
    <w:p>
      <w:pPr>
        <w:spacing w:after="0" w:line="3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121"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Glenhill Advisors, LLC, Glenn J. Krevlin, Glenhill Capital Advisors, LLC, Glenhill Capital Management, LLC and Glenhill Capital Overseas Master Fund, LP.</w:t>
      </w:r>
    </w:p>
    <w:p>
      <w:pPr>
        <w:spacing w:after="0" w:line="54" w:lineRule="exact"/>
        <w:rPr>
          <w:sz w:val="20"/>
          <w:szCs w:val="20"/>
          <w:color w:val="auto"/>
        </w:rPr>
      </w:pPr>
    </w:p>
    <w:p>
      <w:pPr>
        <w:ind w:left="1140" w:right="60"/>
        <w:spacing w:after="0" w:line="255" w:lineRule="auto"/>
        <w:rPr>
          <w:sz w:val="20"/>
          <w:szCs w:val="20"/>
          <w:color w:val="auto"/>
        </w:rPr>
      </w:pPr>
      <w:r>
        <w:rPr>
          <w:rFonts w:ascii="Times New Roman" w:cs="Times New Roman" w:eastAsia="Times New Roman" w:hAnsi="Times New Roman"/>
          <w:sz w:val="18"/>
          <w:szCs w:val="18"/>
          <w:color w:val="auto"/>
        </w:rPr>
        <w:t>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Glenhill Long Equities Master Fund, LP and Glenhill Long Fund, LP, each (along with Mr. Krevlin) a security holder of the Issuer. Glenhill Advisors, LLC is the managing member of Glenhill Capital Management, LLC. Glenhill Capital Management, LLC is the managing member of Glenhill Concentrated Long Master Fund, LLC, Glenhill Long Equities Fund GP, LLC and Glenhill Long GP, LLC, and is sole shareholder of Glenhill Capital Overseas GP, Ltd. Glenhill Long Equities Fund GP, LLC is general partner of Glenhill Long Equities Master Fund LP. Glenhill Capital Overseas GP, Ltd. is general partner of Glenhill Capital Overseas Master Fund, LP. Glenhill Long GP, LLC is the general partner of Glenhill Long Fund, LP.</w:t>
      </w:r>
    </w:p>
    <w:p>
      <w:pPr>
        <w:spacing w:after="0" w:line="77" w:lineRule="exact"/>
        <w:rPr>
          <w:sz w:val="20"/>
          <w:szCs w:val="20"/>
          <w:color w:val="auto"/>
        </w:rPr>
      </w:pPr>
    </w:p>
    <w:p>
      <w:pPr>
        <w:ind w:left="1140" w:right="40"/>
        <w:spacing w:after="0" w:line="255" w:lineRule="auto"/>
        <w:rPr>
          <w:sz w:val="20"/>
          <w:szCs w:val="20"/>
          <w:color w:val="auto"/>
        </w:rPr>
      </w:pPr>
      <w:r>
        <w:rPr>
          <w:rFonts w:ascii="Times New Roman" w:cs="Times New Roman" w:eastAsia="Times New Roman" w:hAnsi="Times New Roman"/>
          <w:sz w:val="18"/>
          <w:szCs w:val="18"/>
          <w:color w:val="auto"/>
        </w:rPr>
        <w:t>Glenhill Capital Advisors, LLC is a registered investment advisor and is also the investment manager for certain third party accounts for which shares of the Issuer are held and managed by such Reporting Person for the benefit of such third parties. Such Reporting Person has dispositive power and shares certain voting power with respect to such shares, and receives management fees and performance-related fees in connection therewith. Pursuant to Rule 16a-1(a)(1)-(2) of the Securities Exchange Act of 1934, as amended, the Reporting Persons have no pecuniary interest in the shares of the Issuer held in such third party managed accounts. As of the date of this filing, there are 425,299 shares of common stock of the Issuer held in such third party managed accounts, and the securities reported on the attached cover page(s) include such shares.</w:t>
      </w:r>
    </w:p>
    <w:p>
      <w:pPr>
        <w:spacing w:after="0" w:line="3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600 Fifth Avenue, 11</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3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See the response(s) to Item 4 on the attached cover page(s).</w:t>
      </w:r>
    </w:p>
    <w:p>
      <w:pPr>
        <w:sectPr>
          <w:pgSz w:w="11900" w:h="16838" w:orient="portrait"/>
          <w:cols w:equalWidth="0" w:num="1">
            <w:col w:w="11380"/>
          </w:cols>
          <w:pgMar w:left="240" w:top="266" w:right="279" w:bottom="1440" w:gutter="0" w:footer="0" w:header="0"/>
        </w:sectPr>
      </w:pPr>
    </w:p>
    <w:bookmarkStart w:id="7" w:name="page8"/>
    <w:bookmarkEnd w:id="7"/>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Common Stock</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25065K104</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1700" w:hanging="558"/>
        <w:spacing w:after="0"/>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117" w:lineRule="exact"/>
        <w:rPr>
          <w:rFonts w:ascii="Times New Roman" w:cs="Times New Roman" w:eastAsia="Times New Roman" w:hAnsi="Times New Roman"/>
          <w:sz w:val="18"/>
          <w:szCs w:val="18"/>
          <w:color w:val="auto"/>
        </w:rPr>
      </w:pPr>
    </w:p>
    <w:p>
      <w:pPr>
        <w:ind w:left="1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9 on the attached cover page(s).</w:t>
      </w:r>
    </w:p>
    <w:p>
      <w:pPr>
        <w:spacing w:after="0" w:line="130"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17" w:lineRule="exact"/>
        <w:rPr>
          <w:rFonts w:ascii="Times New Roman" w:cs="Times New Roman" w:eastAsia="Times New Roman" w:hAnsi="Times New Roman"/>
          <w:sz w:val="18"/>
          <w:szCs w:val="18"/>
          <w:color w:val="auto"/>
        </w:rPr>
      </w:pPr>
    </w:p>
    <w:p>
      <w:pPr>
        <w:ind w:left="17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11 on the attached cover page(s), which was determined by dividing the number of shares beneficially held by the Reporting Person by 50,930,390, the number of shares of common stock issued and outstanding as reported in the Issuer’s Form 10-Q filed with the Securities and Exchange Commission on November 22, 2013.</w:t>
      </w:r>
    </w:p>
    <w:p>
      <w:pPr>
        <w:spacing w:after="0" w:line="81"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31" w:lineRule="exact"/>
        <w:rPr>
          <w:sz w:val="20"/>
          <w:szCs w:val="20"/>
          <w:color w:val="auto"/>
        </w:rPr>
      </w:pPr>
    </w:p>
    <w:p>
      <w:pPr>
        <w:ind w:left="2160" w:hanging="450"/>
        <w:spacing w:after="0"/>
        <w:tabs>
          <w:tab w:leader="none" w:pos="2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See the response(s) to Item 5 on the attached cover page(s).</w:t>
      </w:r>
    </w:p>
    <w:p>
      <w:pPr>
        <w:spacing w:after="0" w:line="131" w:lineRule="exact"/>
        <w:rPr>
          <w:sz w:val="20"/>
          <w:szCs w:val="20"/>
          <w:color w:val="auto"/>
        </w:rPr>
      </w:pPr>
    </w:p>
    <w:p>
      <w:pPr>
        <w:ind w:left="2160" w:hanging="450"/>
        <w:spacing w:after="0"/>
        <w:tabs>
          <w:tab w:leader="none" w:pos="2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See the response(s) to Item 6 on the attached cover page(s).</w:t>
      </w:r>
    </w:p>
    <w:p>
      <w:pPr>
        <w:spacing w:after="0" w:line="131" w:lineRule="exact"/>
        <w:rPr>
          <w:sz w:val="20"/>
          <w:szCs w:val="20"/>
          <w:color w:val="auto"/>
        </w:rPr>
      </w:pPr>
    </w:p>
    <w:p>
      <w:pPr>
        <w:ind w:left="1700"/>
        <w:spacing w:after="0"/>
        <w:tabs>
          <w:tab w:leader="none" w:pos="2140" w:val="left"/>
        </w:tabs>
        <w:rPr>
          <w:sz w:val="20"/>
          <w:szCs w:val="20"/>
          <w:color w:val="auto"/>
        </w:rPr>
      </w:pPr>
      <w:r>
        <w:rPr>
          <w:rFonts w:ascii="Times New Roman" w:cs="Times New Roman" w:eastAsia="Times New Roman" w:hAnsi="Times New Roman"/>
          <w:sz w:val="18"/>
          <w:szCs w:val="18"/>
          <w:color w:val="auto"/>
        </w:rPr>
        <w:t>(iii)</w:t>
        <w:tab/>
        <w:t>Sole power to dispose or to direct the disposition of:</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See the response(s) to Item 7 on the attached cover page(s).</w:t>
      </w:r>
    </w:p>
    <w:p>
      <w:pPr>
        <w:spacing w:after="0" w:line="131" w:lineRule="exact"/>
        <w:rPr>
          <w:sz w:val="20"/>
          <w:szCs w:val="20"/>
          <w:color w:val="auto"/>
        </w:rPr>
      </w:pPr>
    </w:p>
    <w:p>
      <w:pPr>
        <w:ind w:left="2160" w:hanging="450"/>
        <w:spacing w:after="0"/>
        <w:tabs>
          <w:tab w:leader="none" w:pos="2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See the response(s) to Item 8 on the attached cover page(s).</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140" w:right="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266" w:right="239" w:bottom="1440" w:gutter="0" w:footer="0" w:header="0"/>
        </w:sectPr>
      </w:pPr>
    </w:p>
    <w:bookmarkStart w:id="8" w:name="page9"/>
    <w:bookmarkEnd w:id="8"/>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60"/>
          </w:cols>
          <w:pgMar w:left="240" w:top="266" w:right="299" w:bottom="1440" w:gutter="0" w:footer="0" w:header="0"/>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February 14, 2014</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GLENHILL ADVISORS, LLC</w:t>
      </w:r>
    </w:p>
    <w:p>
      <w:pPr>
        <w:spacing w:after="0" w:line="229" w:lineRule="exact"/>
        <w:rPr>
          <w:sz w:val="20"/>
          <w:szCs w:val="20"/>
          <w:color w:val="auto"/>
        </w:rPr>
      </w:pPr>
    </w:p>
    <w:p>
      <w:pPr>
        <w:ind w:left="6860"/>
        <w:spacing w:after="0"/>
        <w:tabs>
          <w:tab w:leader="none" w:pos="7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GLENN J. KREVLIN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Glenn J. Krevlin</w:t>
      </w:r>
    </w:p>
    <w:p>
      <w:pPr>
        <w:spacing w:after="0" w:line="27" w:lineRule="exact"/>
        <w:rPr>
          <w:sz w:val="20"/>
          <w:szCs w:val="20"/>
          <w:color w:val="auto"/>
        </w:rPr>
      </w:pPr>
    </w:p>
    <w:p>
      <w:pPr>
        <w:ind w:left="686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/s/ GLENN J. KREVLIN</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Glenn J. Krevlin</w:t>
      </w:r>
    </w:p>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GLENHILL CAPITAL ADVISORS, LLC</w:t>
      </w:r>
    </w:p>
    <w:p>
      <w:pPr>
        <w:spacing w:after="0" w:line="229" w:lineRule="exact"/>
        <w:rPr>
          <w:sz w:val="20"/>
          <w:szCs w:val="20"/>
          <w:color w:val="auto"/>
        </w:rPr>
      </w:pPr>
    </w:p>
    <w:p>
      <w:pPr>
        <w:ind w:left="6860"/>
        <w:spacing w:after="0"/>
        <w:tabs>
          <w:tab w:leader="none" w:pos="7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KREVLIN MANAGEMENT, INC.</w:t>
      </w:r>
    </w:p>
    <w:p>
      <w:pPr>
        <w:spacing w:after="0" w:line="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0" w:lineRule="exact"/>
        <w:rPr>
          <w:sz w:val="20"/>
          <w:szCs w:val="20"/>
          <w:color w:val="auto"/>
        </w:rPr>
      </w:pPr>
    </w:p>
    <w:p>
      <w:pPr>
        <w:ind w:left="6860"/>
        <w:spacing w:after="0"/>
        <w:tabs>
          <w:tab w:leader="none" w:pos="7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GLENN J. KREVLIN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Glenn J. Krevlin</w:t>
      </w:r>
    </w:p>
    <w:p>
      <w:pPr>
        <w:spacing w:after="0" w:line="27" w:lineRule="exact"/>
        <w:rPr>
          <w:sz w:val="20"/>
          <w:szCs w:val="20"/>
          <w:color w:val="auto"/>
        </w:rPr>
      </w:pPr>
    </w:p>
    <w:p>
      <w:pPr>
        <w:ind w:left="686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GLENHILL CAPITAL MANAGEMENT, LLC</w:t>
      </w:r>
    </w:p>
    <w:p>
      <w:pPr>
        <w:spacing w:after="0" w:line="229" w:lineRule="exact"/>
        <w:rPr>
          <w:sz w:val="20"/>
          <w:szCs w:val="20"/>
          <w:color w:val="auto"/>
        </w:rPr>
      </w:pPr>
    </w:p>
    <w:p>
      <w:pPr>
        <w:ind w:left="6860"/>
        <w:spacing w:after="0"/>
        <w:tabs>
          <w:tab w:leader="none" w:pos="7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GLENHILL ADVISORS, LLC</w:t>
      </w:r>
    </w:p>
    <w:p>
      <w:pPr>
        <w:spacing w:after="0" w:line="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6860"/>
        <w:spacing w:after="0"/>
        <w:tabs>
          <w:tab w:leader="none" w:pos="7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GLENN J. KREVLIN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Glenn J. Krevlin</w:t>
      </w:r>
    </w:p>
    <w:p>
      <w:pPr>
        <w:spacing w:after="0" w:line="27" w:lineRule="exact"/>
        <w:rPr>
          <w:sz w:val="20"/>
          <w:szCs w:val="20"/>
          <w:color w:val="auto"/>
        </w:rPr>
      </w:pPr>
    </w:p>
    <w:p>
      <w:pPr>
        <w:ind w:left="686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b w:val="1"/>
          <w:bCs w:val="1"/>
          <w:color w:val="auto"/>
        </w:rPr>
        <w:t>GLENHILL CAPITAL OVERSEAS MASTER FUND, LP</w:t>
      </w:r>
    </w:p>
    <w:p>
      <w:pPr>
        <w:spacing w:after="0" w:line="241" w:lineRule="exact"/>
        <w:rPr>
          <w:sz w:val="20"/>
          <w:szCs w:val="20"/>
          <w:color w:val="auto"/>
        </w:rPr>
      </w:pPr>
    </w:p>
    <w:p>
      <w:pPr>
        <w:ind w:left="6860"/>
        <w:spacing w:after="0"/>
        <w:tabs>
          <w:tab w:leader="none" w:pos="7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GLENHILL CAPITAL OVERSEAS GP, LTD.</w:t>
      </w:r>
    </w:p>
    <w:p>
      <w:pPr>
        <w:spacing w:after="0" w:line="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6860"/>
        <w:spacing w:after="0"/>
        <w:tabs>
          <w:tab w:leader="none" w:pos="7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GLENHILL CAPITAL MANAGEMENT, LLC</w:t>
      </w:r>
    </w:p>
    <w:p>
      <w:pPr>
        <w:spacing w:after="0" w:line="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Sole Shareholder</w:t>
      </w:r>
    </w:p>
    <w:p>
      <w:pPr>
        <w:sectPr>
          <w:pgSz w:w="11900" w:h="16838" w:orient="portrait"/>
          <w:cols w:equalWidth="0" w:num="1">
            <w:col w:w="11360"/>
          </w:cols>
          <w:pgMar w:left="240" w:top="266" w:right="299" w:bottom="1440" w:gutter="0" w:footer="0" w:header="0"/>
        </w:sectPr>
      </w:pPr>
    </w:p>
    <w:bookmarkStart w:id="10" w:name="page11"/>
    <w:bookmarkEnd w:id="10"/>
    <w:p>
      <w:pPr>
        <w:ind w:left="56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w:t>
      </w:r>
    </w:p>
    <w:p>
      <w:pPr>
        <w:spacing w:after="0" w:line="20" w:lineRule="exact"/>
        <w:rPr>
          <w:sz w:val="20"/>
          <w:szCs w:val="20"/>
          <w:color w:val="auto"/>
        </w:rPr>
      </w:pPr>
      <w:r>
        <w:rPr>
          <w:sz w:val="20"/>
          <w:szCs w:val="20"/>
          <w:color w:val="auto"/>
        </w:rPr>
        <w:br w:type="column"/>
      </w:r>
    </w:p>
    <w:p>
      <w:pPr>
        <w:ind w:right="419"/>
        <w:spacing w:after="0" w:line="282" w:lineRule="auto"/>
        <w:rPr>
          <w:sz w:val="20"/>
          <w:szCs w:val="20"/>
          <w:color w:val="auto"/>
        </w:rPr>
      </w:pPr>
      <w:r>
        <w:rPr>
          <w:rFonts w:ascii="Times New Roman" w:cs="Times New Roman" w:eastAsia="Times New Roman" w:hAnsi="Times New Roman"/>
          <w:sz w:val="18"/>
          <w:szCs w:val="18"/>
          <w:color w:val="auto"/>
        </w:rPr>
        <w:t>GLENHILL ADVISORS, LLC Managing Member</w:t>
      </w:r>
    </w:p>
    <w:p>
      <w:pPr>
        <w:spacing w:after="0" w:line="175" w:lineRule="exact"/>
        <w:rPr>
          <w:sz w:val="20"/>
          <w:szCs w:val="20"/>
          <w:color w:val="auto"/>
        </w:rPr>
      </w:pPr>
    </w:p>
    <w:p>
      <w:pPr>
        <w:sectPr>
          <w:pgSz w:w="11900" w:h="16838" w:orient="portrait"/>
          <w:cols w:equalWidth="0" w:num="2">
            <w:col w:w="5920" w:space="420"/>
            <w:col w:w="2679"/>
          </w:cols>
          <w:pgMar w:left="1440" w:top="270" w:right="1440" w:bottom="1440" w:gutter="0" w:footer="0" w:header="0"/>
        </w:sectPr>
      </w:pPr>
    </w:p>
    <w:p>
      <w:pPr>
        <w:ind w:left="56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 GLENN J. KREVLIN</w:t>
      </w:r>
    </w:p>
    <w:p>
      <w:pPr>
        <w:spacing w:after="0" w:line="200" w:lineRule="exact"/>
        <w:rPr>
          <w:sz w:val="20"/>
          <w:szCs w:val="20"/>
          <w:color w:val="auto"/>
        </w:rPr>
      </w:pPr>
    </w:p>
    <w:p>
      <w:pPr>
        <w:sectPr>
          <w:pgSz w:w="11900" w:h="16838" w:orient="portrait"/>
          <w:cols w:equalWidth="0" w:num="2">
            <w:col w:w="5920" w:space="420"/>
            <w:col w:w="2679"/>
          </w:cols>
          <w:pgMar w:left="1440" w:top="270" w:right="1440" w:bottom="1440" w:gutter="0" w:footer="0" w:header="0"/>
          <w:type w:val="continuous"/>
        </w:sectPr>
      </w:pPr>
    </w:p>
    <w:p>
      <w:pPr>
        <w:spacing w:after="0" w:line="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Glenn J. Krevlin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Managing Member</w:t>
      </w:r>
    </w:p>
    <w:sectPr>
      <w:pgSz w:w="11900" w:h="16838" w:orient="portrait"/>
      <w:cols w:equalWidth="0" w:num="2">
        <w:col w:w="6140" w:space="200"/>
        <w:col w:w="2679"/>
      </w:cols>
      <w:pgMar w:left="1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2019-12-05T23:39:33Z</dcterms:created>
  <dcterms:modified xsi:type="dcterms:W3CDTF">2019-12-05T23:39:33Z</dcterms:modified>
</cp:coreProperties>
</file>