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quarterly annual retainer, Board Chair and committee chairperson fees.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Fourth Amended and Restated Non-Employee Director Compensation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Fourth Amended and Restated Non-Employee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12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2020-02-05T12:49:28Z</dcterms:created>
  <dcterms:modified xsi:type="dcterms:W3CDTF">2020-02-05T12:49:28Z</dcterms:modified>
</cp:coreProperties>
</file>