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343535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On February 1, 2016, Destination XL Group, Inc. (the “Company”) issued a press release announcing revised guidance for the fiscal year ended January 30, 2016 (“fiscal 2015”). A copy of this press release is furnished herewith as Exhibit 99.1.</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16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5160" w:type="dxa"/>
            <w:vAlign w:val="bottom"/>
          </w:tcPr>
          <w:p>
            <w:pPr>
              <w:spacing w:after="0"/>
              <w:rPr>
                <w:sz w:val="24"/>
                <w:szCs w:val="24"/>
                <w:color w:val="auto"/>
              </w:rPr>
            </w:pPr>
          </w:p>
        </w:tc>
      </w:tr>
      <w:tr>
        <w:trPr>
          <w:trHeight w:val="760"/>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200" w:type="dxa"/>
            <w:vAlign w:val="bottom"/>
          </w:tcPr>
          <w:p>
            <w:pPr>
              <w:spacing w:after="0"/>
              <w:rPr>
                <w:sz w:val="24"/>
                <w:szCs w:val="24"/>
                <w:color w:val="auto"/>
              </w:rPr>
            </w:pPr>
          </w:p>
        </w:tc>
        <w:tc>
          <w:tcPr>
            <w:tcW w:w="6820" w:type="dxa"/>
            <w:vAlign w:val="bottom"/>
            <w:gridSpan w:val="3"/>
          </w:tcPr>
          <w:p>
            <w:pPr>
              <w:ind w:left="300"/>
              <w:spacing w:after="0"/>
              <w:rPr>
                <w:sz w:val="20"/>
                <w:szCs w:val="20"/>
                <w:color w:val="auto"/>
              </w:rPr>
            </w:pPr>
            <w:r>
              <w:rPr>
                <w:rFonts w:ascii="Arial" w:cs="Arial" w:eastAsia="Arial" w:hAnsi="Arial"/>
                <w:sz w:val="22"/>
                <w:szCs w:val="22"/>
                <w:color w:val="auto"/>
                <w:w w:val="88"/>
              </w:rPr>
              <w:t>Press release issued by Destination XL Group, Inc. dated February 1,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1246" w:right="71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 2016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0904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6686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Unger</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(561) 482-9715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Destination XL Group, Inc. Increases Fiscal 2015 Guidance</w:t>
      </w:r>
    </w:p>
    <w:p>
      <w:pPr>
        <w:spacing w:after="0" w:line="146" w:lineRule="exact"/>
        <w:rPr>
          <w:sz w:val="20"/>
          <w:szCs w:val="20"/>
          <w:color w:val="auto"/>
        </w:rPr>
      </w:pPr>
    </w:p>
    <w:p>
      <w:pPr>
        <w:ind w:left="2740"/>
        <w:spacing w:after="0"/>
        <w:rPr>
          <w:sz w:val="20"/>
          <w:szCs w:val="20"/>
          <w:color w:val="auto"/>
        </w:rPr>
      </w:pPr>
      <w:r>
        <w:rPr>
          <w:rFonts w:ascii="Arial" w:cs="Arial" w:eastAsia="Arial" w:hAnsi="Arial"/>
          <w:sz w:val="22"/>
          <w:szCs w:val="22"/>
          <w:i w:val="1"/>
          <w:iCs w:val="1"/>
          <w:color w:val="auto"/>
        </w:rPr>
        <w:t>Anticipates FY’15 Sales of Approximately $442.0 to $442.5 Million,</w:t>
      </w:r>
    </w:p>
    <w:p>
      <w:pPr>
        <w:spacing w:after="0" w:line="8" w:lineRule="exact"/>
        <w:rPr>
          <w:sz w:val="20"/>
          <w:szCs w:val="20"/>
          <w:color w:val="auto"/>
        </w:rPr>
      </w:pPr>
    </w:p>
    <w:p>
      <w:pPr>
        <w:ind w:left="2580"/>
        <w:spacing w:after="0"/>
        <w:rPr>
          <w:sz w:val="20"/>
          <w:szCs w:val="20"/>
          <w:color w:val="auto"/>
        </w:rPr>
      </w:pPr>
      <w:r>
        <w:rPr>
          <w:rFonts w:ascii="Arial" w:cs="Arial" w:eastAsia="Arial" w:hAnsi="Arial"/>
          <w:sz w:val="22"/>
          <w:szCs w:val="22"/>
          <w:i w:val="1"/>
          <w:iCs w:val="1"/>
          <w:color w:val="auto"/>
        </w:rPr>
        <w:t>GAAP EPS of $(0.17) to $(0.20), and Adjusted EPS of $(0.10) to $(0.12)</w:t>
      </w:r>
    </w:p>
    <w:p>
      <w:pPr>
        <w:spacing w:after="0" w:line="12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 xml:space="preserve">CANTON, Mass., February 1, 2016 – </w:t>
      </w:r>
      <w:r>
        <w:rPr>
          <w:rFonts w:ascii="Arial" w:cs="Arial" w:eastAsia="Arial" w:hAnsi="Arial"/>
          <w:sz w:val="20"/>
          <w:szCs w:val="20"/>
          <w:u w:val="single" w:color="auto"/>
          <w:color w:val="auto"/>
        </w:rPr>
        <w:t>Destination XL Group, Inc.</w:t>
      </w:r>
      <w:r>
        <w:rPr>
          <w:rFonts w:ascii="Arial" w:cs="Arial" w:eastAsia="Arial" w:hAnsi="Arial"/>
          <w:sz w:val="20"/>
          <w:szCs w:val="20"/>
          <w:color w:val="auto"/>
        </w:rPr>
        <w:t xml:space="preserve"> (NASDAQ: DXLG), the largest omni-channel specialty retailer of big and tall men's apparel, today increased its earnings guidance for fiscal 2015.</w:t>
      </w:r>
    </w:p>
    <w:p>
      <w:pPr>
        <w:spacing w:after="0" w:line="109"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“Our DXL retail stores performed very well in the last two months of the quarter, with an expected comparable sales increase of more than 8.5% for the fourth quarter and more than 9.5% for the year,” said President and CEO David Levin. “Given our better-than-expected sales performance and our strong merchandise margins, we now expect improved top- and bottom-line results for fiscal 2015. Sales from our cold-weather assortments got off to a slow start in Q4, as a result of unseasonably warm weather. However, demand began to pick up in early December and continued to improve in January.”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strong fourth quarter sales performance, the Company has revised its earnings guidance for fiscal 2015. Sales for fiscal 2015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are expected to be approximately $442.0 million to $442.5 million, an increase from the Company’s previous guidance range of $438.0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$440.0 million. EBITDA for fiscal 2015 is expected to be approximately $22.5 million to $23.5 million, an increase from previous guidance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$21.0 to $22.0 million. The Company expects its net loss to be between $(0.17) and $(0.20) per diluted share, compared with previous guidance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$(0.20) to $(0.23) per diluted share. On a non-GAAP basis, assuming a normal tax benefit, the adjusted net loss is expected to be between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$(0.10) and $(0.12) per diluted share, compared with previous guidance of $(0.12) to $(0.14) per diluted share. This guidance is provided on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non-GAAP basis for comparative purposes, assuming a normal tax benefit of approximately 40% for both fiscal years. The Company expects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continue to provide a full valuation allowance against its deferred tax assets and, accordingly, does not recognize any income tax benefit on its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operating losses.</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plans to report its actual fourth-quarter and fiscal 2015 financial results on March 18, 2016, when management also will conduct its quarterly conference call to discuss its results for fiscal 2015, as well as its fiscal 2016 outlook.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242" w:lineRule="auto"/>
        <w:rPr>
          <w:sz w:val="20"/>
          <w:szCs w:val="20"/>
          <w:color w:val="auto"/>
        </w:rPr>
      </w:pPr>
      <w:r>
        <w:rPr>
          <w:rFonts w:ascii="Arial" w:cs="Arial" w:eastAsia="Arial" w:hAnsi="Arial"/>
          <w:sz w:val="20"/>
          <w:szCs w:val="20"/>
          <w:color w:val="auto"/>
        </w:rPr>
        <w:t>In addition to financial measures prepared in accordance with U.S. generally accepted accounting principles (“GAAP”), this press release refers to EBITDA and adjusted net loss per diluted share. The presentation of these non-GAAP measures is not in accordance with GAAP, and should not be considered superior to or as a substitute for net income (loss), earnings (loss) per diluted share, income (loss) from continuing operations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 calculates EBITDA as earnings before interest, taxes, depreciation and amortization. Adjusted net loss per diluted share has been adjusted for a normal tax rate, assuming 40%. This adjusted net loss was calculated by taking the 2015 forecasted net loss of $(0.17)-$(0.20) per diluted share and multiplying each by 40% to calculate an estimated income tax benefit of $0.07-$0.08 per diluted share, resulting in an adjusted non-GAAP net loss of $(0.10)-$(0.12) per diluted share.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www.destinationxl.com and www.bigandtall.com.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its projected sales, EBITDA and earnings expectations for fiscal 2015.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25, 2015, that set forth certain risks and uncertainties that may have an impact on future results and direction of the Company, including the risk that changes to its preliminary results will be required as a result of completing its financial reporting closing process and financial audit, and risks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 w:name="page6"/>
    <w:bookmarkEnd w:id="5"/>
    <w:p>
      <w:pPr>
        <w:spacing w:after="0" w:line="317" w:lineRule="auto"/>
        <w:rPr>
          <w:sz w:val="20"/>
          <w:szCs w:val="20"/>
          <w:color w:val="auto"/>
        </w:rPr>
      </w:pPr>
      <w:r>
        <w:rPr>
          <w:rFonts w:ascii="Arial" w:cs="Arial" w:eastAsia="Arial" w:hAnsi="Arial"/>
          <w:sz w:val="18"/>
          <w:szCs w:val="18"/>
          <w:i w:val="1"/>
          <w:iCs w:val="1"/>
          <w:color w:val="auto"/>
        </w:rPr>
        <w:t>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62" w:lineRule="exact"/>
        <w:rPr>
          <w:sz w:val="20"/>
          <w:szCs w:val="20"/>
          <w:color w:val="auto"/>
        </w:rPr>
      </w:pPr>
    </w:p>
    <w:p>
      <w:pPr>
        <w:jc w:val="both"/>
        <w:ind w:right="48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w:t>
      </w:r>
    </w:p>
    <w:sectPr>
      <w:pgSz w:w="11900" w:h="16838" w:orient="portrait"/>
      <w:cols w:equalWidth="0" w:num="1">
        <w:col w:w="11280"/>
      </w:cols>
      <w:pgMar w:left="24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2019-12-05T19:34:41Z</dcterms:created>
  <dcterms:modified xsi:type="dcterms:W3CDTF">2019-12-05T19:34:41Z</dcterms:modified>
</cp:coreProperties>
</file>