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t>UNITED STATES</w:t>
      </w:r>
    </w:p>
    <w:p>
      <w:pPr>
        <w:spacing w:after="0" w:line="87"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spacing w:after="0" w:line="24"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145415</wp:posOffset>
            </wp:positionV>
            <wp:extent cx="5645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29"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154940</wp:posOffset>
            </wp:positionV>
            <wp:extent cx="5645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5"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42"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0" w:lineRule="exact"/>
        <w:rPr>
          <w:sz w:val="24"/>
          <w:szCs w:val="24"/>
          <w:color w:val="auto"/>
        </w:rPr>
      </w:pPr>
    </w:p>
    <w:p>
      <w:pPr>
        <w:ind w:left="3504"/>
        <w:spacing w:after="0"/>
        <w:rPr>
          <w:sz w:val="20"/>
          <w:szCs w:val="20"/>
          <w:color w:val="auto"/>
        </w:rPr>
      </w:pPr>
      <w:r>
        <w:rPr>
          <w:rFonts w:ascii="Arial" w:cs="Arial" w:eastAsia="Arial" w:hAnsi="Arial"/>
          <w:sz w:val="16"/>
          <w:szCs w:val="16"/>
          <w:b w:val="1"/>
          <w:bCs w:val="1"/>
          <w:color w:val="auto"/>
        </w:rPr>
        <w:t>Date of Report (Date of earliest event reported): January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160655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1"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DESTINATION XL GROUP,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140335</wp:posOffset>
            </wp:positionV>
            <wp:extent cx="56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68" w:lineRule="exact"/>
        <w:rPr>
          <w:sz w:val="24"/>
          <w:szCs w:val="24"/>
          <w:color w:val="auto"/>
        </w:rPr>
      </w:pPr>
    </w:p>
    <w:tbl>
      <w:tblPr>
        <w:tblLayout w:type="fixed"/>
        <w:tblInd w:w="924" w:type="dxa"/>
        <w:tblCellMar>
          <w:top w:w="0" w:type="dxa"/>
          <w:left w:w="0" w:type="dxa"/>
          <w:bottom w:w="0" w:type="dxa"/>
          <w:right w:w="0" w:type="dxa"/>
        </w:tblCellMar>
      </w:tblPr>
      <w:tr>
        <w:trPr>
          <w:trHeight w:val="228"/>
        </w:trPr>
        <w:tc>
          <w:tcPr>
            <w:tcW w:w="2240" w:type="dxa"/>
            <w:vAlign w:val="bottom"/>
          </w:tcPr>
          <w:p>
            <w:pPr>
              <w:jc w:val="center"/>
              <w:ind w:right="107"/>
              <w:spacing w:after="0"/>
              <w:rPr>
                <w:sz w:val="20"/>
                <w:szCs w:val="20"/>
                <w:color w:val="auto"/>
              </w:rPr>
            </w:pPr>
            <w:r>
              <w:rPr>
                <w:rFonts w:ascii="Arial" w:cs="Arial" w:eastAsia="Arial" w:hAnsi="Arial"/>
                <w:sz w:val="19"/>
                <w:szCs w:val="19"/>
                <w:b w:val="1"/>
                <w:bCs w:val="1"/>
                <w:color w:val="auto"/>
                <w:w w:val="93"/>
              </w:rPr>
              <w:t>Delaware</w:t>
            </w:r>
          </w:p>
        </w:tc>
        <w:tc>
          <w:tcPr>
            <w:tcW w:w="3000" w:type="dxa"/>
            <w:vAlign w:val="bottom"/>
            <w:gridSpan w:val="2"/>
          </w:tcPr>
          <w:p>
            <w:pPr>
              <w:jc w:val="center"/>
              <w:ind w:left="2021"/>
              <w:spacing w:after="0"/>
              <w:rPr>
                <w:sz w:val="20"/>
                <w:szCs w:val="20"/>
                <w:color w:val="auto"/>
              </w:rPr>
            </w:pPr>
            <w:r>
              <w:rPr>
                <w:rFonts w:ascii="Arial" w:cs="Arial" w:eastAsia="Arial" w:hAnsi="Arial"/>
                <w:sz w:val="19"/>
                <w:szCs w:val="19"/>
                <w:b w:val="1"/>
                <w:bCs w:val="1"/>
                <w:color w:val="auto"/>
                <w:w w:val="92"/>
              </w:rPr>
              <w:t>01-34219</w:t>
            </w:r>
          </w:p>
        </w:tc>
        <w:tc>
          <w:tcPr>
            <w:tcW w:w="2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2"/>
        </w:trPr>
        <w:tc>
          <w:tcPr>
            <w:tcW w:w="2240" w:type="dxa"/>
            <w:vAlign w:val="bottom"/>
          </w:tcPr>
          <w:p>
            <w:pPr>
              <w:jc w:val="center"/>
              <w:ind w:right="127"/>
              <w:spacing w:after="0" w:line="132" w:lineRule="exact"/>
              <w:rPr>
                <w:sz w:val="20"/>
                <w:szCs w:val="20"/>
                <w:color w:val="auto"/>
              </w:rPr>
            </w:pPr>
            <w:r>
              <w:rPr>
                <w:rFonts w:ascii="Arial" w:cs="Arial" w:eastAsia="Arial" w:hAnsi="Arial"/>
                <w:sz w:val="12"/>
                <w:szCs w:val="12"/>
                <w:b w:val="1"/>
                <w:bCs w:val="1"/>
                <w:color w:val="auto"/>
                <w:w w:val="92"/>
              </w:rPr>
              <w:t>(State or Other Jurisdiction</w:t>
            </w:r>
          </w:p>
        </w:tc>
        <w:tc>
          <w:tcPr>
            <w:tcW w:w="2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0" w:type="dxa"/>
            <w:vAlign w:val="bottom"/>
          </w:tcPr>
          <w:p>
            <w:pPr>
              <w:jc w:val="center"/>
              <w:ind w:left="38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of Incorporation)</w:t>
            </w:r>
          </w:p>
        </w:tc>
        <w:tc>
          <w:tcPr>
            <w:tcW w:w="540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1"/>
              </w:rPr>
              <w:t>(Commission File Number)</w:t>
            </w:r>
          </w:p>
        </w:tc>
        <w:tc>
          <w:tcPr>
            <w:tcW w:w="1400" w:type="dxa"/>
            <w:vAlign w:val="bottom"/>
          </w:tcPr>
          <w:p>
            <w:pPr>
              <w:jc w:val="center"/>
              <w:ind w:left="386"/>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5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555 Turnpike Street,</w:t>
            </w: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87"/>
              </w:rPr>
              <w:t>Canton, Massachusetts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jc w:val="center"/>
              <w:ind w:left="366"/>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54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Registrant’s Telephone Number, Including Area Code: (781) 828-9300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Instructions A.2. below):</w:t>
      </w:r>
    </w:p>
    <w:p>
      <w:pPr>
        <w:spacing w:after="0" w:line="140" w:lineRule="exact"/>
        <w:rPr>
          <w:sz w:val="24"/>
          <w:szCs w:val="24"/>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915670</wp:posOffset>
            </wp:positionV>
            <wp:extent cx="730250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044"/>
          </w:cols>
          <w:pgMar w:left="236" w:top="679" w:right="61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7.01 −Regulation FD Disclosure</w:t>
      </w:r>
    </w:p>
    <w:p>
      <w:pPr>
        <w:spacing w:after="0" w:line="220" w:lineRule="exact"/>
        <w:rPr>
          <w:sz w:val="20"/>
          <w:szCs w:val="20"/>
          <w:color w:val="auto"/>
        </w:rPr>
      </w:pPr>
    </w:p>
    <w:p>
      <w:pPr>
        <w:ind w:right="240"/>
        <w:spacing w:after="0" w:line="252" w:lineRule="auto"/>
        <w:rPr>
          <w:sz w:val="20"/>
          <w:szCs w:val="20"/>
          <w:color w:val="auto"/>
        </w:rPr>
      </w:pPr>
      <w:r>
        <w:rPr>
          <w:rFonts w:ascii="Arial" w:cs="Arial" w:eastAsia="Arial" w:hAnsi="Arial"/>
          <w:sz w:val="19"/>
          <w:szCs w:val="19"/>
          <w:color w:val="auto"/>
        </w:rPr>
        <w:t>On January 9, 2017, Destination XL Group, Inc. (the “Company”) issued a press release announcing holiday sales for the nine weeks ended December 31, 2016 and updated guidance for the fiscal year ended January 28, 2017 (“fiscal 2016”). A copy of this press release is furnished herewith as Exhibit 99.1.</w:t>
      </w:r>
    </w:p>
    <w:p>
      <w:pPr>
        <w:spacing w:after="0" w:line="153"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Company will be presenting a slide presentation at upcoming investor conferences. A copy of the slide presentation is furnished herewith as Exhibit 99.2.</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slide presentation is also available on the investor relations page of the Company’s website at www.destinationxl.com.</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 Exhibits</w:t>
      </w:r>
    </w:p>
    <w:p>
      <w:pPr>
        <w:spacing w:after="0" w:line="214"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6"/>
          <w:szCs w:val="16"/>
          <w:color w:val="auto"/>
        </w:rPr>
        <w:t>Press release dated January 9, 2017</w:t>
      </w:r>
    </w:p>
    <w:p>
      <w:pPr>
        <w:spacing w:after="0" w:line="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99.2</w:t>
      </w:r>
      <w:r>
        <w:rPr>
          <w:sz w:val="20"/>
          <w:szCs w:val="20"/>
          <w:color w:val="auto"/>
        </w:rPr>
        <w:tab/>
      </w:r>
      <w:r>
        <w:rPr>
          <w:rFonts w:ascii="Arial" w:cs="Arial" w:eastAsia="Arial" w:hAnsi="Arial"/>
          <w:sz w:val="17"/>
          <w:szCs w:val="17"/>
          <w:color w:val="auto"/>
        </w:rPr>
        <w:t>DXL Investor Presentation – January 2017</w:t>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100"/>
          </w:cols>
          <w:pgMar w:left="240" w:top="451" w:right="55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9"/>
          <w:szCs w:val="19"/>
          <w:b w:val="1"/>
          <w:bCs w:val="1"/>
          <w:color w:val="auto"/>
        </w:rPr>
        <w:t>SIGNATURES</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DESTINATION XL GROUP, INC.</w:t>
      </w:r>
    </w:p>
    <w:p>
      <w:pPr>
        <w:spacing w:after="0" w:line="166" w:lineRule="exact"/>
        <w:rPr>
          <w:sz w:val="20"/>
          <w:szCs w:val="20"/>
          <w:color w:val="auto"/>
        </w:rPr>
      </w:pPr>
    </w:p>
    <w:p>
      <w:pPr>
        <w:ind w:left="20"/>
        <w:spacing w:after="0"/>
        <w:tabs>
          <w:tab w:leader="none" w:pos="840" w:val="left"/>
          <w:tab w:leader="none" w:pos="5860" w:val="left"/>
          <w:tab w:leader="none" w:pos="82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January 9, 2017</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wp:posOffset>
            </wp:positionV>
            <wp:extent cx="3020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0695" cy="762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3"/>
          <w:szCs w:val="13"/>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General Counsel and Secretary</w:t>
      </w:r>
    </w:p>
    <w:p>
      <w:pPr>
        <w:spacing w:after="0" w:line="200" w:lineRule="exact"/>
        <w:rPr>
          <w:sz w:val="20"/>
          <w:szCs w:val="20"/>
          <w:color w:val="auto"/>
        </w:rPr>
      </w:pPr>
    </w:p>
    <w:p>
      <w:pPr>
        <w:spacing w:after="0" w:line="39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0980"/>
          </w:cols>
          <w:pgMar w:left="240" w:top="116" w:right="679" w:bottom="1440" w:gutter="0" w:footer="0" w:header="0"/>
        </w:sectPr>
      </w:pPr>
    </w:p>
    <w:bookmarkStart w:id="3" w:name="page4"/>
    <w:bookmarkEnd w:id="3"/>
    <w:p>
      <w:pPr>
        <w:jc w:val="right"/>
        <w:ind w:right="4039"/>
        <w:spacing w:after="0"/>
        <w:rPr>
          <w:sz w:val="20"/>
          <w:szCs w:val="20"/>
          <w:color w:val="auto"/>
        </w:rPr>
      </w:pPr>
      <w:r>
        <w:rPr>
          <w:rFonts w:ascii="Arial" w:cs="Arial" w:eastAsia="Arial" w:hAnsi="Arial"/>
          <w:sz w:val="19"/>
          <w:szCs w:val="19"/>
          <w:u w:val="single" w:color="auto"/>
          <w:color w:val="auto"/>
        </w:rPr>
        <w:t>Exhibit List</w:t>
      </w:r>
    </w:p>
    <w:p>
      <w:pPr>
        <w:spacing w:after="0" w:line="215"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u w:val="single" w:color="auto"/>
          <w:color w:val="auto"/>
        </w:rPr>
        <w:t>Exhibit No</w:t>
      </w:r>
      <w:r>
        <w:rPr>
          <w:rFonts w:ascii="Arial" w:cs="Arial" w:eastAsia="Arial" w:hAnsi="Arial"/>
          <w:sz w:val="19"/>
          <w:szCs w:val="19"/>
          <w:color w:val="auto"/>
        </w:rPr>
        <w:t>.</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6"/>
          <w:szCs w:val="16"/>
          <w:color w:val="auto"/>
        </w:rPr>
        <w:t>Press release dated January 9, 2017</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99.2</w:t>
      </w:r>
      <w:r>
        <w:rPr>
          <w:sz w:val="20"/>
          <w:szCs w:val="20"/>
          <w:color w:val="auto"/>
        </w:rPr>
        <w:tab/>
      </w:r>
      <w:r>
        <w:rPr>
          <w:rFonts w:ascii="Arial" w:cs="Arial" w:eastAsia="Arial" w:hAnsi="Arial"/>
          <w:sz w:val="17"/>
          <w:szCs w:val="17"/>
          <w:color w:val="auto"/>
        </w:rPr>
        <w:t>DXL Investor Presentation – January 2017</w:t>
      </w: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1205230" cy="534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5230" cy="534035"/>
                    </a:xfrm>
                    <a:prstGeom prst="rect">
                      <a:avLst/>
                    </a:prstGeom>
                    <a:noFill/>
                  </pic:spPr>
                </pic:pic>
              </a:graphicData>
            </a:graphic>
          </wp:anchor>
        </w:drawing>
        <w:t>January 9,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 Announces Holiday Sales Results and Updates Guidance</w:t>
      </w:r>
    </w:p>
    <w:p>
      <w:pPr>
        <w:spacing w:after="0" w:line="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CANTON, Mass--(Business Wire) -- Destination XL Group, Inc. (NASDAQ:DXLG), the largest omni-channel specialty retailer of big &amp; tall men's apparel, today announced that total sales for the 9-week holiday sales period ending December 31, 2016 decreased to $ 97.9 million as compared to $98.2 million for the same period of the prior year. Comparable sales for the same period decreased 1.4%. Based on the holiday sales results and expectations for the remainder of the fourth quarter, the Company has updated guidance to the low-end of its previously announced full-year range.</w:t>
      </w:r>
    </w:p>
    <w:p>
      <w:pPr>
        <w:spacing w:after="0" w:line="4"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David Levin, President and CEO, commented, “The retail apparel environment was challenging over the holiday selling season, but we were pleased with our store results on the east and west coasts. We believe our strategic decision to eliminate a Fall television advertising campaign, while increasing our digital advertising spend, impacted top-line performance across the country, but resulted in a better return on investment in the current environment.”</w:t>
      </w:r>
    </w:p>
    <w:p>
      <w:pPr>
        <w:spacing w:after="0" w:line="226" w:lineRule="auto"/>
        <w:rPr>
          <w:sz w:val="20"/>
          <w:szCs w:val="20"/>
          <w:color w:val="auto"/>
        </w:rPr>
      </w:pPr>
      <w:r>
        <w:rPr>
          <w:rFonts w:ascii="Arial" w:cs="Arial" w:eastAsia="Arial" w:hAnsi="Arial"/>
          <w:sz w:val="18"/>
          <w:szCs w:val="18"/>
          <w:b w:val="1"/>
          <w:bCs w:val="1"/>
          <w:u w:val="single" w:color="auto"/>
          <w:color w:val="auto"/>
        </w:rPr>
        <w:t>November/December Fiscal 2016 Highlights</w:t>
      </w:r>
    </w:p>
    <w:p>
      <w:pPr>
        <w:ind w:left="860" w:right="320" w:hanging="431"/>
        <w:spacing w:after="0" w:line="22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9-week period ending December 31, 2016 decreased $0.3 million to $97.9 million compared to the corresponding period of the prior year. Comparable sales decreased 1.4%, with a 2-year stack increase of 0.7%.</w:t>
      </w:r>
    </w:p>
    <w:p>
      <w:pPr>
        <w:spacing w:after="0" w:line="1" w:lineRule="exact"/>
        <w:rPr>
          <w:rFonts w:ascii="Arial" w:cs="Arial" w:eastAsia="Arial" w:hAnsi="Arial"/>
          <w:sz w:val="18"/>
          <w:szCs w:val="18"/>
          <w:color w:val="auto"/>
        </w:rPr>
      </w:pPr>
    </w:p>
    <w:p>
      <w:pPr>
        <w:ind w:left="860" w:hanging="431"/>
        <w:spacing w:after="0" w:line="236"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same 9-week period, comparable sales for DXL retail stores decreased 1.0%, with a 2-year stack increase of 6.8%.</w:t>
      </w:r>
    </w:p>
    <w:p>
      <w:pPr>
        <w:spacing w:after="0" w:line="1"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Levin further commented, “We observed a noticeable migration with our ‘gift-giver’ this season to online shopping. Our Direct business performed well, but was not enough to offset the decline in store sales. We are managing our expenses very well, which we expect will allow us to meet the low-end of our sales, EBITDA and earnings guidance for the year. Our inventory levels are in excellent shape and we believe we are well-positioned as we enter the Spring selling season.”</w:t>
      </w:r>
    </w:p>
    <w:p>
      <w:pPr>
        <w:spacing w:after="0" w:line="3"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The Company plans to report its actual fourth-quarter and fiscal 2016 financial results on March 17, 2017, when management also will conduct its quarterly conference call to discuss its results for fiscal 2016, as well as its fiscal 2017 outlook.</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 xml:space="preserve">Destination XL Group, Inc. will participate in the 2017 ICR Conference to be held at the JW Marriott Orlando Grande Lakes in Orlando, Florida on January 9-11, 2017. Management is scheduled to present on Tuesday, January 10, 2017 at 9:00 a.m. Eastern Time. The presentation will be hosted by David Levin, President and Chief Executive Officer, and Peter Stratton, Senior Vice President, Chief Financial Officer, and Treasurer. The presentation will be webcast live and available for replay in the Investor Relations section of the Company’s website at </w:t>
      </w:r>
      <w:r>
        <w:rPr>
          <w:rFonts w:ascii="Arial" w:cs="Arial" w:eastAsia="Arial" w:hAnsi="Arial"/>
          <w:sz w:val="18"/>
          <w:szCs w:val="18"/>
          <w:u w:val="single" w:color="auto"/>
          <w:color w:val="auto"/>
        </w:rPr>
        <w:t>investor.destinationxl.com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161290</wp:posOffset>
            </wp:positionV>
            <wp:extent cx="730250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Destination XL Group, Inc.</w:t>
      </w:r>
    </w:p>
    <w:p>
      <w:pPr>
        <w:spacing w:after="0" w:line="6"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 xml:space="preserve">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auto"/>
        </w:rPr>
        <w:t>http://investor.destinationxl.com</w:t>
      </w:r>
      <w:r>
        <w:rPr>
          <w:rFonts w:ascii="Arial" w:cs="Arial" w:eastAsia="Arial" w:hAnsi="Arial"/>
          <w:sz w:val="18"/>
          <w:szCs w:val="18"/>
          <w:color w:val="auto"/>
        </w:rPr>
        <w:t>.</w:t>
      </w:r>
    </w:p>
    <w:p>
      <w:pPr>
        <w:spacing w:after="0" w:line="227" w:lineRule="auto"/>
        <w:rPr>
          <w:sz w:val="20"/>
          <w:szCs w:val="20"/>
          <w:color w:val="auto"/>
        </w:rPr>
      </w:pP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Certain statements and information contained in this press release constitute forward-looking statements under the federal securities laws, including statements regarding the Company’s expectations with respect to its positioning for the Spring 2017 selling season and its projected sales, EBITDA and earnings for fiscal 2016.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18, 2016, that set forth certain risks and uncertainties that may have an impact on future results and direction of the Company, including the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7"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2" w:lineRule="auto"/>
        <w:rPr>
          <w:sz w:val="20"/>
          <w:szCs w:val="20"/>
          <w:color w:val="auto"/>
        </w:rPr>
      </w:pPr>
      <w:r>
        <w:rPr>
          <w:rFonts w:ascii="Arial" w:cs="Arial" w:eastAsia="Arial" w:hAnsi="Arial"/>
          <w:sz w:val="18"/>
          <w:szCs w:val="18"/>
          <w:color w:val="auto"/>
        </w:rPr>
        <w:t>ICR, Inc.</w:t>
      </w:r>
    </w:p>
    <w:p>
      <w:pPr>
        <w:spacing w:after="0" w:line="223" w:lineRule="auto"/>
        <w:rPr>
          <w:sz w:val="20"/>
          <w:szCs w:val="20"/>
          <w:color w:val="auto"/>
        </w:rPr>
      </w:pPr>
      <w:r>
        <w:rPr>
          <w:rFonts w:ascii="Arial" w:cs="Arial" w:eastAsia="Arial" w:hAnsi="Arial"/>
          <w:sz w:val="18"/>
          <w:szCs w:val="18"/>
          <w:color w:val="auto"/>
        </w:rPr>
        <w:t>Tom Filandro</w:t>
      </w:r>
    </w:p>
    <w:p>
      <w:pPr>
        <w:spacing w:after="0" w:line="223" w:lineRule="auto"/>
        <w:rPr>
          <w:sz w:val="20"/>
          <w:szCs w:val="20"/>
          <w:color w:val="auto"/>
        </w:rPr>
      </w:pPr>
      <w:r>
        <w:rPr>
          <w:rFonts w:ascii="Arial" w:cs="Arial" w:eastAsia="Arial" w:hAnsi="Arial"/>
          <w:sz w:val="18"/>
          <w:szCs w:val="18"/>
          <w:color w:val="auto"/>
        </w:rPr>
        <w:t>646-277-1200</w:t>
      </w:r>
    </w:p>
    <w:p>
      <w:pPr>
        <w:spacing w:after="0"/>
        <w:rPr>
          <w:sz w:val="20"/>
          <w:szCs w:val="20"/>
          <w:color w:val="auto"/>
        </w:rPr>
      </w:pPr>
      <w:r>
        <w:rPr>
          <w:rFonts w:ascii="Arial" w:cs="Arial" w:eastAsia="Arial" w:hAnsi="Arial"/>
          <w:sz w:val="18"/>
          <w:szCs w:val="18"/>
          <w:color w:val="auto"/>
        </w:rPr>
        <w:t>Source: Destination XL Group, Inc.</w:t>
      </w:r>
    </w:p>
    <w:p>
      <w:pPr>
        <w:sectPr>
          <w:pgSz w:w="11900" w:h="16838" w:orient="portrait"/>
          <w:cols w:equalWidth="0" w:num="1">
            <w:col w:w="11380"/>
          </w:cols>
          <w:pgMar w:left="240" w:top="116" w:right="27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2019-12-05T14:42:38Z</dcterms:created>
  <dcterms:modified xsi:type="dcterms:W3CDTF">2019-12-05T14:42:38Z</dcterms:modified>
</cp:coreProperties>
</file>