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14" w:right="239" w:bottom="1440" w:gutter="0" w:footer="0" w:header="0"/>
        </w:sectPr>
      </w:pPr>
    </w:p>
    <w:p>
      <w:pPr>
        <w:spacing w:after="0" w:line="56"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For the fiscal year ended February 3, 2018</w:t>
      </w:r>
    </w:p>
    <w:p>
      <w:pPr>
        <w:spacing w:after="0" w:line="50"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(Fiscal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66040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 01-34219</w:t>
      </w:r>
    </w:p>
    <w:p>
      <w:pPr>
        <w:spacing w:after="0" w:line="403" w:lineRule="exact"/>
        <w:rPr>
          <w:sz w:val="24"/>
          <w:szCs w:val="24"/>
          <w:color w:val="auto"/>
        </w:rPr>
      </w:pPr>
    </w:p>
    <w:p>
      <w:pPr>
        <w:sectPr>
          <w:pgSz w:w="11900" w:h="16838" w:orient="portrait"/>
          <w:cols w:equalWidth="0" w:num="2">
            <w:col w:w="6560" w:space="720"/>
            <w:col w:w="4140"/>
          </w:cols>
          <w:pgMar w:left="240" w:top="314" w:right="239" w:bottom="1440" w:gutter="0" w:footer="0" w:header="0"/>
          <w:type w:val="continuous"/>
        </w:sectPr>
      </w:pPr>
    </w:p>
    <w:p>
      <w:pPr>
        <w:jc w:val="center"/>
        <w:spacing w:after="0"/>
        <w:rPr>
          <w:sz w:val="20"/>
          <w:szCs w:val="20"/>
          <w:color w:val="auto"/>
        </w:rPr>
      </w:pPr>
      <w:r>
        <w:rPr>
          <w:rFonts w:ascii="Arial" w:cs="Arial" w:eastAsia="Arial" w:hAnsi="Arial"/>
          <w:sz w:val="36"/>
          <w:szCs w:val="36"/>
          <w:b w:val="1"/>
          <w:bCs w:val="1"/>
          <w:color w:val="auto"/>
        </w:rPr>
        <w:t>DESTINATION XL GROUP,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5"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618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6180" w:type="dxa"/>
            <w:vAlign w:val="bottom"/>
          </w:tcPr>
          <w:p>
            <w:pPr>
              <w:jc w:val="center"/>
              <w:ind w:right="352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8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180" w:type="dxa"/>
            <w:vAlign w:val="bottom"/>
          </w:tcPr>
          <w:p>
            <w:pPr>
              <w:jc w:val="center"/>
              <w:ind w:right="3520"/>
              <w:spacing w:after="0"/>
              <w:rPr>
                <w:sz w:val="20"/>
                <w:szCs w:val="20"/>
                <w:color w:val="auto"/>
              </w:rPr>
            </w:pPr>
            <w:r>
              <w:rPr>
                <w:rFonts w:ascii="Arial" w:cs="Arial" w:eastAsia="Arial" w:hAnsi="Arial"/>
                <w:sz w:val="14"/>
                <w:szCs w:val="14"/>
                <w:b w:val="1"/>
                <w:bCs w:val="1"/>
                <w:color w:val="auto"/>
                <w:w w:val="93"/>
              </w:rPr>
              <w:t>incorporation or organization)</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286"/>
        </w:trPr>
        <w:tc>
          <w:tcPr>
            <w:tcW w:w="618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555 Turnpike Street, Canton, MA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02021</w:t>
            </w:r>
          </w:p>
        </w:tc>
      </w:tr>
      <w:tr>
        <w:trPr>
          <w:trHeight w:val="186"/>
        </w:trPr>
        <w:tc>
          <w:tcPr>
            <w:tcW w:w="6180" w:type="dxa"/>
            <w:vAlign w:val="bottom"/>
          </w:tcPr>
          <w:p>
            <w:pPr>
              <w:jc w:val="center"/>
              <w:ind w:right="3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6180" w:type="dxa"/>
            <w:vAlign w:val="bottom"/>
          </w:tcPr>
          <w:p>
            <w:pPr>
              <w:jc w:val="right"/>
              <w:ind w:right="1340"/>
              <w:spacing w:after="0"/>
              <w:rPr>
                <w:sz w:val="20"/>
                <w:szCs w:val="20"/>
                <w:color w:val="auto"/>
              </w:rPr>
            </w:pPr>
            <w:r>
              <w:rPr>
                <w:rFonts w:ascii="Arial" w:cs="Arial" w:eastAsia="Arial" w:hAnsi="Arial"/>
                <w:sz w:val="18"/>
                <w:szCs w:val="18"/>
                <w:b w:val="1"/>
                <w:bCs w:val="1"/>
                <w:color w:val="auto"/>
              </w:rPr>
              <w:t>(781) 828-9300</w:t>
            </w:r>
          </w:p>
        </w:tc>
        <w:tc>
          <w:tcPr>
            <w:tcW w:w="1480" w:type="dxa"/>
            <w:vAlign w:val="bottom"/>
          </w:tcPr>
          <w:p>
            <w:pPr>
              <w:spacing w:after="0"/>
              <w:rPr>
                <w:sz w:val="21"/>
                <w:szCs w:val="21"/>
                <w:color w:val="auto"/>
              </w:rPr>
            </w:pPr>
          </w:p>
        </w:tc>
      </w:tr>
      <w:tr>
        <w:trPr>
          <w:trHeight w:val="186"/>
        </w:trPr>
        <w:tc>
          <w:tcPr>
            <w:tcW w:w="6180" w:type="dxa"/>
            <w:vAlign w:val="bottom"/>
          </w:tcPr>
          <w:p>
            <w:pPr>
              <w:jc w:val="center"/>
              <w:ind w:left="2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344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rPr>
              <w:t>Title of each class</w:t>
            </w:r>
          </w:p>
        </w:tc>
        <w:tc>
          <w:tcPr>
            <w:tcW w:w="2260" w:type="dxa"/>
            <w:vAlign w:val="bottom"/>
          </w:tcPr>
          <w:p>
            <w:pPr>
              <w:spacing w:after="0"/>
              <w:rPr>
                <w:sz w:val="16"/>
                <w:szCs w:val="16"/>
                <w:color w:val="auto"/>
              </w:rPr>
            </w:pPr>
          </w:p>
        </w:tc>
        <w:tc>
          <w:tcPr>
            <w:tcW w:w="34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1160" w:type="dxa"/>
            <w:vAlign w:val="bottom"/>
          </w:tcPr>
          <w:p>
            <w:pPr>
              <w:spacing w:after="0"/>
              <w:rPr>
                <w:sz w:val="19"/>
                <w:szCs w:val="19"/>
                <w:color w:val="auto"/>
              </w:rPr>
            </w:pPr>
          </w:p>
        </w:tc>
        <w:tc>
          <w:tcPr>
            <w:tcW w:w="3440" w:type="dxa"/>
            <w:vAlign w:val="bottom"/>
            <w:gridSpan w:val="2"/>
          </w:tcPr>
          <w:p>
            <w:pPr>
              <w:ind w:left="440"/>
              <w:spacing w:after="0"/>
              <w:rPr>
                <w:sz w:val="20"/>
                <w:szCs w:val="20"/>
                <w:color w:val="auto"/>
              </w:rPr>
            </w:pPr>
            <w:r>
              <w:rPr>
                <w:rFonts w:ascii="Arial" w:cs="Arial" w:eastAsia="Arial" w:hAnsi="Arial"/>
                <w:sz w:val="18"/>
                <w:szCs w:val="18"/>
                <w:b w:val="1"/>
                <w:bCs w:val="1"/>
                <w:color w:val="auto"/>
              </w:rPr>
              <w:t>Common Stock, $0.01 par value</w:t>
            </w:r>
          </w:p>
        </w:tc>
        <w:tc>
          <w:tcPr>
            <w:tcW w:w="2260" w:type="dxa"/>
            <w:vAlign w:val="bottom"/>
          </w:tcPr>
          <w:p>
            <w:pPr>
              <w:spacing w:after="0"/>
              <w:rPr>
                <w:sz w:val="19"/>
                <w:szCs w:val="19"/>
                <w:color w:val="auto"/>
              </w:rPr>
            </w:pPr>
          </w:p>
        </w:tc>
        <w:tc>
          <w:tcPr>
            <w:tcW w:w="3420" w:type="dxa"/>
            <w:vAlign w:val="bottom"/>
            <w:gridSpan w:val="3"/>
          </w:tcPr>
          <w:p>
            <w:pPr>
              <w:jc w:val="center"/>
              <w:ind w:left="39"/>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52"/>
        </w:trPr>
        <w:tc>
          <w:tcPr>
            <w:tcW w:w="1160" w:type="dxa"/>
            <w:vAlign w:val="bottom"/>
          </w:tcPr>
          <w:p>
            <w:pPr>
              <w:spacing w:after="0"/>
              <w:rPr>
                <w:sz w:val="21"/>
                <w:szCs w:val="21"/>
                <w:color w:val="auto"/>
              </w:rPr>
            </w:pPr>
          </w:p>
        </w:tc>
        <w:tc>
          <w:tcPr>
            <w:tcW w:w="7220" w:type="dxa"/>
            <w:vAlign w:val="bottom"/>
            <w:gridSpan w:val="5"/>
          </w:tcPr>
          <w:p>
            <w:pPr>
              <w:jc w:val="center"/>
              <w:ind w:left="1816"/>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1900" w:type="dxa"/>
            <w:vAlign w:val="bottom"/>
          </w:tcPr>
          <w:p>
            <w:pPr>
              <w:spacing w:after="0"/>
              <w:rPr>
                <w:sz w:val="21"/>
                <w:szCs w:val="21"/>
                <w:color w:val="auto"/>
              </w:rPr>
            </w:pPr>
          </w:p>
        </w:tc>
      </w:tr>
      <w:tr>
        <w:trPr>
          <w:trHeight w:val="169"/>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None</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82"/>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900" w:type="dxa"/>
            <w:vAlign w:val="bottom"/>
          </w:tcPr>
          <w:p>
            <w:pPr>
              <w:jc w:val="center"/>
              <w:ind w:right="135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84"/>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9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46" w:lineRule="exact"/>
        <w:rPr>
          <w:sz w:val="24"/>
          <w:szCs w:val="24"/>
          <w:color w:val="auto"/>
        </w:rPr>
      </w:pPr>
    </w:p>
    <w:p>
      <w:pPr>
        <w:ind w:right="18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4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if disclosure of delinquent filers pursuant to Item 405 of Regulation S-K(§229.405 of this chapter) is not contained herein, and will not be contained, to the best of the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20" w:hanging="312"/>
        <w:spacing w:after="0" w:line="184" w:lineRule="exact"/>
        <w:tabs>
          <w:tab w:leader="none" w:pos="320" w:val="left"/>
        </w:tabs>
        <w:numPr>
          <w:ilvl w:val="0"/>
          <w:numId w:val="1"/>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82"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141" w:lineRule="exact"/>
        <w:rPr>
          <w:sz w:val="24"/>
          <w:szCs w:val="24"/>
          <w:color w:val="auto"/>
        </w:rPr>
      </w:pPr>
    </w:p>
    <w:tbl>
      <w:tblPr>
        <w:tblLayout w:type="fixed"/>
        <w:tblInd w:w="86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90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960" w:type="dxa"/>
            <w:vAlign w:val="bottom"/>
            <w:gridSpan w:val="2"/>
          </w:tcPr>
          <w:p>
            <w:pPr>
              <w:spacing w:after="0"/>
              <w:rPr>
                <w:sz w:val="20"/>
                <w:szCs w:val="20"/>
                <w:color w:val="auto"/>
              </w:rPr>
            </w:pPr>
            <w:r>
              <w:rPr>
                <w:rFonts w:ascii="Arial" w:cs="Arial" w:eastAsia="Arial" w:hAnsi="Arial"/>
                <w:sz w:val="16"/>
                <w:szCs w:val="16"/>
                <w:color w:val="auto"/>
              </w:rPr>
              <w:t>(Do not check if a smaller reporting company)</w:t>
            </w:r>
          </w:p>
        </w:tc>
        <w:tc>
          <w:tcPr>
            <w:tcW w:w="3240" w:type="dxa"/>
            <w:vAlign w:val="bottom"/>
          </w:tcPr>
          <w:p>
            <w:pPr>
              <w:ind w:left="90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jc w:val="both"/>
        <w:ind w:right="100"/>
        <w:spacing w:after="0" w:line="335" w:lineRule="auto"/>
        <w:rPr>
          <w:sz w:val="20"/>
          <w:szCs w:val="20"/>
          <w:color w:val="auto"/>
        </w:rPr>
      </w:pPr>
      <w:r>
        <w:rPr>
          <w:rFonts w:ascii="Arial" w:cs="Arial" w:eastAsia="Arial" w:hAnsi="Arial"/>
          <w:sz w:val="14"/>
          <w:szCs w:val="14"/>
          <w:color w:val="auto"/>
        </w:rPr>
        <w:t>As of July 29, 2017, the aggregate market value of the Common Stock held by non-affiliates of the registrant was approximately $67.5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48,759,404 shares of Common Stock, $0.01 par value, outstanding as of March 16, 2018.</w:t>
      </w:r>
    </w:p>
    <w:p>
      <w:pPr>
        <w:spacing w:after="0" w:line="8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Portions of the Proxy Statement for the 2018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262890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00" w:type="dxa"/>
            <w:vAlign w:val="bottom"/>
            <w:gridSpan w:val="11"/>
          </w:tcPr>
          <w:p>
            <w:pPr>
              <w:jc w:val="center"/>
              <w:ind w:right="3380"/>
              <w:spacing w:after="0"/>
              <w:rPr>
                <w:sz w:val="20"/>
                <w:szCs w:val="20"/>
                <w:color w:val="auto"/>
              </w:rPr>
            </w:pPr>
            <w:r>
              <w:rPr>
                <w:rFonts w:ascii="Arial" w:cs="Arial" w:eastAsia="Arial" w:hAnsi="Arial"/>
                <w:sz w:val="18"/>
                <w:szCs w:val="18"/>
                <w:b w:val="1"/>
                <w:bCs w:val="1"/>
                <w:color w:val="auto"/>
              </w:rPr>
              <w:t>DESTINATION XL GROUP, INC.</w:t>
            </w:r>
          </w:p>
        </w:tc>
        <w:tc>
          <w:tcPr>
            <w:tcW w:w="560" w:type="dxa"/>
            <w:vAlign w:val="bottom"/>
          </w:tcPr>
          <w:p>
            <w:pPr>
              <w:spacing w:after="0"/>
              <w:rPr>
                <w:sz w:val="20"/>
                <w:szCs w:val="20"/>
                <w:color w:val="auto"/>
              </w:rPr>
            </w:pPr>
          </w:p>
        </w:tc>
      </w:tr>
      <w:tr>
        <w:trPr>
          <w:trHeight w:val="203"/>
        </w:trPr>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99"/>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00" w:type="dxa"/>
            <w:vAlign w:val="bottom"/>
            <w:gridSpan w:val="11"/>
          </w:tcPr>
          <w:p>
            <w:pPr>
              <w:jc w:val="center"/>
              <w:ind w:right="3400"/>
              <w:spacing w:after="0"/>
              <w:rPr>
                <w:sz w:val="20"/>
                <w:szCs w:val="20"/>
                <w:color w:val="auto"/>
              </w:rPr>
            </w:pPr>
            <w:r>
              <w:rPr>
                <w:rFonts w:ascii="Arial" w:cs="Arial" w:eastAsia="Arial" w:hAnsi="Arial"/>
                <w:sz w:val="18"/>
                <w:szCs w:val="18"/>
                <w:b w:val="1"/>
                <w:bCs w:val="1"/>
                <w:color w:val="auto"/>
                <w:w w:val="93"/>
              </w:rPr>
              <w:t>Index to Annual Report on Form 10-K</w:t>
            </w:r>
          </w:p>
        </w:tc>
        <w:tc>
          <w:tcPr>
            <w:tcW w:w="5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60" w:type="dxa"/>
            <w:vAlign w:val="bottom"/>
            <w:gridSpan w:val="10"/>
          </w:tcPr>
          <w:p>
            <w:pPr>
              <w:jc w:val="center"/>
              <w:ind w:right="3840"/>
              <w:spacing w:after="0"/>
              <w:rPr>
                <w:sz w:val="20"/>
                <w:szCs w:val="20"/>
                <w:color w:val="auto"/>
              </w:rPr>
            </w:pPr>
            <w:r>
              <w:rPr>
                <w:rFonts w:ascii="Arial" w:cs="Arial" w:eastAsia="Arial" w:hAnsi="Arial"/>
                <w:sz w:val="18"/>
                <w:szCs w:val="18"/>
                <w:b w:val="1"/>
                <w:bCs w:val="1"/>
                <w:color w:val="auto"/>
                <w:w w:val="91"/>
              </w:rPr>
              <w:t>Year Ended February 3, 2018</w:t>
            </w:r>
          </w:p>
        </w:tc>
        <w:tc>
          <w:tcPr>
            <w:tcW w:w="560" w:type="dxa"/>
            <w:vAlign w:val="bottom"/>
          </w:tcPr>
          <w:p>
            <w:pPr>
              <w:spacing w:after="0"/>
              <w:rPr>
                <w:sz w:val="20"/>
                <w:szCs w:val="20"/>
                <w:color w:val="auto"/>
              </w:rPr>
            </w:pPr>
          </w:p>
        </w:tc>
      </w:tr>
      <w:tr>
        <w:trPr>
          <w:trHeight w:val="392"/>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318"/>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w w:val="98"/>
              </w:rPr>
              <w:t>PART I</w:t>
            </w:r>
          </w:p>
        </w:tc>
        <w:tc>
          <w:tcPr>
            <w:tcW w:w="560" w:type="dxa"/>
            <w:vAlign w:val="bottom"/>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2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0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1B.</w:t>
            </w:r>
          </w:p>
        </w:tc>
        <w:tc>
          <w:tcPr>
            <w:tcW w:w="980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Properties</w:t>
              </w:r>
            </w:hyperlink>
          </w:p>
        </w:tc>
        <w:tc>
          <w:tcPr>
            <w:tcW w:w="1280" w:type="dxa"/>
            <w:vAlign w:val="bottom"/>
            <w:tcBorders>
              <w:top w:val="single" w:sz="8" w:color="0000EE"/>
            </w:tcBorders>
            <w:gridSpan w:val="8"/>
          </w:tcPr>
          <w:p>
            <w:pPr>
              <w:spacing w:after="0"/>
              <w:rPr>
                <w:sz w:val="24"/>
                <w:szCs w:val="24"/>
                <w:color w:val="auto"/>
              </w:rPr>
            </w:pPr>
          </w:p>
        </w:tc>
        <w:tc>
          <w:tcPr>
            <w:tcW w:w="776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846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58"/>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rPr>
              <w:t>PART II</w:t>
            </w:r>
          </w:p>
        </w:tc>
        <w:tc>
          <w:tcPr>
            <w:tcW w:w="560" w:type="dxa"/>
            <w:vAlign w:val="bottom"/>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Market for Registrant’s Common Equity, Related Stockholder Matters and Issuer Purchases of Equity Securities</w:t>
              </w:r>
            </w:hyperlink>
          </w:p>
        </w:tc>
        <w:tc>
          <w:tcPr>
            <w:tcW w:w="1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Selected Financial Data</w:t>
              </w:r>
            </w:hyperlink>
          </w:p>
        </w:tc>
        <w:tc>
          <w:tcPr>
            <w:tcW w:w="808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7.</w:t>
            </w:r>
          </w:p>
        </w:tc>
        <w:tc>
          <w:tcPr>
            <w:tcW w:w="980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34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3"/>
          </w:tcPr>
          <w:p>
            <w:pPr>
              <w:spacing w:after="0"/>
              <w:rPr>
                <w:sz w:val="24"/>
                <w:szCs w:val="24"/>
                <w:color w:val="auto"/>
              </w:rPr>
            </w:pPr>
          </w:p>
        </w:tc>
        <w:tc>
          <w:tcPr>
            <w:tcW w:w="54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Changes in and Disagreements with Accountants on Accounting and Financial Disclosure</w:t>
              </w:r>
            </w:hyperlink>
          </w:p>
        </w:tc>
        <w:tc>
          <w:tcPr>
            <w:tcW w:w="332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Controls and Procedures</w:t>
              </w:r>
            </w:hyperlink>
          </w:p>
        </w:tc>
        <w:tc>
          <w:tcPr>
            <w:tcW w:w="802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9B.</w:t>
            </w:r>
          </w:p>
        </w:tc>
        <w:tc>
          <w:tcPr>
            <w:tcW w:w="9800" w:type="dxa"/>
            <w:vAlign w:val="bottom"/>
            <w:gridSpan w:val="2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58"/>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rPr>
              <w:t>PART III</w:t>
            </w:r>
          </w:p>
        </w:tc>
        <w:tc>
          <w:tcPr>
            <w:tcW w:w="560" w:type="dxa"/>
            <w:vAlign w:val="bottom"/>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Directors, Executive Officers and Corporate Governance</w:t>
              </w:r>
            </w:hyperlink>
          </w:p>
        </w:tc>
        <w:tc>
          <w:tcPr>
            <w:tcW w:w="570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11.</w:t>
            </w:r>
          </w:p>
        </w:tc>
        <w:tc>
          <w:tcPr>
            <w:tcW w:w="9800" w:type="dxa"/>
            <w:vAlign w:val="bottom"/>
            <w:gridSpan w:val="2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10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Security Ownership of Certain Beneficial Owners and Management and Related Stockholder Matters</w:t>
              </w:r>
            </w:hyperlink>
          </w:p>
        </w:tc>
        <w:tc>
          <w:tcPr>
            <w:tcW w:w="25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Certain Relationships and Related Transactions, and Director Independence</w:t>
              </w:r>
            </w:hyperlink>
          </w:p>
        </w:tc>
        <w:tc>
          <w:tcPr>
            <w:tcW w:w="434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Item 14.</w:t>
            </w:r>
          </w:p>
        </w:tc>
        <w:tc>
          <w:tcPr>
            <w:tcW w:w="9800" w:type="dxa"/>
            <w:vAlign w:val="bottom"/>
            <w:gridSpan w:val="2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Principal Accounting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58"/>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Item 15.</w:t>
            </w:r>
          </w:p>
        </w:tc>
        <w:tc>
          <w:tcPr>
            <w:tcW w:w="9800" w:type="dxa"/>
            <w:vAlign w:val="bottom"/>
            <w:gridSpan w:val="2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24"/>
                <w:szCs w:val="24"/>
                <w:color w:val="auto"/>
              </w:rPr>
            </w:pPr>
          </w:p>
        </w:tc>
        <w:tc>
          <w:tcPr>
            <w:tcW w:w="690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8"/>
        </w:trPr>
        <w:tc>
          <w:tcPr>
            <w:tcW w:w="1060" w:type="dxa"/>
            <w:vAlign w:val="bottom"/>
          </w:tcPr>
          <w:p>
            <w:pPr>
              <w:spacing w:after="0"/>
              <w:rPr>
                <w:sz w:val="24"/>
                <w:szCs w:val="24"/>
                <w:color w:val="auto"/>
              </w:rPr>
            </w:pPr>
          </w:p>
        </w:tc>
        <w:tc>
          <w:tcPr>
            <w:tcW w:w="9800" w:type="dxa"/>
            <w:vAlign w:val="bottom"/>
            <w:gridSpan w:val="2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cash flows, gross profit margins, store counts, capital expenditures, marketing spend, depreciation, sales and earnings expectations for fiscal 2018, the expected impact of marketing initiatives in fiscal 2018, the timing of identifying and hiring a successor CEO and the expected use of cash from operations in fiscal 2018.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the execution of our corporate strategy and ability to grow our market share, and those risks and uncertainties set forth below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Readers are encouraged to review these risks and uncertainties carefully.</w:t>
      </w:r>
    </w:p>
    <w:p>
      <w:pPr>
        <w:spacing w:after="0" w:line="18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Destination XL Group, Inc., together with its subsidiaries (the “Company”), is the largest specialty retailer of big &amp; tall men’s apparel with retail locations in the United States, London, England and Toronto, Canada. We operate under the trade names of Destination XL</w:t>
      </w:r>
      <w:r>
        <w:rPr>
          <w:rFonts w:ascii="Arial" w:cs="Arial" w:eastAsia="Arial" w:hAnsi="Arial"/>
          <w:sz w:val="15"/>
          <w:szCs w:val="15"/>
          <w:color w:val="auto"/>
        </w:rPr>
        <w:t>®</w:t>
      </w:r>
      <w:r>
        <w:rPr>
          <w:rFonts w:ascii="Arial" w:cs="Arial" w:eastAsia="Arial" w:hAnsi="Arial"/>
          <w:sz w:val="18"/>
          <w:szCs w:val="18"/>
          <w:color w:val="auto"/>
        </w:rPr>
        <w:t>, DXL</w:t>
      </w:r>
      <w:r>
        <w:rPr>
          <w:rFonts w:ascii="Arial" w:cs="Arial" w:eastAsia="Arial" w:hAnsi="Arial"/>
          <w:sz w:val="15"/>
          <w:szCs w:val="15"/>
          <w:color w:val="auto"/>
        </w:rPr>
        <w:t>®</w:t>
      </w:r>
      <w:r>
        <w:rPr>
          <w:rFonts w:ascii="Arial" w:cs="Arial" w:eastAsia="Arial" w:hAnsi="Arial"/>
          <w:sz w:val="18"/>
          <w:szCs w:val="18"/>
          <w:color w:val="auto"/>
        </w:rPr>
        <w:t>, DXL Men’s Apparel, DXL outlets, Casual Male XL</w:t>
      </w:r>
      <w:r>
        <w:rPr>
          <w:rFonts w:ascii="Arial" w:cs="Arial" w:eastAsia="Arial" w:hAnsi="Arial"/>
          <w:sz w:val="15"/>
          <w:szCs w:val="15"/>
          <w:color w:val="auto"/>
        </w:rPr>
        <w:t>®</w:t>
      </w:r>
      <w:r>
        <w:rPr>
          <w:rFonts w:ascii="Arial" w:cs="Arial" w:eastAsia="Arial" w:hAnsi="Arial"/>
          <w:sz w:val="18"/>
          <w:szCs w:val="18"/>
          <w:color w:val="auto"/>
        </w:rPr>
        <w:t>, Casual Male XL outlets, Rochester Clothing, ShoesXL</w:t>
      </w:r>
      <w:r>
        <w:rPr>
          <w:rFonts w:ascii="Arial" w:cs="Arial" w:eastAsia="Arial" w:hAnsi="Arial"/>
          <w:sz w:val="15"/>
          <w:szCs w:val="15"/>
          <w:color w:val="auto"/>
        </w:rPr>
        <w:t>®</w:t>
      </w:r>
      <w:r>
        <w:rPr>
          <w:rFonts w:ascii="Arial" w:cs="Arial" w:eastAsia="Arial" w:hAnsi="Arial"/>
          <w:sz w:val="18"/>
          <w:szCs w:val="18"/>
          <w:color w:val="auto"/>
        </w:rPr>
        <w:t xml:space="preserve"> and LivingXL</w:t>
      </w:r>
      <w:r>
        <w:rPr>
          <w:rFonts w:ascii="Arial" w:cs="Arial" w:eastAsia="Arial" w:hAnsi="Arial"/>
          <w:sz w:val="15"/>
          <w:szCs w:val="15"/>
          <w:color w:val="auto"/>
        </w:rPr>
        <w:t>®</w:t>
      </w:r>
      <w:r>
        <w:rPr>
          <w:rFonts w:ascii="Arial" w:cs="Arial" w:eastAsia="Arial" w:hAnsi="Arial"/>
          <w:sz w:val="18"/>
          <w:szCs w:val="18"/>
          <w:color w:val="auto"/>
        </w:rPr>
        <w:t>. We operate 212 DXL retail stores, 14 DXL outlet stores, 78 Casual Male XL retail stores, 33 Casual Male XL outlet stores and 5 Rochester Clothing stores. We also operate a direct business at DestinationXL.com, which also supports our stores, brands and product extensions. Unless the context indicates otherwise, all references to “we,” “our,” “ours,” “us” and “the Company” refer to Destination XL Group, Inc. and our consolidated subsidiaries. We refer to our fiscal years ended February 3, 2018, January 28, 2017 and January 30, 2016 as “fiscal 2017”, “fiscal 2016” and “fiscal 2015,” respectively. Fiscal 2017 was a 53-week year and fiscal 2016 and fiscal 2015 were 52-week years.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INDUSTRY</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big &amp; tall men’s apparel market includes pants with a waist size of 42” and greater, as well as tops sized 1XL and greater. Growth in this segment has historically been driven by rapidly changing market demographics. We believe that we can increase our market share by catering to the broader target market, attracting customers from various income, age and lifestyle segments and offering the widest selection of sizes and styles that fit well. An opportunity also exists for market share growth from the lower-size range of our market, that is, men with a 38” to 46” waist size, which we define as our “end-of-rack” customers. These sizes are usually at the high end of the size range for most men’s apparel retailers and, as a result, the selection is usually limited at such retailers.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Company was incorporated in the State of Delaware in 1976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Through fiscal 2010, we primarily operated Casual Male XL retail stores, Casual Male XL outlet stores and Rochester Clothing stores, along with the associated websites and catalogs. We catered to all customers through these three store formats, from our value-oriented customer (Casual Male XL outlets) to our luxury-oriented customer (Rochester Clothing stores). During that year, we tested a new store concept, Destination XL (“DXL”). The DXL store concept merged all of our existing brands under one roof, offering our customers an extensive assortment of product and an increased presence of name brands, without having to shop multiple stores. In addition to offering our customers a wide assortment, we also wanted to provide them with a unique shopping experience. We are focused on providing outstanding customer service through our DXL stores, with everything from larger fitting rooms to professional, trained associates providing both personal attention and on-site tailoring. With the initial success of this store format, we then made 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3" w:name="page4"/>
    <w:bookmarkEnd w:id="3"/>
    <w:p>
      <w:pPr>
        <w:ind w:right="280"/>
        <w:spacing w:after="0" w:line="308" w:lineRule="auto"/>
        <w:rPr>
          <w:sz w:val="20"/>
          <w:szCs w:val="20"/>
          <w:color w:val="auto"/>
        </w:rPr>
      </w:pPr>
      <w:r>
        <w:rPr>
          <w:rFonts w:ascii="Arial" w:cs="Arial" w:eastAsia="Arial" w:hAnsi="Arial"/>
          <w:sz w:val="17"/>
          <w:szCs w:val="17"/>
          <w:color w:val="auto"/>
        </w:rPr>
        <w:t>similar change to our e-commerce business in fiscal 2011 when we launched our DestinationXL.com website which, like our DXL store, merged all of our previous websites into one consolidated e-commerce site providing our customers the ability to cross-shop our brands easily.</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part of our new direction, in December 2012, we changed our NASDAQ stock ticker symbol to “DXLG” and in February 2013 we changed our corporate name to “Destination XL Group, Inc.”</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Over the past seven years, we have gradually transitioned the majority of our store base from our Casual Male XL retail and Rochester Clothing stores to our DXL Men’s Apparel store format. With over 225 DXL retail and outlet stores throughout the United States and two in Canada, we have substantially completed our build-out of new DXL stores. This represents a turning point in the evolution of our Company as the capital investment required to build out new stores becomes significantly less. We have now reached the point where our focus heading into fiscal 2018 is on customer acquisition, customer retention and customer re-activation, through improving traffic to our stores and enhancing the customer’s experience with our direct business. We are focused on the following four key ongoing initiatives and strategies:</w:t>
      </w:r>
    </w:p>
    <w:p>
      <w:pPr>
        <w:spacing w:after="0" w:line="85" w:lineRule="exact"/>
        <w:rPr>
          <w:sz w:val="20"/>
          <w:szCs w:val="20"/>
          <w:color w:val="auto"/>
        </w:rPr>
      </w:pPr>
    </w:p>
    <w:p>
      <w:pPr>
        <w:ind w:left="780" w:right="120" w:hanging="259"/>
        <w:spacing w:after="0" w:line="293"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Store Productivity: </w:t>
      </w:r>
      <w:r>
        <w:rPr>
          <w:rFonts w:ascii="Arial" w:cs="Arial" w:eastAsia="Arial" w:hAnsi="Arial"/>
          <w:sz w:val="16"/>
          <w:szCs w:val="16"/>
          <w:color w:val="auto"/>
        </w:rPr>
        <w:t>Our store productivity metrics, such as dollars per transaction and conversion, have increased year-over-year, but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there is further opportunity to capture more customers and greater share of their wallets. One of our biggest challenges in recent years has been driving year-over-year increases in traffic to our stores. During fiscal 2018, we expect to launch a new television marketing campaign to create an emotional connection to our brand and generate a greater motivation to visit a store. We continue to invest in our store selling associates and foster a culture of XL style with every customer who walks through our door. We are also working to improve point-of–sale technology to make it easier and faster for our associates to access and sell inventory outside of the store’s four walls.</w:t>
      </w:r>
    </w:p>
    <w:p>
      <w:pPr>
        <w:spacing w:after="0" w:line="56" w:lineRule="exact"/>
        <w:rPr>
          <w:rFonts w:ascii="Arial" w:cs="Arial" w:eastAsia="Arial" w:hAnsi="Arial"/>
          <w:sz w:val="16"/>
          <w:szCs w:val="16"/>
          <w:color w:val="auto"/>
        </w:rPr>
      </w:pPr>
    </w:p>
    <w:p>
      <w:pPr>
        <w:ind w:left="760" w:right="100"/>
        <w:spacing w:after="0" w:line="276" w:lineRule="auto"/>
        <w:rPr>
          <w:rFonts w:ascii="Arial" w:cs="Arial" w:eastAsia="Arial" w:hAnsi="Arial"/>
          <w:sz w:val="16"/>
          <w:szCs w:val="16"/>
          <w:color w:val="auto"/>
        </w:rPr>
      </w:pPr>
      <w:r>
        <w:rPr>
          <w:rFonts w:ascii="Arial" w:cs="Arial" w:eastAsia="Arial" w:hAnsi="Arial"/>
          <w:sz w:val="17"/>
          <w:szCs w:val="17"/>
          <w:color w:val="auto"/>
        </w:rPr>
        <w:t>With respect to our remaining Casual Male XL retail and outlet stores, we are currently testing a DXL remodel approach as opposed to closing the Casual Male XL store and opening a DXL store nearby. In the second half of fiscal 2017, we converted two Casual Male XL stores to DXL stores and are tracking the results. If successful, we may continue to convert some of the remaining Casual Male XL stores over time. The majority of our Casual Male XL stores are profitable and can continue to coexist with DXL if we choose not to pursue further remodels; however, we do expect to close certain low volume Casual Male XL retail and outlet stores as lease terms expire.</w:t>
      </w:r>
    </w:p>
    <w:p>
      <w:pPr>
        <w:spacing w:after="0" w:line="64" w:lineRule="exact"/>
        <w:rPr>
          <w:rFonts w:ascii="Arial" w:cs="Arial" w:eastAsia="Arial" w:hAnsi="Arial"/>
          <w:sz w:val="16"/>
          <w:szCs w:val="16"/>
          <w:color w:val="auto"/>
        </w:rPr>
      </w:pPr>
    </w:p>
    <w:p>
      <w:pPr>
        <w:ind w:left="780" w:right="280" w:hanging="259"/>
        <w:spacing w:after="0" w:line="290"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Growing our Direct Business: </w:t>
      </w:r>
      <w:r>
        <w:rPr>
          <w:rFonts w:ascii="Arial" w:cs="Arial" w:eastAsia="Arial" w:hAnsi="Arial"/>
          <w:sz w:val="16"/>
          <w:szCs w:val="16"/>
          <w:color w:val="auto"/>
        </w:rPr>
        <w:t>Our direct business represented approximately 21.0% of our total sales in fiscal 2017 and reached 23.1%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fourth quarter, demonstrating the potential for rapid growth in this sales channel. We are committed to providing a first-class, online experience that allows our customers to shop anytime, anywhere, on any device while providing a level of service and customization similar to what they would receive in our stores. During the latter half of fiscal 2017, we made several foundational enhancements to our website to improve the overall shopping experience. We have observed a discernable traffic migration from desktop to mobile navigation on our e-commerce site, consistent with the expected increased use of smartphones and tablets by consumers in general. Because we target a very broad and diverse customer base, we believe it is critical to segment our customer base and communicate with our customers on a personal level. We are enabling new functionality that will allow us to tailor our messaging to specific customers, based on their buying patterns.</w:t>
      </w:r>
    </w:p>
    <w:p>
      <w:pPr>
        <w:spacing w:after="0" w:line="58" w:lineRule="exact"/>
        <w:rPr>
          <w:rFonts w:ascii="Arial" w:cs="Arial" w:eastAsia="Arial" w:hAnsi="Arial"/>
          <w:sz w:val="16"/>
          <w:szCs w:val="16"/>
          <w:color w:val="auto"/>
        </w:rPr>
      </w:pPr>
    </w:p>
    <w:p>
      <w:pPr>
        <w:ind w:left="760" w:right="220"/>
        <w:spacing w:after="0" w:line="264" w:lineRule="auto"/>
        <w:rPr>
          <w:rFonts w:ascii="Arial" w:cs="Arial" w:eastAsia="Arial" w:hAnsi="Arial"/>
          <w:sz w:val="16"/>
          <w:szCs w:val="16"/>
          <w:color w:val="auto"/>
        </w:rPr>
      </w:pPr>
      <w:r>
        <w:rPr>
          <w:rFonts w:ascii="Arial" w:cs="Arial" w:eastAsia="Arial" w:hAnsi="Arial"/>
          <w:sz w:val="18"/>
          <w:szCs w:val="18"/>
          <w:color w:val="auto"/>
        </w:rPr>
        <w:t>Expanding our reach through third party marketplaces such as Amazon is also a key initiative for us to grow our direct business. Marketplaces provide us with an opportunity to acquire new customers who are not familiar with our brand. We have been selling on Amazon marketplace for several years and have just recently begun to participate in Amazon’s seller-fulfilled Prime program.</w:t>
      </w:r>
    </w:p>
    <w:p>
      <w:pPr>
        <w:spacing w:after="0" w:line="73" w:lineRule="exact"/>
        <w:rPr>
          <w:rFonts w:ascii="Arial" w:cs="Arial" w:eastAsia="Arial" w:hAnsi="Arial"/>
          <w:sz w:val="16"/>
          <w:szCs w:val="16"/>
          <w:color w:val="auto"/>
        </w:rPr>
      </w:pPr>
    </w:p>
    <w:p>
      <w:pPr>
        <w:ind w:left="780" w:hanging="259"/>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Focusing on the Customer: </w:t>
      </w:r>
      <w:r>
        <w:rPr>
          <w:rFonts w:ascii="Arial" w:cs="Arial" w:eastAsia="Arial" w:hAnsi="Arial"/>
          <w:sz w:val="16"/>
          <w:szCs w:val="16"/>
          <w:color w:val="auto"/>
        </w:rPr>
        <w:t>We are constantly striving to do a better job of acquiring, retaining and reactivating XL customers. Our primary tool</w:t>
      </w:r>
    </w:p>
    <w:p>
      <w:pPr>
        <w:spacing w:after="0" w:line="46"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7"/>
          <w:szCs w:val="17"/>
          <w:color w:val="auto"/>
        </w:rPr>
        <w:t>for customer acquisition is our annual marketing campaign. For 2018, we expect to run two flights: 6 weeks in the Spring and 5 weeks in the</w:t>
      </w:r>
    </w:p>
    <w:p>
      <w:pPr>
        <w:spacing w:after="0" w:line="20" w:lineRule="exact"/>
        <w:rPr>
          <w:rFonts w:ascii="Arial" w:cs="Arial" w:eastAsia="Arial" w:hAnsi="Arial"/>
          <w:sz w:val="16"/>
          <w:szCs w:val="16"/>
          <w:color w:val="auto"/>
        </w:rPr>
      </w:pPr>
    </w:p>
    <w:p>
      <w:pPr>
        <w:jc w:val="both"/>
        <w:ind w:left="780"/>
        <w:spacing w:after="0" w:line="277" w:lineRule="auto"/>
        <w:rPr>
          <w:rFonts w:ascii="Arial" w:cs="Arial" w:eastAsia="Arial" w:hAnsi="Arial"/>
          <w:sz w:val="16"/>
          <w:szCs w:val="16"/>
          <w:color w:val="auto"/>
        </w:rPr>
      </w:pPr>
      <w:r>
        <w:rPr>
          <w:rFonts w:ascii="Arial" w:cs="Arial" w:eastAsia="Arial" w:hAnsi="Arial"/>
          <w:sz w:val="17"/>
          <w:szCs w:val="17"/>
          <w:color w:val="auto"/>
        </w:rPr>
        <w:t>Fall. Based on testing that we have performed, we believe that the most effective marketing campaign for the target XL customer is one that sparks an emotional connection with our brand. We will continue to glean insights from previous campaigns and modify our future campaigns in an effort to connect with target customers and communicate the brand’s benefits and why our target customers should shop with us.</w:t>
      </w:r>
    </w:p>
    <w:p>
      <w:pPr>
        <w:spacing w:after="0" w:line="65" w:lineRule="exact"/>
        <w:rPr>
          <w:rFonts w:ascii="Arial" w:cs="Arial" w:eastAsia="Arial" w:hAnsi="Arial"/>
          <w:sz w:val="16"/>
          <w:szCs w:val="16"/>
          <w:color w:val="auto"/>
        </w:rPr>
      </w:pPr>
    </w:p>
    <w:p>
      <w:pPr>
        <w:ind w:left="760" w:right="160"/>
        <w:spacing w:after="0" w:line="257" w:lineRule="auto"/>
        <w:rPr>
          <w:rFonts w:ascii="Arial" w:cs="Arial" w:eastAsia="Arial" w:hAnsi="Arial"/>
          <w:sz w:val="16"/>
          <w:szCs w:val="16"/>
          <w:color w:val="auto"/>
        </w:rPr>
      </w:pPr>
      <w:r>
        <w:rPr>
          <w:rFonts w:ascii="Arial" w:cs="Arial" w:eastAsia="Arial" w:hAnsi="Arial"/>
          <w:sz w:val="18"/>
          <w:szCs w:val="18"/>
          <w:color w:val="auto"/>
        </w:rPr>
        <w:t>We have a loyal customer base, with approximately 93% of our transactions processed through our loyalty program. Our customer response rates from loyalty offers are increasing, and the loyalty program allows us to communicate to our best customers in a manner that has a more exclusive look and feel and is an important tool for retention. We saw encouraging customer response to our loyalty perks in the fourth quarter of 2017, and we hope to build off of that progress in fiscal 2018 and motivate our existing customers to visit and shop more often and spend a greater share of their wallets with us.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 w:name="page5"/>
    <w:bookmarkEnd w:id="4"/>
    <w:p>
      <w:pPr>
        <w:ind w:left="780" w:right="20" w:hanging="259"/>
        <w:spacing w:after="0" w:line="271" w:lineRule="auto"/>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our Merchandise Assortment: </w:t>
      </w:r>
      <w:r>
        <w:rPr>
          <w:rFonts w:ascii="Arial" w:cs="Arial" w:eastAsia="Arial" w:hAnsi="Arial"/>
          <w:sz w:val="17"/>
          <w:szCs w:val="17"/>
          <w:color w:val="auto"/>
        </w:rPr>
        <w:t>Our good, better, best merchandise assortment strategy has been a cornerstone of our business.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100 designer brands and a strong private label offering and we are able to customize the merchandise selection for every store. Our growth of the “end-of-rack” customer, which we define as customers with waist size 38” to 46”, is bringing in a younger, smaller-waist customer, who spends more and shops more often. We are responding to the demands of this new customer with our new “What’s on Tap” fashion-forward-product line which brings the newest fashion trends to our stores with limited lead times. In addition, where in the past lead time prevented us from replenishing in season, we are now able to react within 30 to 45 days. We are also looking at opportunities to deliver more fashion product to our smaller DXL stores that until now have been primarily assorted with core product. A key initiative of our marketing campaigns in 2018 will be messaging to our customers the quality, fit and breadth of our merchandise offerings.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operate as an omni-channel retailer of big &amp; tall men’s apparel. Through our multiple brands, which include both branded apparel and private-label, we offer a broad range of merchandise at varying price points, catering from the value-oriented customer to the luxury-oriented customer. Our objective is to appeal to all of our customers by providing a good, better, best array of product assortments in all primary lifestyles with multiple and convenient ways to shop.</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DXL retail stores and e-commerce site cater to all income demographics and offer our customers merchandise to fit a variety of lifestyles from casual to business, young to mature, in all price ranges and in all large sizes from XL and up. In addition, our e-commerce site includes a complete offering of shoes in sizes 10W to 18W. Our Casual Male XL stores primarily carry moderate-priced branded and private label casual sportswear and dresswear, while our Rochester Clothing stores carry fine quality, designer and branded menswear. We also operate Casual Male XL outlets and DXL outlets for our value-oriented customer.</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Another important part of our business operation is managing the number of sizes offered to our customers and optimizing our in-stock position throughout each season. Our best-selling pant has 49 size combinations as compared to an average retailer who may only have 15 different size combinations. We maintain a consolidated inventory across all channels that enable us to manage our in-stock position of all sizes effectively, ultimately improving customer service. Moreover, our planning and allocation methodologies, with respect to store assortment planning, help to optimize each location’s market potential without excessive inventory levels.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offer our customers a broad assortment of apparel that is appropriate to our diverse customer base. Regardless of our customers’ age, socioeconomic status, or lifestyle preference, we are able to assemble a wardrobe to fit our customers’ apparel needs. We offer such assortments in private-label product, balanced with an array of brand name labels. With over 5,000 styles available, we carry tops in sizes up to 8XL and 8XLT, bottoms with waist sizes 38” to 70”, and shoes in sizes 10W to 18W. In addition, we added to our product assortment a smaller fit XL and XLT to appeal to our target “end-of-rack” customer.</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stores are merchandised to showcase entire outfits by lifestyle, including traditional, active, denim, young men’s, dress wear and contemporary. This format allows us to merchandise key items and seasonal goods in prominent displays and makes coordinating outfits easier for the customer while encouraging multi-item purchases. This lifestyle layout also allows us to manage store space and product assortment more effectively in each market to target local demographics. The key item strategy is also fully integrated by lifestyle, allowing us to focus on merchandise presentation and offer our customers a compelling value proposition.</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Merchandise assortments in our DXL stores are organized not only by lifestyle, but within each lifestyle, the assortments are shown in a “good”, “better”, “best” and “luxury” visual presentation, again to benefit our customers’ ease of shopping. With the “best” merchandise assortments featured most prominently in the DXL store, our customers are able to visualize current fashion trends and select their wardrobes within their desired price points in a convenient manner.</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carry several well-known national brands of merchandise (“branded apparel”) as well as a number of our own private-label lines within our “good”, “better”, “best” and “luxury” price points. The penetration of branded apparel in our DXL stores can range from 15% to 80%, depending on several factors, but on average, our DXL stores carry approximately 50% branded merchandise.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Higher-End Luxury Fashion Apparel -“Best” and “Luxury” Merchandise</w:t>
      </w:r>
    </w:p>
    <w:p>
      <w:pPr>
        <w:spacing w:after="0" w:line="1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Within this higher-end price range, we carry a broad selection of quality apparel from well-known branded manufacturers such as, Brooks Brothers</w:t>
      </w:r>
      <w:r>
        <w:rPr>
          <w:rFonts w:ascii="Arial" w:cs="Arial" w:eastAsia="Arial" w:hAnsi="Arial"/>
          <w:sz w:val="15"/>
          <w:szCs w:val="15"/>
          <w:color w:val="auto"/>
        </w:rPr>
        <w:t>®</w:t>
      </w:r>
      <w:r>
        <w:rPr>
          <w:rFonts w:ascii="Arial" w:cs="Arial" w:eastAsia="Arial" w:hAnsi="Arial"/>
          <w:sz w:val="18"/>
          <w:szCs w:val="18"/>
          <w:color w:val="auto"/>
        </w:rPr>
        <w:t>, The North Face</w:t>
      </w:r>
      <w:r>
        <w:rPr>
          <w:rFonts w:ascii="Arial" w:cs="Arial" w:eastAsia="Arial" w:hAnsi="Arial"/>
          <w:sz w:val="15"/>
          <w:szCs w:val="15"/>
          <w:color w:val="auto"/>
        </w:rPr>
        <w:t>®</w:t>
      </w:r>
      <w:r>
        <w:rPr>
          <w:rFonts w:ascii="Arial" w:cs="Arial" w:eastAsia="Arial" w:hAnsi="Arial"/>
          <w:sz w:val="18"/>
          <w:szCs w:val="18"/>
          <w:color w:val="auto"/>
        </w:rPr>
        <w:t>, Gran Sasso</w:t>
      </w:r>
      <w:r>
        <w:rPr>
          <w:rFonts w:ascii="Arial" w:cs="Arial" w:eastAsia="Arial" w:hAnsi="Arial"/>
          <w:sz w:val="15"/>
          <w:szCs w:val="15"/>
          <w:color w:val="auto"/>
        </w:rPr>
        <w:t>®</w:t>
      </w:r>
      <w:r>
        <w:rPr>
          <w:rFonts w:ascii="Arial" w:cs="Arial" w:eastAsia="Arial" w:hAnsi="Arial"/>
          <w:sz w:val="18"/>
          <w:szCs w:val="18"/>
          <w:color w:val="auto"/>
        </w:rPr>
        <w:t>, John Laing</w:t>
      </w:r>
      <w:r>
        <w:rPr>
          <w:rFonts w:ascii="Arial" w:cs="Arial" w:eastAsia="Arial" w:hAnsi="Arial"/>
          <w:sz w:val="15"/>
          <w:szCs w:val="15"/>
          <w:color w:val="auto"/>
        </w:rPr>
        <w:t>®,</w:t>
      </w:r>
      <w:r>
        <w:rPr>
          <w:rFonts w:ascii="Arial" w:cs="Arial" w:eastAsia="Arial" w:hAnsi="Arial"/>
          <w:sz w:val="18"/>
          <w:szCs w:val="18"/>
          <w:color w:val="auto"/>
        </w:rPr>
        <w:t xml:space="preserve"> Remy, Psycho Bunny</w:t>
      </w:r>
      <w:r>
        <w:rPr>
          <w:rFonts w:ascii="Arial" w:cs="Arial" w:eastAsia="Arial" w:hAnsi="Arial"/>
          <w:sz w:val="15"/>
          <w:szCs w:val="15"/>
          <w:color w:val="auto"/>
        </w:rPr>
        <w:t>®</w:t>
      </w:r>
      <w:r>
        <w:rPr>
          <w:rFonts w:ascii="Arial" w:cs="Arial" w:eastAsia="Arial" w:hAnsi="Arial"/>
          <w:sz w:val="18"/>
          <w:szCs w:val="18"/>
          <w:color w:val="auto"/>
        </w:rPr>
        <w:t>, Derek Rose, Brioni</w:t>
      </w:r>
      <w:r>
        <w:rPr>
          <w:rFonts w:ascii="Arial" w:cs="Arial" w:eastAsia="Arial" w:hAnsi="Arial"/>
          <w:sz w:val="15"/>
          <w:szCs w:val="15"/>
          <w:color w:val="auto"/>
        </w:rPr>
        <w:t>®</w:t>
      </w:r>
      <w:r>
        <w:rPr>
          <w:rFonts w:ascii="Arial" w:cs="Arial" w:eastAsia="Arial" w:hAnsi="Arial"/>
          <w:sz w:val="18"/>
          <w:szCs w:val="18"/>
          <w:color w:val="auto"/>
        </w:rPr>
        <w:t>, Coppley, Eton</w:t>
      </w:r>
      <w:r>
        <w:rPr>
          <w:rFonts w:ascii="Arial" w:cs="Arial" w:eastAsia="Arial" w:hAnsi="Arial"/>
          <w:sz w:val="15"/>
          <w:szCs w:val="15"/>
          <w:color w:val="auto"/>
        </w:rPr>
        <w:t>®</w:t>
      </w:r>
      <w:r>
        <w:rPr>
          <w:rFonts w:ascii="Arial" w:cs="Arial" w:eastAsia="Arial" w:hAnsi="Arial"/>
          <w:sz w:val="18"/>
          <w:szCs w:val="18"/>
          <w:color w:val="auto"/>
        </w:rPr>
        <w:t>, Hickey Freeman</w:t>
      </w:r>
      <w:r>
        <w:rPr>
          <w:rFonts w:ascii="Arial" w:cs="Arial" w:eastAsia="Arial" w:hAnsi="Arial"/>
          <w:sz w:val="15"/>
          <w:szCs w:val="15"/>
          <w:color w:val="auto"/>
        </w:rPr>
        <w:t>®</w:t>
      </w:r>
      <w:r>
        <w:rPr>
          <w:rFonts w:ascii="Arial" w:cs="Arial" w:eastAsia="Arial" w:hAnsi="Arial"/>
          <w:sz w:val="18"/>
          <w:szCs w:val="18"/>
          <w:color w:val="auto"/>
        </w:rPr>
        <w:t>, Jack Victor</w:t>
      </w:r>
      <w:r>
        <w:rPr>
          <w:rFonts w:ascii="Arial" w:cs="Arial" w:eastAsia="Arial" w:hAnsi="Arial"/>
          <w:sz w:val="15"/>
          <w:szCs w:val="15"/>
          <w:color w:val="auto"/>
        </w:rPr>
        <w:t>®</w:t>
      </w:r>
      <w:r>
        <w:rPr>
          <w:rFonts w:ascii="Arial" w:cs="Arial" w:eastAsia="Arial" w:hAnsi="Arial"/>
          <w:sz w:val="18"/>
          <w:szCs w:val="18"/>
          <w:color w:val="auto"/>
        </w:rPr>
        <w:t>, Lucky, Michael Kors</w:t>
      </w:r>
      <w:r>
        <w:rPr>
          <w:rFonts w:ascii="Arial" w:cs="Arial" w:eastAsia="Arial" w:hAnsi="Arial"/>
          <w:sz w:val="15"/>
          <w:szCs w:val="15"/>
          <w:color w:val="auto"/>
        </w:rPr>
        <w:t>®</w:t>
      </w:r>
      <w:r>
        <w:rPr>
          <w:rFonts w:ascii="Arial" w:cs="Arial" w:eastAsia="Arial" w:hAnsi="Arial"/>
          <w:sz w:val="18"/>
          <w:szCs w:val="18"/>
          <w:color w:val="auto"/>
        </w:rPr>
        <w:t>, Pantherella</w:t>
      </w:r>
      <w:r>
        <w:rPr>
          <w:rFonts w:ascii="Arial" w:cs="Arial" w:eastAsia="Arial" w:hAnsi="Arial"/>
          <w:sz w:val="15"/>
          <w:szCs w:val="15"/>
          <w:color w:val="auto"/>
        </w:rPr>
        <w:t>®</w:t>
      </w:r>
      <w:r>
        <w:rPr>
          <w:rFonts w:ascii="Arial" w:cs="Arial" w:eastAsia="Arial" w:hAnsi="Arial"/>
          <w:sz w:val="18"/>
          <w:szCs w:val="18"/>
          <w:color w:val="auto"/>
        </w:rPr>
        <w:t>, Paul &amp; Shark, JOE’S</w:t>
      </w:r>
      <w:r>
        <w:rPr>
          <w:rFonts w:ascii="Arial" w:cs="Arial" w:eastAsia="Arial" w:hAnsi="Arial"/>
          <w:sz w:val="15"/>
          <w:szCs w:val="15"/>
          <w:color w:val="auto"/>
        </w:rPr>
        <w:t>®</w:t>
      </w:r>
      <w:r>
        <w:rPr>
          <w:rFonts w:ascii="Arial" w:cs="Arial" w:eastAsia="Arial" w:hAnsi="Arial"/>
          <w:sz w:val="18"/>
          <w:szCs w:val="18"/>
          <w:color w:val="auto"/>
        </w:rPr>
        <w:t xml:space="preserve"> Jeans, Robert Graham</w:t>
      </w:r>
      <w:r>
        <w:rPr>
          <w:rFonts w:ascii="Arial" w:cs="Arial" w:eastAsia="Arial" w:hAnsi="Arial"/>
          <w:sz w:val="15"/>
          <w:szCs w:val="15"/>
          <w:color w:val="auto"/>
        </w:rPr>
        <w:t>®</w:t>
      </w:r>
      <w:r>
        <w:rPr>
          <w:rFonts w:ascii="Arial" w:cs="Arial" w:eastAsia="Arial" w:hAnsi="Arial"/>
          <w:sz w:val="18"/>
          <w:szCs w:val="18"/>
          <w:color w:val="auto"/>
        </w:rPr>
        <w:t>, Robert Talbot, St. Hillaire, Ted Baker</w:t>
      </w:r>
      <w:r>
        <w:rPr>
          <w:rFonts w:ascii="Arial" w:cs="Arial" w:eastAsia="Arial" w:hAnsi="Arial"/>
          <w:sz w:val="15"/>
          <w:szCs w:val="15"/>
          <w:color w:val="auto"/>
        </w:rPr>
        <w:t>®</w:t>
      </w:r>
      <w:r>
        <w:rPr>
          <w:rFonts w:ascii="Arial" w:cs="Arial" w:eastAsia="Arial" w:hAnsi="Arial"/>
          <w:sz w:val="18"/>
          <w:szCs w:val="18"/>
          <w:color w:val="auto"/>
        </w:rPr>
        <w:t>, True Religion</w:t>
      </w:r>
      <w:r>
        <w:rPr>
          <w:rFonts w:ascii="Arial" w:cs="Arial" w:eastAsia="Arial" w:hAnsi="Arial"/>
          <w:sz w:val="15"/>
          <w:szCs w:val="15"/>
          <w:color w:val="auto"/>
        </w:rPr>
        <w:t>®</w:t>
      </w:r>
      <w:r>
        <w:rPr>
          <w:rFonts w:ascii="Arial" w:cs="Arial" w:eastAsia="Arial" w:hAnsi="Arial"/>
          <w:sz w:val="18"/>
          <w:szCs w:val="18"/>
          <w:color w:val="auto"/>
        </w:rPr>
        <w:t>, Turnbull &amp; Asser</w:t>
      </w:r>
      <w:r>
        <w:rPr>
          <w:rFonts w:ascii="Arial" w:cs="Arial" w:eastAsia="Arial" w:hAnsi="Arial"/>
          <w:sz w:val="15"/>
          <w:szCs w:val="15"/>
          <w:color w:val="auto"/>
        </w:rPr>
        <w:t>®</w:t>
      </w:r>
      <w:r>
        <w:rPr>
          <w:rFonts w:ascii="Arial" w:cs="Arial" w:eastAsia="Arial" w:hAnsi="Arial"/>
          <w:sz w:val="18"/>
          <w:szCs w:val="18"/>
          <w:color w:val="auto"/>
        </w:rPr>
        <w:t>, Robert Barakett</w:t>
      </w:r>
      <w:r>
        <w:rPr>
          <w:rFonts w:ascii="Arial" w:cs="Arial" w:eastAsia="Arial" w:hAnsi="Arial"/>
          <w:sz w:val="15"/>
          <w:szCs w:val="15"/>
          <w:color w:val="auto"/>
        </w:rPr>
        <w:t>®</w:t>
      </w:r>
      <w:r>
        <w:rPr>
          <w:rFonts w:ascii="Arial" w:cs="Arial" w:eastAsia="Arial" w:hAnsi="Arial"/>
          <w:sz w:val="18"/>
          <w:szCs w:val="18"/>
          <w:color w:val="auto"/>
        </w:rPr>
        <w:t>, MVP</w:t>
      </w:r>
      <w:r>
        <w:rPr>
          <w:rFonts w:ascii="Arial" w:cs="Arial" w:eastAsia="Arial" w:hAnsi="Arial"/>
          <w:sz w:val="15"/>
          <w:szCs w:val="15"/>
          <w:color w:val="auto"/>
        </w:rPr>
        <w:t>®</w:t>
      </w:r>
      <w:r>
        <w:rPr>
          <w:rFonts w:ascii="Arial" w:cs="Arial" w:eastAsia="Arial" w:hAnsi="Arial"/>
          <w:sz w:val="18"/>
          <w:szCs w:val="18"/>
          <w:color w:val="auto"/>
        </w:rPr>
        <w:t>, and David Donahue</w:t>
      </w:r>
      <w:r>
        <w:rPr>
          <w:rFonts w:ascii="Arial" w:cs="Arial" w:eastAsia="Arial" w:hAnsi="Arial"/>
          <w:sz w:val="15"/>
          <w:szCs w:val="15"/>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ind w:left="260"/>
        <w:spacing w:after="0"/>
        <w:rPr>
          <w:sz w:val="20"/>
          <w:szCs w:val="20"/>
          <w:color w:val="auto"/>
        </w:rPr>
      </w:pPr>
      <w:r>
        <w:rPr>
          <w:rFonts w:ascii="Arial" w:cs="Arial" w:eastAsia="Arial" w:hAnsi="Arial"/>
          <w:sz w:val="18"/>
          <w:szCs w:val="18"/>
          <w:b w:val="1"/>
          <w:bCs w:val="1"/>
          <w:i w:val="1"/>
          <w:iCs w:val="1"/>
          <w:color w:val="auto"/>
        </w:rPr>
        <w:t>Moderate-Priced Apparel -“Better” Merchandise</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offer our customer an extensive selection of quality sportswear and dress clothing at moderate prices carrying such well-known brands such as: Buffalo Jeans</w:t>
      </w:r>
      <w:r>
        <w:rPr>
          <w:rFonts w:ascii="Arial" w:cs="Arial" w:eastAsia="Arial" w:hAnsi="Arial"/>
          <w:sz w:val="14"/>
          <w:szCs w:val="14"/>
          <w:color w:val="auto"/>
        </w:rPr>
        <w:t>®</w:t>
      </w:r>
      <w:r>
        <w:rPr>
          <w:rFonts w:ascii="Arial" w:cs="Arial" w:eastAsia="Arial" w:hAnsi="Arial"/>
          <w:sz w:val="17"/>
          <w:szCs w:val="17"/>
          <w:color w:val="auto"/>
        </w:rPr>
        <w:t>, Rainforest, Brooks Brothers</w:t>
      </w:r>
      <w:r>
        <w:rPr>
          <w:rFonts w:ascii="Arial" w:cs="Arial" w:eastAsia="Arial" w:hAnsi="Arial"/>
          <w:sz w:val="14"/>
          <w:szCs w:val="14"/>
          <w:color w:val="auto"/>
        </w:rPr>
        <w:t>®</w:t>
      </w:r>
      <w:r>
        <w:rPr>
          <w:rFonts w:ascii="Arial" w:cs="Arial" w:eastAsia="Arial" w:hAnsi="Arial"/>
          <w:sz w:val="17"/>
          <w:szCs w:val="17"/>
          <w:color w:val="auto"/>
        </w:rPr>
        <w:t>, O’Neill</w:t>
      </w:r>
      <w:r>
        <w:rPr>
          <w:rFonts w:ascii="Arial" w:cs="Arial" w:eastAsia="Arial" w:hAnsi="Arial"/>
          <w:sz w:val="14"/>
          <w:szCs w:val="14"/>
          <w:color w:val="auto"/>
        </w:rPr>
        <w:t>®</w:t>
      </w:r>
      <w:r>
        <w:rPr>
          <w:rFonts w:ascii="Arial" w:cs="Arial" w:eastAsia="Arial" w:hAnsi="Arial"/>
          <w:sz w:val="17"/>
          <w:szCs w:val="17"/>
          <w:color w:val="auto"/>
        </w:rPr>
        <w:t>, Retro Brand, Cutter &amp; Buck</w:t>
      </w:r>
      <w:r>
        <w:rPr>
          <w:rFonts w:ascii="Arial" w:cs="Arial" w:eastAsia="Arial" w:hAnsi="Arial"/>
          <w:sz w:val="14"/>
          <w:szCs w:val="14"/>
          <w:color w:val="auto"/>
        </w:rPr>
        <w:t>®</w:t>
      </w:r>
      <w:r>
        <w:rPr>
          <w:rFonts w:ascii="Arial" w:cs="Arial" w:eastAsia="Arial" w:hAnsi="Arial"/>
          <w:sz w:val="17"/>
          <w:szCs w:val="17"/>
          <w:color w:val="auto"/>
        </w:rPr>
        <w:t>, Levis</w:t>
      </w:r>
      <w:r>
        <w:rPr>
          <w:rFonts w:ascii="Arial" w:cs="Arial" w:eastAsia="Arial" w:hAnsi="Arial"/>
          <w:sz w:val="14"/>
          <w:szCs w:val="14"/>
          <w:color w:val="auto"/>
        </w:rPr>
        <w:t>®</w:t>
      </w:r>
      <w:r>
        <w:rPr>
          <w:rFonts w:ascii="Arial" w:cs="Arial" w:eastAsia="Arial" w:hAnsi="Arial"/>
          <w:sz w:val="17"/>
          <w:szCs w:val="17"/>
          <w:color w:val="auto"/>
        </w:rPr>
        <w:t>, Adidas</w:t>
      </w:r>
      <w:r>
        <w:rPr>
          <w:rFonts w:ascii="Arial" w:cs="Arial" w:eastAsia="Arial" w:hAnsi="Arial"/>
          <w:sz w:val="14"/>
          <w:szCs w:val="14"/>
          <w:color w:val="auto"/>
        </w:rPr>
        <w:t>®</w:t>
      </w:r>
      <w:r>
        <w:rPr>
          <w:rFonts w:ascii="Arial" w:cs="Arial" w:eastAsia="Arial" w:hAnsi="Arial"/>
          <w:sz w:val="17"/>
          <w:szCs w:val="17"/>
          <w:color w:val="auto"/>
        </w:rPr>
        <w:t xml:space="preserve"> Golf, Columbia, Berne</w:t>
      </w:r>
      <w:r>
        <w:rPr>
          <w:rFonts w:ascii="Arial" w:cs="Arial" w:eastAsia="Arial" w:hAnsi="Arial"/>
          <w:sz w:val="14"/>
          <w:szCs w:val="14"/>
          <w:color w:val="auto"/>
        </w:rPr>
        <w:t>®</w:t>
      </w:r>
      <w:r>
        <w:rPr>
          <w:rFonts w:ascii="Arial" w:cs="Arial" w:eastAsia="Arial" w:hAnsi="Arial"/>
          <w:sz w:val="17"/>
          <w:szCs w:val="17"/>
          <w:color w:val="auto"/>
        </w:rPr>
        <w:t>, Carhartt</w:t>
      </w:r>
      <w:r>
        <w:rPr>
          <w:rFonts w:ascii="Arial" w:cs="Arial" w:eastAsia="Arial" w:hAnsi="Arial"/>
          <w:sz w:val="14"/>
          <w:szCs w:val="14"/>
          <w:color w:val="auto"/>
        </w:rPr>
        <w:t>®</w:t>
      </w:r>
      <w:r>
        <w:rPr>
          <w:rFonts w:ascii="Arial" w:cs="Arial" w:eastAsia="Arial" w:hAnsi="Arial"/>
          <w:sz w:val="17"/>
          <w:szCs w:val="17"/>
          <w:color w:val="auto"/>
        </w:rPr>
        <w:t>, Callaway</w:t>
      </w:r>
      <w:r>
        <w:rPr>
          <w:rFonts w:ascii="Arial" w:cs="Arial" w:eastAsia="Arial" w:hAnsi="Arial"/>
          <w:sz w:val="14"/>
          <w:szCs w:val="14"/>
          <w:color w:val="auto"/>
        </w:rPr>
        <w:t>®</w:t>
      </w:r>
      <w:r>
        <w:rPr>
          <w:rFonts w:ascii="Arial" w:cs="Arial" w:eastAsia="Arial" w:hAnsi="Arial"/>
          <w:sz w:val="17"/>
          <w:szCs w:val="17"/>
          <w:color w:val="auto"/>
        </w:rPr>
        <w:t>, CK Jeans</w:t>
      </w:r>
      <w:r>
        <w:rPr>
          <w:rFonts w:ascii="Arial" w:cs="Arial" w:eastAsia="Arial" w:hAnsi="Arial"/>
          <w:sz w:val="14"/>
          <w:szCs w:val="14"/>
          <w:color w:val="auto"/>
        </w:rPr>
        <w:t>®</w:t>
      </w:r>
      <w:r>
        <w:rPr>
          <w:rFonts w:ascii="Arial" w:cs="Arial" w:eastAsia="Arial" w:hAnsi="Arial"/>
          <w:sz w:val="17"/>
          <w:szCs w:val="17"/>
          <w:color w:val="auto"/>
        </w:rPr>
        <w:t>, CK Sport</w:t>
      </w:r>
      <w:r>
        <w:rPr>
          <w:rFonts w:ascii="Arial" w:cs="Arial" w:eastAsia="Arial" w:hAnsi="Arial"/>
          <w:sz w:val="14"/>
          <w:szCs w:val="14"/>
          <w:color w:val="auto"/>
        </w:rPr>
        <w:t>®</w:t>
      </w:r>
      <w:r>
        <w:rPr>
          <w:rFonts w:ascii="Arial" w:cs="Arial" w:eastAsia="Arial" w:hAnsi="Arial"/>
          <w:sz w:val="17"/>
          <w:szCs w:val="17"/>
          <w:color w:val="auto"/>
        </w:rPr>
        <w:t>, Jockey</w:t>
      </w:r>
      <w:r>
        <w:rPr>
          <w:rFonts w:ascii="Arial" w:cs="Arial" w:eastAsia="Arial" w:hAnsi="Arial"/>
          <w:sz w:val="14"/>
          <w:szCs w:val="14"/>
          <w:color w:val="auto"/>
        </w:rPr>
        <w:t>®</w:t>
      </w:r>
      <w:r>
        <w:rPr>
          <w:rFonts w:ascii="Arial" w:cs="Arial" w:eastAsia="Arial" w:hAnsi="Arial"/>
          <w:sz w:val="17"/>
          <w:szCs w:val="17"/>
          <w:color w:val="auto"/>
        </w:rPr>
        <w:t>, Lacoste</w:t>
      </w:r>
      <w:r>
        <w:rPr>
          <w:rFonts w:ascii="Arial" w:cs="Arial" w:eastAsia="Arial" w:hAnsi="Arial"/>
          <w:sz w:val="14"/>
          <w:szCs w:val="14"/>
          <w:color w:val="auto"/>
        </w:rPr>
        <w:t>®</w:t>
      </w:r>
      <w:r>
        <w:rPr>
          <w:rFonts w:ascii="Arial" w:cs="Arial" w:eastAsia="Arial" w:hAnsi="Arial"/>
          <w:sz w:val="17"/>
          <w:szCs w:val="17"/>
          <w:color w:val="auto"/>
        </w:rPr>
        <w:t>, Majestic, Polo Ralph Lauren</w:t>
      </w:r>
      <w:r>
        <w:rPr>
          <w:rFonts w:ascii="Arial" w:cs="Arial" w:eastAsia="Arial" w:hAnsi="Arial"/>
          <w:sz w:val="14"/>
          <w:szCs w:val="14"/>
          <w:color w:val="auto"/>
        </w:rPr>
        <w:t>®</w:t>
      </w:r>
      <w:r>
        <w:rPr>
          <w:rFonts w:ascii="Arial" w:cs="Arial" w:eastAsia="Arial" w:hAnsi="Arial"/>
          <w:sz w:val="17"/>
          <w:szCs w:val="17"/>
          <w:color w:val="auto"/>
        </w:rPr>
        <w:t>, Tommy Bahama</w:t>
      </w:r>
      <w:r>
        <w:rPr>
          <w:rFonts w:ascii="Arial" w:cs="Arial" w:eastAsia="Arial" w:hAnsi="Arial"/>
          <w:sz w:val="14"/>
          <w:szCs w:val="14"/>
          <w:color w:val="auto"/>
        </w:rPr>
        <w:t>®</w:t>
      </w:r>
      <w:r>
        <w:rPr>
          <w:rFonts w:ascii="Arial" w:cs="Arial" w:eastAsia="Arial" w:hAnsi="Arial"/>
          <w:sz w:val="17"/>
          <w:szCs w:val="17"/>
          <w:color w:val="auto"/>
        </w:rPr>
        <w:t>, Tommy Hilfiger</w:t>
      </w:r>
      <w:r>
        <w:rPr>
          <w:rFonts w:ascii="Arial" w:cs="Arial" w:eastAsia="Arial" w:hAnsi="Arial"/>
          <w:sz w:val="14"/>
          <w:szCs w:val="14"/>
          <w:color w:val="auto"/>
        </w:rPr>
        <w:t>®</w:t>
      </w:r>
      <w:r>
        <w:rPr>
          <w:rFonts w:ascii="Arial" w:cs="Arial" w:eastAsia="Arial" w:hAnsi="Arial"/>
          <w:sz w:val="17"/>
          <w:szCs w:val="17"/>
          <w:color w:val="auto"/>
        </w:rPr>
        <w:t>, and Tallia</w:t>
      </w:r>
      <w:r>
        <w:rPr>
          <w:rFonts w:ascii="Arial" w:cs="Arial" w:eastAsia="Arial" w:hAnsi="Arial"/>
          <w:sz w:val="14"/>
          <w:szCs w:val="14"/>
          <w:color w:val="auto"/>
        </w:rPr>
        <w:t>®</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carry several moderate-priced private-label lines:</w:t>
      </w:r>
    </w:p>
    <w:p>
      <w:pPr>
        <w:spacing w:after="0" w:line="117" w:lineRule="exact"/>
        <w:rPr>
          <w:sz w:val="20"/>
          <w:szCs w:val="20"/>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Twenty Eight Degrees™ </w:t>
      </w:r>
      <w:r>
        <w:rPr>
          <w:rFonts w:ascii="Arial" w:cs="Arial" w:eastAsia="Arial" w:hAnsi="Arial"/>
          <w:sz w:val="18"/>
          <w:szCs w:val="18"/>
          <w:color w:val="auto"/>
        </w:rPr>
        <w:t>is targeted as a contemporary/modern line offering sportswear and loungewear.</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Society of One </w:t>
      </w:r>
      <w:r>
        <w:rPr>
          <w:rFonts w:ascii="Arial" w:cs="Arial" w:eastAsia="Arial" w:hAnsi="Arial"/>
          <w:sz w:val="18"/>
          <w:szCs w:val="18"/>
          <w:color w:val="auto"/>
        </w:rPr>
        <w:t>is a jeanswear brand catering to the needs of the fashion denim customer.</w:t>
      </w:r>
    </w:p>
    <w:p>
      <w:pPr>
        <w:spacing w:after="0" w:line="117" w:lineRule="exact"/>
        <w:rPr>
          <w:rFonts w:ascii="Arial" w:cs="Arial" w:eastAsia="Arial" w:hAnsi="Arial"/>
          <w:sz w:val="18"/>
          <w:szCs w:val="18"/>
          <w:color w:val="auto"/>
        </w:rPr>
      </w:pPr>
    </w:p>
    <w:p>
      <w:pPr>
        <w:ind w:left="780" w:right="520" w:hanging="259"/>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Rochester </w:t>
      </w:r>
      <w:r>
        <w:rPr>
          <w:rFonts w:ascii="Arial" w:cs="Arial" w:eastAsia="Arial" w:hAnsi="Arial"/>
          <w:sz w:val="18"/>
          <w:szCs w:val="18"/>
          <w:color w:val="auto"/>
        </w:rPr>
        <w:t>is a line that targets traditional luxury styles. We also offer a complete selection of sportcoats, dress shirts and neckwear under our</w:t>
      </w:r>
      <w:r>
        <w:rPr>
          <w:rFonts w:ascii="Arial" w:cs="Arial" w:eastAsia="Arial" w:hAnsi="Arial"/>
          <w:sz w:val="18"/>
          <w:szCs w:val="18"/>
          <w:i w:val="1"/>
          <w:iCs w:val="1"/>
          <w:color w:val="auto"/>
        </w:rPr>
        <w:t xml:space="preserve"> Rochester Black Label </w:t>
      </w:r>
      <w:r>
        <w:rPr>
          <w:rFonts w:ascii="Arial" w:cs="Arial" w:eastAsia="Arial" w:hAnsi="Arial"/>
          <w:sz w:val="18"/>
          <w:szCs w:val="18"/>
          <w:color w:val="auto"/>
        </w:rPr>
        <w:t>private label.</w:t>
      </w:r>
    </w:p>
    <w:p>
      <w:pPr>
        <w:spacing w:after="0" w:line="62" w:lineRule="exact"/>
        <w:rPr>
          <w:rFonts w:ascii="Arial" w:cs="Arial" w:eastAsia="Arial" w:hAnsi="Arial"/>
          <w:sz w:val="18"/>
          <w:szCs w:val="18"/>
          <w:color w:val="auto"/>
        </w:rPr>
      </w:pPr>
    </w:p>
    <w:p>
      <w:pPr>
        <w:ind w:left="780" w:right="180" w:hanging="259"/>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What’s On Tap </w:t>
      </w:r>
      <w:r>
        <w:rPr>
          <w:rFonts w:ascii="Arial" w:cs="Arial" w:eastAsia="Arial" w:hAnsi="Arial"/>
          <w:sz w:val="18"/>
          <w:szCs w:val="18"/>
          <w:color w:val="auto"/>
        </w:rPr>
        <w:t>is a fashion brand offering customers the newest fashion trends with speed to market execution. The line offers our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wear the newest fashion trend before other big and tall retailers offer similar fashions.</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Value-Priced Apparel -“Good” Merchandise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our value-oriented customers, we carry Geoffrey Beene</w:t>
      </w:r>
      <w:r>
        <w:rPr>
          <w:rFonts w:ascii="Arial" w:cs="Arial" w:eastAsia="Arial" w:hAnsi="Arial"/>
          <w:sz w:val="15"/>
          <w:szCs w:val="15"/>
          <w:color w:val="auto"/>
        </w:rPr>
        <w:t>®</w:t>
      </w:r>
      <w:r>
        <w:rPr>
          <w:rFonts w:ascii="Arial" w:cs="Arial" w:eastAsia="Arial" w:hAnsi="Arial"/>
          <w:sz w:val="18"/>
          <w:szCs w:val="18"/>
          <w:color w:val="auto"/>
        </w:rPr>
        <w:t>, Cubavera, Nautica</w:t>
      </w:r>
      <w:r>
        <w:rPr>
          <w:rFonts w:ascii="Arial" w:cs="Arial" w:eastAsia="Arial" w:hAnsi="Arial"/>
          <w:sz w:val="15"/>
          <w:szCs w:val="15"/>
          <w:color w:val="auto"/>
        </w:rPr>
        <w:t>®</w:t>
      </w:r>
      <w:r>
        <w:rPr>
          <w:rFonts w:ascii="Arial" w:cs="Arial" w:eastAsia="Arial" w:hAnsi="Arial"/>
          <w:sz w:val="18"/>
          <w:szCs w:val="18"/>
          <w:color w:val="auto"/>
        </w:rPr>
        <w:t xml:space="preserve"> and Nautica Jeans</w:t>
      </w:r>
      <w:r>
        <w:rPr>
          <w:rFonts w:ascii="Arial" w:cs="Arial" w:eastAsia="Arial" w:hAnsi="Arial"/>
          <w:sz w:val="15"/>
          <w:szCs w:val="15"/>
          <w:color w:val="auto"/>
        </w:rPr>
        <w:t>®</w:t>
      </w:r>
      <w:r>
        <w:rPr>
          <w:rFonts w:ascii="Arial" w:cs="Arial" w:eastAsia="Arial" w:hAnsi="Arial"/>
          <w:sz w:val="18"/>
          <w:szCs w:val="18"/>
          <w:color w:val="auto"/>
        </w:rPr>
        <w:t>, Dockers, Lee, Perry Ellis, Wrangler, Reebok and PX Clothing. In addition we carry several value-priced private label lines:</w:t>
      </w:r>
    </w:p>
    <w:p>
      <w:pPr>
        <w:spacing w:after="0" w:line="62" w:lineRule="exact"/>
        <w:rPr>
          <w:sz w:val="20"/>
          <w:szCs w:val="20"/>
          <w:color w:val="auto"/>
        </w:rPr>
      </w:pPr>
    </w:p>
    <w:p>
      <w:pPr>
        <w:ind w:left="780" w:right="80" w:hanging="259"/>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Harbor Bay</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first proprietary brand and it is a traditional line that continues to represent a significant portion of our business,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in terms of our core basic merchandise.</w:t>
      </w:r>
    </w:p>
    <w:p>
      <w:pPr>
        <w:spacing w:after="0" w:line="62" w:lineRule="exact"/>
        <w:rPr>
          <w:rFonts w:ascii="Arial" w:cs="Arial" w:eastAsia="Arial" w:hAnsi="Arial"/>
          <w:sz w:val="18"/>
          <w:szCs w:val="18"/>
          <w:color w:val="auto"/>
        </w:rPr>
      </w:pPr>
    </w:p>
    <w:p>
      <w:pPr>
        <w:ind w:left="780" w:right="280" w:hanging="259"/>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Gold Series™ </w:t>
      </w:r>
      <w:r>
        <w:rPr>
          <w:rFonts w:ascii="Arial" w:cs="Arial" w:eastAsia="Arial" w:hAnsi="Arial"/>
          <w:sz w:val="18"/>
          <w:szCs w:val="18"/>
          <w:color w:val="auto"/>
        </w:rPr>
        <w:t>is our core performance offering of tailored-related separates, blazers, dress slacks, dress shirts and neckwear that blends comfort</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such as stretch, stain resistance and wrinkle-free fabrics with basic wardrobe essentials.</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Synrgy™ </w:t>
      </w:r>
      <w:r>
        <w:rPr>
          <w:rFonts w:ascii="Arial" w:cs="Arial" w:eastAsia="Arial" w:hAnsi="Arial"/>
          <w:sz w:val="18"/>
          <w:szCs w:val="18"/>
          <w:color w:val="auto"/>
        </w:rPr>
        <w:t>targets the customer looking for a contemporary/modern look.</w:t>
      </w:r>
    </w:p>
    <w:p>
      <w:pPr>
        <w:spacing w:after="0" w:line="117" w:lineRule="exact"/>
        <w:rPr>
          <w:rFonts w:ascii="Arial" w:cs="Arial" w:eastAsia="Arial" w:hAnsi="Arial"/>
          <w:sz w:val="18"/>
          <w:szCs w:val="18"/>
          <w:color w:val="auto"/>
        </w:rPr>
      </w:pPr>
    </w:p>
    <w:p>
      <w:pPr>
        <w:ind w:left="780" w:right="40" w:hanging="259"/>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Oak Hill</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premier line catering to those customers looking for slightly more style and quality than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line but still in a 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lifestyle.</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True Nation</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denim-inspired line consisting of vintage-screen t-shirts and wovens and is geared towards our younger customers.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Island Passport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an island-inspired line of camp shirts, printed woven shirts and relaxed island-inspired pants.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RETAIL CHANNEL</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Destination XL Stores (“DXL”)</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DXL store concept brings all of our brands together in one format. Within this format, we cater to our diverse customer base, with merchandise representing all price points, from our luxury brands to value-oriented brands, and all lifestyles, from business to denim. The size of our current DXL stores, which contain almost triple the product assortments of a Casual Male XL store, averages 7,800 square feet. Since fiscal 2014, we have been opening smaller (5,000-6,500 square feet) DXL stores. Because the size of these stores is smaller, they carry a smaller product offering than our other DXL stores but are representative of the “good, better, best” merchandise variety. We seek to locate our DXL stores in places that are highly visible, preferably adjacent to regional malls or other high-traffic shopping areas.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DXL stores provide our customers a spacious store with up to three times the product offering of a Casual Male XL store. The merchandise in our DXL stores is organized by lifestyle: active, traditional, modern and denim with a representation of all of our brands and price points, utilizing a “good, better, best” pricing structure. Depending on the customers in each respective market, we can adjust the appropriate mix of merchandise, with varying selections from each of our price points, to cater to each demographic market. This larger store format also provides us the footprint necessary to carry a complete offering of dress wear, including tailored and “made-to-measure” custom clothing, as well as a selection of shoes in extended sizes and a broad assortment of accessories such as belts, ties, and socks.</w:t>
      </w:r>
    </w:p>
    <w:p>
      <w:pPr>
        <w:spacing w:after="0" w:line="19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During fiscal 2017, we opened 20 DXL retail stores and 1 DXL outlet store, bringing our store count at February 3, 2018 to 212 DXL retail stores and 14 DXL outlet stores. This includes two DXL retail stores which opened in Toronto, Canada during the first quarter of fiscal 2017. For fiscal 2018, we plan to open two DXL retail stores and one DXL outlet store, and to remodel two Casual Male XL retail stores to DXL retail stores.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 w:name="page7"/>
    <w:bookmarkEnd w:id="6"/>
    <w:p>
      <w:pPr>
        <w:ind w:left="260"/>
        <w:spacing w:after="0"/>
        <w:rPr>
          <w:sz w:val="20"/>
          <w:szCs w:val="20"/>
          <w:color w:val="auto"/>
        </w:rPr>
      </w:pPr>
      <w:r>
        <w:rPr>
          <w:rFonts w:ascii="Arial" w:cs="Arial" w:eastAsia="Arial" w:hAnsi="Arial"/>
          <w:sz w:val="18"/>
          <w:szCs w:val="18"/>
          <w:b w:val="1"/>
          <w:bCs w:val="1"/>
          <w:i w:val="1"/>
          <w:iCs w:val="1"/>
          <w:u w:val="single" w:color="auto"/>
          <w:color w:val="auto"/>
        </w:rPr>
        <w:t>Casual Male XL Retail Stores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February 3, 2018, we operated 78 Casual Male XL full-price retail stores, located primarily in strip centers or stand-alone locations. The majority of the merchandise carried in our Casual Male XL stores is moderate-priced basic or fashion-neutral items, such as jeans, casual slacks, t-shirts, polo shirts, dress shirts and suit separates. These stores also carry a full complement of our “better” private label collections. The average Casual Male XL retail store is approximately 3,400 square feet.</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DXL Outlet /Casual Male XL Outlet Stores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February 3, 2018, we operated 33 Casual Male XL and 14 DXL outlet stores designed to offer a wide range of casual clothing for the big &amp; tall customer at prices that are generally 20-25% lower than our moderate-priced merchandise. Much of the merchandise in our outlet stores is offered with the purchasing interests of the value-oriented customer in mind. In addition to private-label and branded merchandise at our “good” price tier, our outlets also carry clearance product obtained from DXL, Casual Male XL and Rochester Clothing stores, offering the outlet customer the ability to purchase branded and fashion product for a reduced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average Casual Male XL outlet store is approximately 3,100 square feet and the average DXL outlet is approximately 5,100 square feet.</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Rochester Clothing Stores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February 3, 2018, we operated 5 Rochester Clothing stores, located in major cities in the United States and one store in London, England. The Rochester Clothing stores have a wide selection of our “best” merchandise which consists primarily of high-end merchandise from well-recognized brands. In addition, these stores also carry a few private-label lines that are specifically designed for our high-end customer. The average Rochester Clothing store is approximately 10,000 square feet.</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International</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our Rochester Clothing store located in London, England, we also have one franchised DXL store in the Middle East at the Symphony Mall in Kuwait City, Kuwait, which was opened in fiscal 2014 pursuant to a franchise agreement with The Standard Arabian Business &amp; Enterprises Company (SABECO).</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the spring of fiscal 2017, we opened two DXL stores in Toronto, Canada. These are the first DXL brand stores operated by the Company outside of the United States. We believe that Canada provides a strategic growth opportunity for our DXL brand. We believe that the international big &amp; tall men’s apparel market is currently underserved and we will continue to consider and evaluate opportunities for international growth in the future.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DIRECT CHANNEL</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direct business, which consists primarily of our e-commerce business, is a vital part of our growing omni-channel business approach, allowing us to service our customers whether it is in-person at a store, over the telephone, or online via a computer, smartphone or tablet. Our direct business enables the omni-channel approach by encouraging and expecting our store associates to use our e-commerce sites to help fulfill our customers’ clothing needs. If a wider selection of a lifestyle, color or size of an item is not available in our store, then our store associates can order the item for our customer through our direct channel and have it shipped to the store or directly to the customer. Our customers also have the ability to order online and pick-up in store on the same day.</w:t>
      </w:r>
    </w:p>
    <w:p>
      <w:pPr>
        <w:spacing w:after="0" w:line="15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With the ability to showcase all of our store inventories online, we are seeing an increase in the number of transactions that are initiated online but are ultimately completed in store. In addition, our stores are able to fulfill an order for an item that is out-of-stock in our warehouse. This capability has not only resulted in incremental sales, but it has also helped us reduce clearance merchandise at the store level and manage margins.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Destination XL</w:t>
      </w:r>
      <w:r>
        <w:rPr>
          <w:rFonts w:ascii="Arial" w:cs="Arial" w:eastAsia="Arial" w:hAnsi="Arial"/>
          <w:sz w:val="15"/>
          <w:szCs w:val="15"/>
          <w:b w:val="1"/>
          <w:bCs w:val="1"/>
          <w:i w:val="1"/>
          <w:iCs w:val="1"/>
          <w:u w:val="single" w:color="auto"/>
          <w:color w:val="auto"/>
        </w:rPr>
        <w:t>®</w:t>
      </w:r>
      <w:r>
        <w:rPr>
          <w:rFonts w:ascii="Arial" w:cs="Arial" w:eastAsia="Arial" w:hAnsi="Arial"/>
          <w:sz w:val="18"/>
          <w:szCs w:val="18"/>
          <w:b w:val="1"/>
          <w:bCs w:val="1"/>
          <w:i w:val="1"/>
          <w:iCs w:val="1"/>
          <w:color w:val="auto"/>
        </w:rPr>
        <w:t xml:space="preserve"> E-Commerce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-10160</wp:posOffset>
            </wp:positionV>
            <wp:extent cx="8572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9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In fiscal 2013, we combined all of our then-existing web addresses and redirected our customers to the Destination XL website, keeping the individual landing pages for the respective sites. As part of our initiative to streamline and simplify the shopping experience for our customers, in the third quarter of fiscal 2017 we launched a redesign of our website, which included folding the individual landing pages into a single </w:t>
      </w:r>
      <w:r>
        <w:rPr>
          <w:rFonts w:ascii="Arial" w:cs="Arial" w:eastAsia="Arial" w:hAnsi="Arial"/>
          <w:sz w:val="18"/>
          <w:szCs w:val="18"/>
          <w:u w:val="single" w:color="auto"/>
          <w:color w:val="auto"/>
        </w:rPr>
        <w:t>www.destinationxl.com</w:t>
      </w:r>
      <w:r>
        <w:rPr>
          <w:rFonts w:ascii="Arial" w:cs="Arial" w:eastAsia="Arial" w:hAnsi="Arial"/>
          <w:sz w:val="18"/>
          <w:szCs w:val="18"/>
          <w:color w:val="auto"/>
        </w:rPr>
        <w:t xml:space="preserve"> landing page. Our redesigned website offers our customers a unique online experience, incorporating the visual merchandising and customer service expertise from our brick and mortar stores. Similar to our DXL store concept, our www.destinationxl.com website allows our customers to conveniently shop across all of our brands and product extensions.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7" w:name="page8"/>
    <w:bookmarkEnd w:id="7"/>
    <w:p>
      <w:pPr>
        <w:ind w:right="20"/>
        <w:spacing w:after="0" w:line="273" w:lineRule="auto"/>
        <w:rPr>
          <w:sz w:val="20"/>
          <w:szCs w:val="20"/>
          <w:color w:val="auto"/>
        </w:rPr>
      </w:pPr>
      <w:r>
        <w:rPr>
          <w:rFonts w:ascii="Arial" w:cs="Arial" w:eastAsia="Arial" w:hAnsi="Arial"/>
          <w:sz w:val="17"/>
          <w:szCs w:val="17"/>
          <w:color w:val="auto"/>
        </w:rPr>
        <w:t>Customers can search across all of our brands and, similar to our stores, shop merchandise from value-oriented to luxury price points. In addition, a customer can tailor their search using our “size profile.” Our Destination XL website also offers a complete line of men’s footwear in extended sizes, offering our customers a full range of footwear in hard-to-find sizes. Although our DXL stores all have a selection of footwear available, we are able to offer a full assortment of sizes and styles through our website. The assortment is a reflection of our apparel, with a broad selection from moderate to luxury and from casual to formal. We currently have a selection of more than 600 styles of shoes, ranging in sizes from 10W to 18W. We carry a number of designer brands including Cole Haan</w:t>
      </w:r>
      <w:r>
        <w:rPr>
          <w:rFonts w:ascii="Arial" w:cs="Arial" w:eastAsia="Arial" w:hAnsi="Arial"/>
          <w:sz w:val="14"/>
          <w:szCs w:val="14"/>
          <w:color w:val="auto"/>
        </w:rPr>
        <w:t>®</w:t>
      </w:r>
      <w:r>
        <w:rPr>
          <w:rFonts w:ascii="Arial" w:cs="Arial" w:eastAsia="Arial" w:hAnsi="Arial"/>
          <w:sz w:val="17"/>
          <w:szCs w:val="17"/>
          <w:color w:val="auto"/>
        </w:rPr>
        <w:t>, Allen Edmonds</w:t>
      </w:r>
      <w:r>
        <w:rPr>
          <w:rFonts w:ascii="Arial" w:cs="Arial" w:eastAsia="Arial" w:hAnsi="Arial"/>
          <w:sz w:val="14"/>
          <w:szCs w:val="14"/>
          <w:color w:val="auto"/>
        </w:rPr>
        <w:t>®</w:t>
      </w:r>
      <w:r>
        <w:rPr>
          <w:rFonts w:ascii="Arial" w:cs="Arial" w:eastAsia="Arial" w:hAnsi="Arial"/>
          <w:sz w:val="17"/>
          <w:szCs w:val="17"/>
          <w:color w:val="auto"/>
        </w:rPr>
        <w:t>, Timberland</w:t>
      </w:r>
      <w:r>
        <w:rPr>
          <w:rFonts w:ascii="Arial" w:cs="Arial" w:eastAsia="Arial" w:hAnsi="Arial"/>
          <w:sz w:val="14"/>
          <w:szCs w:val="14"/>
          <w:color w:val="auto"/>
        </w:rPr>
        <w:t>®</w:t>
      </w:r>
      <w:r>
        <w:rPr>
          <w:rFonts w:ascii="Arial" w:cs="Arial" w:eastAsia="Arial" w:hAnsi="Arial"/>
          <w:sz w:val="17"/>
          <w:szCs w:val="17"/>
          <w:color w:val="auto"/>
        </w:rPr>
        <w:t>, Calvin Klein</w:t>
      </w:r>
      <w:r>
        <w:rPr>
          <w:rFonts w:ascii="Arial" w:cs="Arial" w:eastAsia="Arial" w:hAnsi="Arial"/>
          <w:sz w:val="14"/>
          <w:szCs w:val="14"/>
          <w:color w:val="auto"/>
        </w:rPr>
        <w:t>®</w:t>
      </w:r>
      <w:r>
        <w:rPr>
          <w:rFonts w:ascii="Arial" w:cs="Arial" w:eastAsia="Arial" w:hAnsi="Arial"/>
          <w:sz w:val="17"/>
          <w:szCs w:val="17"/>
          <w:color w:val="auto"/>
        </w:rPr>
        <w:t>, Lacoste</w:t>
      </w:r>
      <w:r>
        <w:rPr>
          <w:rFonts w:ascii="Arial" w:cs="Arial" w:eastAsia="Arial" w:hAnsi="Arial"/>
          <w:sz w:val="14"/>
          <w:szCs w:val="14"/>
          <w:color w:val="auto"/>
        </w:rPr>
        <w:t>®</w:t>
      </w:r>
      <w:r>
        <w:rPr>
          <w:rFonts w:ascii="Arial" w:cs="Arial" w:eastAsia="Arial" w:hAnsi="Arial"/>
          <w:sz w:val="17"/>
          <w:szCs w:val="17"/>
          <w:color w:val="auto"/>
        </w:rPr>
        <w:t>, Donald J. Pliner and Bruno Magli</w:t>
      </w:r>
      <w:r>
        <w:rPr>
          <w:rFonts w:ascii="Arial" w:cs="Arial" w:eastAsia="Arial" w:hAnsi="Arial"/>
          <w:sz w:val="14"/>
          <w:szCs w:val="14"/>
          <w:color w:val="auto"/>
        </w:rPr>
        <w:t>®</w:t>
      </w:r>
      <w:r>
        <w:rPr>
          <w:rFonts w:ascii="Arial" w:cs="Arial" w:eastAsia="Arial" w:hAnsi="Arial"/>
          <w:sz w:val="17"/>
          <w:szCs w:val="17"/>
          <w:color w:val="auto"/>
        </w:rPr>
        <w:t>.</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 more of our customers moving away from desktop toward their mobile devices, we have taken a “mobile-first” mindset on designing customer interactions as we continue to innovate and enhance the customer’s shopping experience. Our mobile optimized website, m.destinationxl.com, and our recently launched mobile app help our customers browse products, checkout, access our loyalty program information, research inventory in a local store, and find a local store location.</w:t>
      </w:r>
    </w:p>
    <w:p>
      <w:pPr>
        <w:spacing w:after="0" w:line="18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believe that our customers’ interactions with us, on a digital level, are key to customer retention and future growth. We are elevating our customer relation management (“CRM”) system to create a platform where we have a 360-view of our customer beyond just a history of past purchases and preferences. Infusing third-party data and predictive shopping habits, we will have the ability to engage with our customers in a more personalized level.</w:t>
      </w:r>
    </w:p>
    <w:p>
      <w:pPr>
        <w:spacing w:after="0" w:line="14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addition to our Destination XL website, our customers can also access our LivingXL website directly from our homepage. LivingXL is an online-only store that specializes in the selling of select high-quality products which help larger people maintain a more comfortable lifestyle. The types of products sold on our website benefit both men and women and include chairs, outdoor accessories, travel accessories, bed and bath and fitness equipment.</w:t>
      </w:r>
    </w:p>
    <w:p>
      <w:pPr>
        <w:spacing w:after="0" w:line="14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our international customers, upon entering our full site, these visitors are identified based on where they reside globally and are able to shop in their local currency. In addition, checkout is customized based on their location, with local payment methods and a guaranteed cost including shipping and taxes.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Online Marketplaces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Broadening our reach through online marketplaces continues to be a growth initiative for our direct business. During fiscal 2017, we elevated our positioning with Amazon and now have a large portion of our assortment available with Amazon Prime shipping. Online marketplaces, such as Amazon, Walmart.com and Jet.com, provide us an opportunity to grow our customer base and introduce them to our brand.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merchandise planning and allocation function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 and for the direct channel, and pre-season planning for product assortments for each store and the direct channel. Additionally, in-season reporting identifies opportunities and challenges in inventory performance. Over the past several years, we have made and will continue to make investments in implementing best practice tools and processes for our merchandise planning and allocation.</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core merchandise makes up approximately 38% of our merchandise assortment. Our planning and allocation team estimates quantity and demand several months in advance to optimize gross margin and minimize end-of-season merchandise for all seasonal merchandise. We develop customized assortment strategies by store that accentuate lifestyle preferences for each particular store.</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Utilizing a set of specific universal reporting tools, we are able to fulfill the daily, weekly and monthly roles and responsibilities of the merchandise planning and allocation team. These reporting tools provide focused and actionable views of the business to optimize the overall assortment by category and by store. We believe that by having all members of the merchandise planning and allocation team follow a standardized set of processes with the use of standardized reporting tools, our inventory performance will be optimized.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believe that our store associates are the key to creating the highest quality experience for our customers. Beginning with the advent of our initial testing of DXL stores, we committed to change the culture in our stores from an operationally-driven organization to a sales-driven, customer-centric organization. Our overall goal was to assist our associates in becoming less task-oriented and more focused on serving the customer. We want our associates to help our customer meet his apparel needs through building his wardrobe; not just selling our customer a single item. In order to accomplish this, we invested in educating our associates. Our associates are trained to be clothing experts, capable of accommodating our customer’s style and fit needs with ready-to-wear clothing. Our associates’ ability to be well versed in not only the product selection carried in their store, but also globally, coupled with access to order items for the customer via the web in-store, allows our associates to fulfill all of their customers’ needs. Our stores also offer on-site tailoring in order to assist customers in receiving a perfect fit. In addition to product knowledge, our training approach includes behavioral training as well. A key component to the success of this program is finding the right caliber of store associates. Our multi-unit, field management team receives extensive training on recruiting associates who are the correct fit for our stores. Our new DXL store management team hires are enrolled in “The DXL Experience Training Program,” with time spent in one of our two Regional Training Centers. The culture has been created over the last eight years to promote from our internal associates, starting at the Assistant Store Manager level up to, and including, the Vice President of Operations level. Our Regional Vice-Presidents give us touch-points in the field in addition to the Regional Sales Managers and the store management to ensure consistency in executing our standards and all programs and processes we deem important to our success.</w:t>
      </w:r>
    </w:p>
    <w:p>
      <w:pPr>
        <w:spacing w:after="0" w:line="18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Each new store management team member spends time in a DXL store, working with certified training managers to solidify their training before they are released to their “home” store. This allows each new store management team member to apply the skills learned during “The DXL Experience Training Program” so they in turn will have the tools to manage their respective stores successfully. We are able to gauge the effectiveness of our training through measuring sales productivity at each level of the field organization, including individual sales associates. We believe these educational programs, together with monitoring sales metrics to help identify opportunities for further training, will improve sales productivity and strengthen our customer’s brand loyalty.</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Each DXL, Casual Male XL and Rochester Clothing store is staffed with a store manager, assistant managers and associates. The store manager is responsible for achieving certain sales and operational targets. Our stores have an incentive-based commission plan for managers and selling staff to encourage associates to focus on our customer’s wardrobing needs and sales productivity. Our field organization strives to promote from within - a culture that has been building for eight years, with approximately 90% of the field organization’s multi-unit managers having managed one of our retail stores.</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field organization is overseen by our Executive Vice President and Chief Customer Officer, Senior Vice President of Store Sales and Operations, Regional Vice Presidents and Regional Sales Managers, who provide management development and guidance to individual store managers. Each Regional Sales Manager is responsible for hiring and developing store managers at the stores assigned to that Regional Sales Manager’s market, and for the overall operations and profitability of those stores.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13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believe marketing and advertising are key drivers in increasing brand awareness which, in turn, increases traffic to our stores and online. Our marketing focus is on increasing the awareness of our DXL brand, so shoppers will think of us when they decide to purchase men’s XL clothing or accessories. With only 4 out of every 10 men aware of who we are, we believe we have a great opportunity to build our customer base and increase market share. In fiscal 2016, we experienced a drop in our brand recognition, which was the result of decreased spending on national media. In fiscal 2017, we aired TV and Radio for 14 weeks, compared to only 6 weeks in fiscal 2016, which had a measurable impact brand awareness and customer count as we saw our brand awareness increase from 34% at the end of fiscal 2016 to 42% at the end of fiscal 2017.</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fiscal 2017, we increased our marketing expenses to $29.5 million, with an emphasis on new creative and additional digital advertising. In fiscal 2018, we expect marketing expenses to be $24.0 million. Our 2018 marketing program will include two media campaigns: first, our Spring campaign, which will run up to Father’s Day; second, our Fall/Holiday campaign, which will run for 6 weeks. We are also launching new creative advertising for 2018, which will emphasize fit, expertise, brands, in-store experience, and one-stop shopping. The new campaign will highlight DXL’s key differentiators and will seek to spark an emotional connection with our core consumer. In addition to adding back television to aid in growing the customer count, we plan to focus more aggressively on our customer loyalty program. Our loyalty program has consistently delivered better response rates as compared to our other direct marketing programs. Approximately 93% of customers in our active customer base are enrolled in our loyalty program, resulting in a more than 59% DXL customer corporate retention rate. On a rolling twelve-month basis, our DXL retail stores have an almost 35% higher customer retention rate than our Casual Male XL retail stores. In addition, we will focus on personalization in our email marketing and digital programs, which we believe will make our reduced marketing spend in 2018 more cost effective. We will also be implementing a new CRM system to support our direct marketing efforts.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9" w:name="page10"/>
    <w:bookmarkEnd w:id="9"/>
    <w:p>
      <w:pPr>
        <w:jc w:val="both"/>
        <w:ind w:right="20"/>
        <w:spacing w:after="0" w:line="312" w:lineRule="auto"/>
        <w:rPr>
          <w:sz w:val="20"/>
          <w:szCs w:val="20"/>
          <w:color w:val="auto"/>
        </w:rPr>
      </w:pPr>
      <w:r>
        <w:rPr>
          <w:rFonts w:ascii="Arial" w:cs="Arial" w:eastAsia="Arial" w:hAnsi="Arial"/>
          <w:sz w:val="16"/>
          <w:szCs w:val="16"/>
          <w:color w:val="auto"/>
        </w:rPr>
        <w:t>As we close more of our Casual Male XL stores in fiscal 2018, we will continue our efforts to increase awareness of the DXL brand and convert Casual Male XL customers to our DXL stores. We have converted more than 51% of our Casual Male XL customers since we began our transition over to DXL. Our focus will continue to be on transitioning our best Casual Male XL customers first, followed by other active, high-sales-contributing tiers of customers.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SOURCING</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strong experience in sourcing internationally, particularly in Asia, where we manufacture a significant percentage of our private-label merchandise. We have established relationships with some of the leading factories. Our sourcing network consists of over 21 factories in 4 countries. Currently, approximately 50% of all our product needs are sourced directly.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global sourcing strategy is a balanced approach considering quality, cost and lead time, depending on the requirements of the program. We believe our current sourcing structure is sufficient to meet our operating requirements and provide capacity for growth. The growth and effectiveness of our global direct sourcing program is a key component to the strength of merchandise margins.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an effort to minimize foreign currency risk, all payments to our direct sourced vendors and buying agents are made in U.S. dollars through the use of letters of credit or payment on account.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All of our distribution operations are centralized at our headquarters located in Canton, Massachusetts. However, if merchandise is available at the store level but not available at the distribution center, our stores are capable of completing the order and shipping it directly to a customer.</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business.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Since 2003, we have utilized United Parcel Services (“UPS”) for all of our store shipments as well as our domestic customer deliveries. By utilizing UPS, we are able to track all deliveries from the warehouse to our individual stores, including the status of in-transit shipments. In addition, we are able to provide our direct customers with Authorized Return Service and Web labels, making returns more convenient for them. Our current contract with UPS is through January 5, 2020.</w:t>
      </w:r>
    </w:p>
    <w:p>
      <w:pPr>
        <w:spacing w:after="0" w:line="18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order to service our International customers, we have contracted with a global e-commerce company for payment and shipment services. Through this service, international customers view and pay for products in their local currency. Our vendor then ships directly to our customer, which we believe helps avoid potential fraud and currency exchange rate risks.</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Our warehousing application for our distribution center systems streamlines our distribution processes, enhances our in-transit times, and reduces our distribution costs substantially. Over the past several years, we have made improvements to our software such as automated packing for single piece orders, barcode scanning technologies and scanning technologies for our sortation systems, in order to improve productivity and to lower packing costs.</w:t>
      </w:r>
    </w:p>
    <w:p>
      <w:pPr>
        <w:spacing w:after="0" w:line="14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supply chain technology provides visibility for imports and domestic deliveries giving our buyers accurate shipping information and allowing the distribution center to plan staffing for arriving freight, resulting in reduced costs and improved receipt efficiency.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In-bound calls for our direct business are currently handled at our Canton facility and are primarily fulfilled by our distribution center. If an order cannot be fulfilled by our distribution center, the order is completed at the store level.</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infrastructure of our management information systems is a priority to us. We believe that the investments we have made in this regard have improved our overall efficiency and most importantly have enabled us to manage our inventory more effectively.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with which to manage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 w:name="page11"/>
    <w:bookmarkEnd w:id="10"/>
    <w:p>
      <w:pPr>
        <w:ind w:right="120"/>
        <w:spacing w:after="0" w:line="259" w:lineRule="auto"/>
        <w:rPr>
          <w:sz w:val="20"/>
          <w:szCs w:val="20"/>
          <w:color w:val="auto"/>
        </w:rPr>
      </w:pPr>
      <w:r>
        <w:rPr>
          <w:rFonts w:ascii="Arial" w:cs="Arial" w:eastAsia="Arial" w:hAnsi="Arial"/>
          <w:sz w:val="18"/>
          <w:szCs w:val="18"/>
          <w:color w:val="auto"/>
        </w:rPr>
        <w:t>Using a retail business intelligence solution, we are able to integrate data from several sources and provide enterprise-wide analytics reporting. Over the past few years, we have developed a custom Assortment Suite application that leverages business intelligence and predictive analytics to provide high impact insights into core merchandising tasks. In an effort to further improve our inventory management, we have created a standardized set of “best practices” for both our merchandise planning and allocation groups.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direct business and retail business maintain a shared inventory system and we operate a single system platform for DXL, Casual Male XL and Rochester Clothing to deliver improved efficiencies and to make our full product assortment available to all of our business formats.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2018, we plan to upgrade our order management systems, which will upgrade our warehouse management and logistics capabilities for enhanced inventory visibility and order fulfillment. We continually work to improve our web environment. Our mobile optimized site capitalizes on the growing use of mobile devices to look up store information, review product offerings, and complete purchases. We have a tablet optimized website to further capitalize on the continued growth of mobile e-commerce, and in fiscal 2017 we launched our mobile app. In addition, our current website is fully integrated with a global e-commerce company to accommodate international customers by providing multi-currency pricing, payment processing, and international shipping. Functionality was also implemented to support an online custom shirt program and an in-store application to support both a custom suit and custom shirt program.</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business faces competition from a variety of sources, including department stores such as Macy’s and Dillard’s, mass merchandisers, other specialty stores and discount and off-price retailers, as well as other retailers that sell big &amp; tall men’s apparel. While we have successfully competed on the basis of merchandise selection, comfort and fit, customer service and desirable store locations, there can be no assurances that other retailers, including e-commerce retailers, will not adopt purchasing and marketing concepts similar to ours. Discount retailers with significant buying power, such as Wal-Mart and J.C. Penney, represent a source of competition for us. The direct business has several competitors, including the King Size catalog and website as well as online marketplaces, such as Amazon.</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United States big &amp; tall men’s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own several service marks and trademarks relating to our businesses, including, among others, “Destination XL</w:t>
      </w:r>
      <w:r>
        <w:rPr>
          <w:rFonts w:ascii="Arial" w:cs="Arial" w:eastAsia="Arial" w:hAnsi="Arial"/>
          <w:sz w:val="15"/>
          <w:szCs w:val="15"/>
          <w:color w:val="auto"/>
        </w:rPr>
        <w:t>®</w:t>
      </w:r>
      <w:r>
        <w:rPr>
          <w:rFonts w:ascii="Arial" w:cs="Arial" w:eastAsia="Arial" w:hAnsi="Arial"/>
          <w:sz w:val="18"/>
          <w:szCs w:val="18"/>
          <w:color w:val="auto"/>
        </w:rPr>
        <w:t>”, “DXL</w:t>
      </w:r>
      <w:r>
        <w:rPr>
          <w:rFonts w:ascii="Arial" w:cs="Arial" w:eastAsia="Arial" w:hAnsi="Arial"/>
          <w:sz w:val="15"/>
          <w:szCs w:val="15"/>
          <w:color w:val="auto"/>
        </w:rPr>
        <w:t>®</w:t>
      </w:r>
      <w:r>
        <w:rPr>
          <w:rFonts w:ascii="Arial" w:cs="Arial" w:eastAsia="Arial" w:hAnsi="Arial"/>
          <w:sz w:val="18"/>
          <w:szCs w:val="18"/>
          <w:color w:val="auto"/>
        </w:rPr>
        <w:t>”, “DXL Mens Apparel</w:t>
      </w:r>
      <w:r>
        <w:rPr>
          <w:rFonts w:ascii="Arial" w:cs="Arial" w:eastAsia="Arial" w:hAnsi="Arial"/>
          <w:sz w:val="15"/>
          <w:szCs w:val="15"/>
          <w:color w:val="auto"/>
        </w:rPr>
        <w:t>®</w:t>
      </w:r>
      <w:r>
        <w:rPr>
          <w:rFonts w:ascii="Arial" w:cs="Arial" w:eastAsia="Arial" w:hAnsi="Arial"/>
          <w:sz w:val="18"/>
          <w:szCs w:val="18"/>
          <w:color w:val="auto"/>
        </w:rPr>
        <w:t>”, “Big on Being Better</w:t>
      </w:r>
      <w:r>
        <w:rPr>
          <w:rFonts w:ascii="Arial" w:cs="Arial" w:eastAsia="Arial" w:hAnsi="Arial"/>
          <w:sz w:val="15"/>
          <w:szCs w:val="15"/>
          <w:color w:val="auto"/>
        </w:rPr>
        <w:t>®</w:t>
      </w:r>
      <w:r>
        <w:rPr>
          <w:rFonts w:ascii="Arial" w:cs="Arial" w:eastAsia="Arial" w:hAnsi="Arial"/>
          <w:sz w:val="18"/>
          <w:szCs w:val="18"/>
          <w:color w:val="auto"/>
        </w:rPr>
        <w:t>”, “Casual Male</w:t>
      </w:r>
      <w:r>
        <w:rPr>
          <w:rFonts w:ascii="Arial" w:cs="Arial" w:eastAsia="Arial" w:hAnsi="Arial"/>
          <w:sz w:val="15"/>
          <w:szCs w:val="15"/>
          <w:color w:val="auto"/>
        </w:rPr>
        <w:t>®</w:t>
      </w:r>
      <w:r>
        <w:rPr>
          <w:rFonts w:ascii="Arial" w:cs="Arial" w:eastAsia="Arial" w:hAnsi="Arial"/>
          <w:sz w:val="18"/>
          <w:szCs w:val="18"/>
          <w:color w:val="auto"/>
        </w:rPr>
        <w:t>”, “Casual Male XL</w:t>
      </w:r>
      <w:r>
        <w:rPr>
          <w:rFonts w:ascii="Arial" w:cs="Arial" w:eastAsia="Arial" w:hAnsi="Arial"/>
          <w:sz w:val="15"/>
          <w:szCs w:val="15"/>
          <w:color w:val="auto"/>
        </w:rPr>
        <w:t>®</w:t>
      </w:r>
      <w:r>
        <w:rPr>
          <w:rFonts w:ascii="Arial" w:cs="Arial" w:eastAsia="Arial" w:hAnsi="Arial"/>
          <w:sz w:val="18"/>
          <w:szCs w:val="18"/>
          <w:color w:val="auto"/>
        </w:rPr>
        <w:t>”, “Rochester Clothing</w:t>
      </w:r>
      <w:r>
        <w:rPr>
          <w:rFonts w:ascii="Arial" w:cs="Arial" w:eastAsia="Arial" w:hAnsi="Arial"/>
          <w:sz w:val="15"/>
          <w:szCs w:val="15"/>
          <w:color w:val="auto"/>
        </w:rPr>
        <w:t>®</w:t>
      </w:r>
      <w:r>
        <w:rPr>
          <w:rFonts w:ascii="Arial" w:cs="Arial" w:eastAsia="Arial" w:hAnsi="Arial"/>
          <w:sz w:val="18"/>
          <w:szCs w:val="18"/>
          <w:color w:val="auto"/>
        </w:rPr>
        <w:t>”, “Rochester Big &amp; Tall</w:t>
      </w:r>
      <w:r>
        <w:rPr>
          <w:rFonts w:ascii="Arial" w:cs="Arial" w:eastAsia="Arial" w:hAnsi="Arial"/>
          <w:sz w:val="15"/>
          <w:szCs w:val="15"/>
          <w:color w:val="auto"/>
        </w:rPr>
        <w:t>®</w:t>
      </w:r>
      <w:r>
        <w:rPr>
          <w:rFonts w:ascii="Arial" w:cs="Arial" w:eastAsia="Arial" w:hAnsi="Arial"/>
          <w:sz w:val="18"/>
          <w:szCs w:val="18"/>
          <w:color w:val="auto"/>
        </w:rPr>
        <w:t>”, “Harbor Bay</w:t>
      </w:r>
      <w:r>
        <w:rPr>
          <w:rFonts w:ascii="Arial" w:cs="Arial" w:eastAsia="Arial" w:hAnsi="Arial"/>
          <w:sz w:val="15"/>
          <w:szCs w:val="15"/>
          <w:color w:val="auto"/>
        </w:rPr>
        <w:t>®</w:t>
      </w:r>
      <w:r>
        <w:rPr>
          <w:rFonts w:ascii="Arial" w:cs="Arial" w:eastAsia="Arial" w:hAnsi="Arial"/>
          <w:sz w:val="18"/>
          <w:szCs w:val="18"/>
          <w:color w:val="auto"/>
        </w:rPr>
        <w:t>”, “Oak Hill</w:t>
      </w:r>
      <w:r>
        <w:rPr>
          <w:rFonts w:ascii="Arial" w:cs="Arial" w:eastAsia="Arial" w:hAnsi="Arial"/>
          <w:sz w:val="15"/>
          <w:szCs w:val="15"/>
          <w:color w:val="auto"/>
        </w:rPr>
        <w:t>®</w:t>
      </w:r>
      <w:r>
        <w:rPr>
          <w:rFonts w:ascii="Arial" w:cs="Arial" w:eastAsia="Arial" w:hAnsi="Arial"/>
          <w:sz w:val="18"/>
          <w:szCs w:val="18"/>
          <w:color w:val="auto"/>
        </w:rPr>
        <w:t>”, “Comfort Zone</w:t>
      </w:r>
      <w:r>
        <w:rPr>
          <w:rFonts w:ascii="Arial" w:cs="Arial" w:eastAsia="Arial" w:hAnsi="Arial"/>
          <w:sz w:val="15"/>
          <w:szCs w:val="15"/>
          <w:color w:val="auto"/>
        </w:rPr>
        <w:t>®</w:t>
      </w:r>
      <w:r>
        <w:rPr>
          <w:rFonts w:ascii="Arial" w:cs="Arial" w:eastAsia="Arial" w:hAnsi="Arial"/>
          <w:sz w:val="18"/>
          <w:szCs w:val="18"/>
          <w:color w:val="auto"/>
        </w:rPr>
        <w:t>”, “Synrgy™”, “Twenty-Eight Degrees™”, “Society of One</w:t>
      </w:r>
      <w:r>
        <w:rPr>
          <w:rFonts w:ascii="Arial" w:cs="Arial" w:eastAsia="Arial" w:hAnsi="Arial"/>
          <w:sz w:val="15"/>
          <w:szCs w:val="15"/>
          <w:color w:val="auto"/>
        </w:rPr>
        <w:t>®</w:t>
      </w:r>
      <w:r>
        <w:rPr>
          <w:rFonts w:ascii="Arial" w:cs="Arial" w:eastAsia="Arial" w:hAnsi="Arial"/>
          <w:sz w:val="18"/>
          <w:szCs w:val="18"/>
          <w:color w:val="auto"/>
        </w:rPr>
        <w:t>” and “True Nation</w:t>
      </w:r>
      <w:r>
        <w:rPr>
          <w:rFonts w:ascii="Arial" w:cs="Arial" w:eastAsia="Arial" w:hAnsi="Arial"/>
          <w:sz w:val="15"/>
          <w:szCs w:val="15"/>
          <w:color w:val="auto"/>
        </w:rPr>
        <w:t>®</w:t>
      </w:r>
      <w:r>
        <w:rPr>
          <w:rFonts w:ascii="Arial" w:cs="Arial" w:eastAsia="Arial" w:hAnsi="Arial"/>
          <w:sz w:val="18"/>
          <w:szCs w:val="18"/>
          <w:color w:val="auto"/>
        </w:rPr>
        <w:t>”. We also hold a U.S. patent for an extendable collar system, which is marketed as “Neck-Relaxer</w:t>
      </w:r>
      <w:r>
        <w:rPr>
          <w:rFonts w:ascii="Arial" w:cs="Arial" w:eastAsia="Arial" w:hAnsi="Arial"/>
          <w:sz w:val="15"/>
          <w:szCs w:val="15"/>
          <w:color w:val="auto"/>
        </w:rPr>
        <w:t>®</w:t>
      </w:r>
      <w:r>
        <w:rPr>
          <w:rFonts w:ascii="Arial" w:cs="Arial" w:eastAsia="Arial" w:hAnsi="Arial"/>
          <w:sz w:val="18"/>
          <w:szCs w:val="18"/>
          <w:color w:val="auto"/>
        </w:rPr>
        <w:t>” and a U.S. copyright for a no-iron hang tag.</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February 3, 2018, we had approximately 2,634 employees. We hire additional temporary employees during the peak Fall and Holiday seasons. None of our employees is represented by any collective bargaining agreement.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Our corporate website is </w:t>
      </w:r>
      <w:r>
        <w:rPr>
          <w:rFonts w:ascii="Arial" w:cs="Arial" w:eastAsia="Arial" w:hAnsi="Arial"/>
          <w:sz w:val="17"/>
          <w:szCs w:val="17"/>
          <w:u w:val="single" w:color="auto"/>
          <w:color w:val="auto"/>
        </w:rPr>
        <w:t>www.destinationxl.com.</w:t>
      </w:r>
      <w:r>
        <w:rPr>
          <w:rFonts w:ascii="Arial" w:cs="Arial" w:eastAsia="Arial" w:hAnsi="Arial"/>
          <w:sz w:val="17"/>
          <w:szCs w:val="17"/>
          <w:color w:val="auto"/>
        </w:rPr>
        <w:t xml:space="preserve"> Our investor relations site is </w:t>
      </w:r>
      <w:r>
        <w:rPr>
          <w:rFonts w:ascii="Arial" w:cs="Arial" w:eastAsia="Arial" w:hAnsi="Arial"/>
          <w:sz w:val="17"/>
          <w:szCs w:val="17"/>
          <w:u w:val="single" w:color="auto"/>
          <w:color w:val="auto"/>
        </w:rPr>
        <w:t>http://investor.destinationxl.com.</w:t>
      </w:r>
      <w:r>
        <w:rPr>
          <w:rFonts w:ascii="Arial" w:cs="Arial" w:eastAsia="Arial" w:hAnsi="Arial"/>
          <w:sz w:val="17"/>
          <w:szCs w:val="17"/>
          <w:color w:val="auto"/>
        </w:rPr>
        <w:t xml:space="preserve"> We make available through our website, free of charge, our Annual Reports on Form 10-K, Quarterly Reports on Form 10-Q, Current Reports on Form 8-K and all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our Company.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risk factors are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our projected results or events will be achieved or will occur.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Company and Our Industry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not be successful in executing our DXL strategy and growing our market share.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Through the end of fiscal 2017, we have opened over 225 DXL retail and outlet stores in the United States and Canada while closing many of our Casual Male XL and Rochester Clothing stores. In fiscal 2017 we slowed the pace of our store openings with an increased focus on growing our direct business and increasing store productivity. For us to be successful in the future and maintain growth, we must be able to continue increasing our share of the big &amp; tall men’s apparel market. Our growth is dependent on our ability to continue to build upon our DXL brand, maintain and convert our existing Casual Male XL and Rochester Clothing customers to DXL, and continuing to attract new customers. Our failure to execute successfully our strategy could prevent us from growing our market share, which could have a material adverse effect on our results of operations, cash flows and financial position, including if we were unable to:</w:t>
      </w:r>
    </w:p>
    <w:p>
      <w:pPr>
        <w:spacing w:after="0" w:line="81" w:lineRule="exact"/>
        <w:rPr>
          <w:sz w:val="20"/>
          <w:szCs w:val="20"/>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 our DXL e-commerce business;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predict and respond to fashion trends, while offering our customers a broad selection of merchandise in an extended selection of sizes;</w:t>
      </w:r>
    </w:p>
    <w:p>
      <w:pPr>
        <w:spacing w:after="0" w:line="128" w:lineRule="exact"/>
        <w:rPr>
          <w:rFonts w:ascii="Arial" w:cs="Arial" w:eastAsia="Arial" w:hAnsi="Arial"/>
          <w:sz w:val="17"/>
          <w:szCs w:val="17"/>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an effective marketing program to build brand, store and digital awareness as well as increase store traffic;</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our existing customer base;</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and retain new customers;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qualified store management and store associates;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exit existing lease agreements at the end of the lease or on favorable terms;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open and close stores within established cost parameters;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grow and then sustain number of transactions, units-per-transaction and share of wallet; and</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operate at appropriate operating margins.</w:t>
      </w:r>
    </w:p>
    <w:p>
      <w:pPr>
        <w:spacing w:after="0" w:line="333" w:lineRule="exact"/>
        <w:rPr>
          <w:sz w:val="20"/>
          <w:szCs w:val="20"/>
          <w:color w:val="auto"/>
        </w:rPr>
      </w:pPr>
    </w:p>
    <w:p>
      <w:pPr>
        <w:ind w:right="140" w:firstLine="259"/>
        <w:spacing w:after="0" w:line="308" w:lineRule="auto"/>
        <w:rPr>
          <w:sz w:val="20"/>
          <w:szCs w:val="20"/>
          <w:color w:val="auto"/>
        </w:rPr>
      </w:pPr>
      <w:r>
        <w:rPr>
          <w:rFonts w:ascii="Arial" w:cs="Arial" w:eastAsia="Arial" w:hAnsi="Arial"/>
          <w:sz w:val="17"/>
          <w:szCs w:val="17"/>
          <w:b w:val="1"/>
          <w:bCs w:val="1"/>
          <w:i w:val="1"/>
          <w:iCs w:val="1"/>
          <w:u w:val="single" w:color="auto"/>
          <w:color w:val="auto"/>
        </w:rPr>
        <w:t>Our marketing programs and success in maintaining and building our brand awareness, driving traffic and converting that traffic into an increased loyal customer base are critical to achieving market share growth within the big &amp; tall men’s apparel market</w:t>
      </w:r>
    </w:p>
    <w:p>
      <w:pPr>
        <w:spacing w:after="0" w:line="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ability to increase our share of the big &amp; tall men’s apparel market is largely dependent on building and maintaining favorable brand recognition for our DXL stores and digital channels and effectively marketing our merchandise to all of our target customers in several diverse market segments so that they will become loyal shoppers who spend a greater portion of their wallet on our product offerings. In order to grow our brand recognition and our market share, we depend on the successful development of our brand through marketing and advertising in a variety of ways, including television and radio advertising, advertising events, loyalty programs, digital marketing, including social media, e-commerce and customer prospecting. Our business is directly impacted by the success of these efforts and those of our vendors. Future advertising efforts by us, our vendors or our other licensors, may be costly and, if not successful, may negatively impact our ability to meet our sales goals and to increase our market share and revenues.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is seasonal and is affected by general economic conditions.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business is seasonal. Historically, a significant portion of our operating income has been generated during our fourth quarter (November-January). If, for any reason, we miscalculate the demand for our products during our fourth quarter, our sales in this quarter could decline, resulting in higher labor costs as a percentage of sales, lower margins and excess inventory, which could cause our annual operating results to suffer. In addition, our operations may be negatively affected by local, regional or national economic conditions, such as levels of disposable consumer income, consumer debt, interest rates and consumer confidence. Due to our seasonality, the possible adverse impact from such risks is potentially greater if any such risks occur during our fourth quarter.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43" w:right="279" w:bottom="1440" w:gutter="0" w:footer="0" w:header="0"/>
        </w:sectPr>
      </w:pPr>
    </w:p>
    <w:bookmarkStart w:id="12" w:name="page13"/>
    <w:bookmarkEnd w:id="12"/>
    <w:p>
      <w:pPr>
        <w:ind w:right="58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Our ability to operate and expand our business and to respond to changing business and economic conditions will depend on the availability of adequate capital.</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operation of our business, the rate of our expansion and our ability to respond to changing business and economic conditions depend on the availability of adequate capital, which in turn depends on cash flow generated by our business and, if necessary, the availability of equity or debt capital. We will also need sufficient cash flow to meet our obligations under our existing debt agreements.</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amount that we are able to borrow and have outstanding under our credit facility at any given time is determined using an availability formula based on eligible assets. As a result, our ability to borrow is subject to certain risks and uncertainties, such as advance rates and the amount and quality of inventory, which could reduce the funds available to us under our credit facility.</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cannot assure you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significant financial and other covenants that may significantly restrict our operations. We cannot ensure that we could obtain refinancing or additional financing on favorable terms or at all.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may be adversely affected by economic and political issues abroad and changes in U.S. economic policies.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Economic and civil unrest in areas of the world where we source merchandise for our global sourcing program, as well as shipping and docking issues, could adversely impact the availability and cost of such merchandise. Disruptions in the global transportation network, such as political instability, the financial instability of our suppliers, merchandise quality issues, trade restrictions, labor and port strikes,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the enactment of any new legislation in the U.S. that would impact current international trade regulations, exports or imports or tax policy with respect to foreign activities, or executive action affecting international trade agreements, including the uncertainty concerning the trading status of certain countries and/or retaliatory duties, taxes, quotas or other trade sanctions, could increase the cost of merchandise purchased from suppliers in such countries and could adversely affect our business and financial performance.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The loss of, or disruption in, our centralized distribution center could negatively impact our business and operations.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majority of our merchandise for our stores and e-commerce operations is received into our centralized distribution center in Canton, Massachusetts, where it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could result in delays in the delivery of merchandise to our stores or directly to our customers.</w:t>
      </w:r>
    </w:p>
    <w:p>
      <w:pPr>
        <w:spacing w:after="0" w:line="1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could materially affect our business. This type of disaster is mitigated by our offsite storage and disaster recovery plans, but we would still incur business interruption that may impact our business for several weeks.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289"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If we are unable to develop and implement our omni-channel initiatives successfully, our market share and financial results could be adversely affected.</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customer’s shopping behavior continues to evolve across multiple channels and we are working to meet his needs. While we consider ourselves an omni-channel retailer, we continue to make ongoing investments in our information technology systems to support evolving omni-channel capabilities.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 w:name="page14"/>
    <w:bookmarkEnd w:id="13"/>
    <w:p>
      <w:pPr>
        <w:jc w:val="both"/>
        <w:ind w:right="60"/>
        <w:spacing w:after="0" w:line="286" w:lineRule="auto"/>
        <w:rPr>
          <w:sz w:val="20"/>
          <w:szCs w:val="20"/>
          <w:color w:val="auto"/>
        </w:rPr>
      </w:pPr>
      <w:r>
        <w:rPr>
          <w:rFonts w:ascii="Arial" w:cs="Arial" w:eastAsia="Arial" w:hAnsi="Arial"/>
          <w:sz w:val="17"/>
          <w:szCs w:val="17"/>
          <w:color w:val="auto"/>
        </w:rPr>
        <w:t>Omni-channel retailing is rapidly evolving and our success depends on our ability to anticipate and implement innovations in sales and marketing technology and logistics in order to appeal to existing and potential customers who increasingly rely on multiple channels to meet their shopping needs. In addition, our competitors are also investing in omni-channel initiatives, some of which may be more successful than our initiatives.</w:t>
      </w:r>
    </w:p>
    <w:p>
      <w:pPr>
        <w:spacing w:after="0" w:line="16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If the investment in our omni-channel initiatives is not successful, our systems are unable to support such initiatives, or if our competitors are more successful, our financial results and our market penetration may be adversely affected.</w:t>
      </w:r>
    </w:p>
    <w:p>
      <w:pPr>
        <w:spacing w:after="0" w:line="279"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Our direct business is a significant component of our growth strategy, and the failure to develop our e-commerce and internet infrastructure could disrupt our business and negatively impact our sales.</w:t>
      </w:r>
    </w:p>
    <w:p>
      <w:pPr>
        <w:spacing w:after="0" w:line="6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continue to have increasing levels of sales made through on-line shopping and via mobile devices. We have made significant investments in capital spending and labor to develop these channels and invested in digital media to attract new customers. Growth of our overall sales is dependent on customers continuing to expand their on-line purchases in addition to in-store purchases. We cannot accurately predict the rate at which online purchases will expand.</w:t>
      </w:r>
    </w:p>
    <w:p>
      <w:pPr>
        <w:spacing w:after="0" w:line="14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success in growing our e-commerce activities will depend in part upon our development of an increasingly sophisticated e-commerce experience and infrastructure. Increasing customer sophistication requires that we provide additional website features and functionality, in order to be competitive in the marketplace and maintain market share. We continually update our website features, but we cannot predict future trends and required functionality or our adoption rate for customer preferences. In addition, we are vulnerable to additional risks and uncertainties associated with e-commerce sales, including security breaches, cyber-attacks, consumer privacy concerns, changes in state tax regimes and government regulation of internet activities. Our failure to respond to these risks and uncertainties successfully could reduce our e-commerce sales, increase our costs and diminish our growth prospects, which could negatively impact our operating results.</w:t>
      </w:r>
    </w:p>
    <w:p>
      <w:pPr>
        <w:spacing w:after="0" w:line="297" w:lineRule="exact"/>
        <w:rPr>
          <w:sz w:val="20"/>
          <w:szCs w:val="20"/>
          <w:color w:val="auto"/>
        </w:rPr>
      </w:pPr>
    </w:p>
    <w:p>
      <w:pPr>
        <w:ind w:right="360" w:firstLine="259"/>
        <w:spacing w:after="0" w:line="308" w:lineRule="auto"/>
        <w:rPr>
          <w:sz w:val="20"/>
          <w:szCs w:val="20"/>
          <w:color w:val="auto"/>
        </w:rPr>
      </w:pPr>
      <w:r>
        <w:rPr>
          <w:rFonts w:ascii="Arial" w:cs="Arial" w:eastAsia="Arial" w:hAnsi="Arial"/>
          <w:sz w:val="17"/>
          <w:szCs w:val="17"/>
          <w:b w:val="1"/>
          <w:bCs w:val="1"/>
          <w:i w:val="1"/>
          <w:iCs w:val="1"/>
          <w:u w:val="single" w:color="auto"/>
          <w:color w:val="auto"/>
        </w:rPr>
        <w:t>Our business may be adversely affected by the failure to identify suitable store locations and acceptable lease terms. In addition, some of our new stores may open in locations close enough to our existing stores to negatively impact sales at those locations.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currently lease all of our store locations. Identifying and securing suitable store locations at acceptable lease terms is critical to our store growth. We generally have been able to negotiate acceptable lease rates and extensions, as needed. However, we cannot be certain that desirable locations at acceptable lease rates and preferred lease terms will continue to be available. Once we decide on a prospective new store or new market and find a suitable location, any delays in opening new stores could impact our financial results. In addition, if we need to pay higher occupancy costs in the future to secure ideal locations, the increased cost may adversely impact our financial performance and liquidity. Recent trends toward increased landlord consolidation could also negatively affect our ability to obtain and retain locations.</w:t>
      </w:r>
    </w:p>
    <w:p>
      <w:pPr>
        <w:spacing w:after="0" w:line="19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we open additional locations in existing markets, some new stores may open in locations close enough to our existing stores to impact sales and profitability at the store level, which may also adversely affect our profitability</w:t>
      </w:r>
      <w:r>
        <w:rPr>
          <w:rFonts w:ascii="Arial" w:cs="Arial" w:eastAsia="Arial" w:hAnsi="Arial"/>
          <w:sz w:val="18"/>
          <w:szCs w:val="18"/>
          <w:color w:val="FF0000"/>
        </w:rPr>
        <w: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is highly competitive, and competitive factors may reduce our revenues and profit margins.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United States big &amp; tall men’s apparel market is highly competitive with many national and regional department stores, mass merchandisers, specialty apparel retailers, discount stores and online retailers offering a broad range of apparel products similar to the products that we sell. Besides retail competitors, we consider any manufacturer of big &amp; tall men’s merchandise operating in outlet malls throughout the United States to be a competitor. It is also possible that another competitor, either a mass merchant or a men’s specialty store or specialty apparel catalog, could gain market share in big &amp; tall men’s apparel due to more favorable pricing, locations, brand and fashion assortment and size availability. Many of our competitors and potential competitors may have substantially greater financial, manufacturing and marketing resources than we do.</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we maintain exclusivity arrangements with several of the brands that we carry. If we were to lose any of these exclusivity arrangements or brands altogether, our revenues may be adversely affected.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4" w:name="page15"/>
    <w:bookmarkEnd w:id="14"/>
    <w:p>
      <w:pPr>
        <w:ind w:left="260"/>
        <w:spacing w:after="0"/>
        <w:rPr>
          <w:sz w:val="20"/>
          <w:szCs w:val="20"/>
          <w:color w:val="auto"/>
        </w:rPr>
      </w:pPr>
      <w:r>
        <w:rPr>
          <w:rFonts w:ascii="Arial" w:cs="Arial" w:eastAsia="Arial" w:hAnsi="Arial"/>
          <w:sz w:val="18"/>
          <w:szCs w:val="18"/>
          <w:b w:val="1"/>
          <w:bCs w:val="1"/>
          <w:i w:val="1"/>
          <w:iCs w:val="1"/>
          <w:u w:val="single" w:color="auto"/>
          <w:color w:val="auto"/>
        </w:rPr>
        <w:t>If our long-lived assets become impaired, we may need to record significant non-cash impairment charges.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assets. In addition, significant negative industry or general economic trends, disruptions to our business and unexpected significant changes or planned changes in our use of the assets (such as store relocations or closures) may also result in impairment charges. Any such impairment charges, if significant, could adversely affect our financial position and results of operations.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not be successful expanding our business internationally.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future growth strategy includes plans to open stores internationally, most likely using a franchise and licensing model. Customer demand, as well as a lack of familiarity with our brands, may differ internationally, and as a result, we may have difficulty attracting customers and growing brand awareness. In addition, our ability to conduct business internationally may be adversely impacted by political and economic risks. Our failure to expand internationally may limit our future growth opportunities.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risks related to identifying suitable franchisees. Our franchise arrangements will limit our direct control, such as the ability of these third parties to meet their projections regarding store openings and sales, as well as their compliance with applicable laws and regulations. As such, we cannot ensure our profitability or success in international markets. In addition, the failure of these third parties to operate the stores in a manner consistent with our standards may adversely affect our brands and reputation.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are dependent on third parties for the manufacture of the merchandise we sell.</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do not own or operate any manufacturing facilities and are therefore entirely dependent on third parties to manufacture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manufacturers who produce products of inferior quality, then our brand recognition and customer satisfaction would likely suffer. These manufacturers may also increase the cost to us of the products we purchase from them.</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significant portion of our merchandise is imported directly from other countries, and U.S. domestic suppliers who source their goods from other countries supply most of our remaining merchandise. If the U.S. Government imposes significant tariffs or other restrictions on foreign imports, we may need to increase our prices which could adversely affect our revenues and merchandise margins.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Fluctuations in the price, availability and quality of raw materials and finished goods could increase costs.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u w:val="single" w:color="auto"/>
          <w:color w:val="auto"/>
        </w:rPr>
        <w:t>Our success depends significantly on our key personnel and our ability to attract and retain additional personnel.</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future success is dependent on the personal efforts, performance and abilities of our key management which includes our executive officer as well as several significant members of our senior management.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 As disclosed, subsequent to the end of fiscal 2017, on March 23, 2018, David Levin announced that he is planning to retire as President and Chief Executive Officer and as a director of the Company by the end of 2018. Mr. Levin is also prepared to provide transition support and assist on requested projects following his retirement as CEO. The Board of Directors has initiated a search process to identify a successor for Mr. Levin and will review both external and internal candidates. See Note K, Subsequent Event, to the Consolidated Financial Statements for more information.</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competition is intense for the type of highly skilled individuals with relevant industry experience that we require and we may not be able to attract and retain new employees of the caliber needed to achieve our objectives.</w:t>
      </w:r>
    </w:p>
    <w:p>
      <w:pPr>
        <w:spacing w:after="0" w:line="279"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We may be harmed by security risks we face in connection with our electronic processing and transmission of confidential customer information. During fiscal 2017, approximately 85% of our sales were settled through credit and debit card transactions. While our Board of Directors approved the formation of the Cybersecurity and Data Privacy Committee to oversee the monitoring and management of cyber risk and data privacy for our Company, and we have not had any security breaches to date, any breach could expose us to risks of loss, litigation and liability and could adversely affect our operations as well as cause our shoppers to stop shopping with us as a result of their lack of confidence in the security of their personally identifiable information, which could have a negative impact on our sales and profitability. </w:t>
      </w:r>
      <w:r>
        <w:rPr>
          <w:rFonts w:ascii="Arial" w:cs="Arial" w:eastAsia="Arial" w:hAnsi="Arial"/>
          <w:sz w:val="17"/>
          <w:szCs w:val="17"/>
          <w:color w:val="212121"/>
        </w:rPr>
        <w:t>Like many retailers, we have seen an increase in cyberattack attempts, predominantly through phishing and</w:t>
      </w:r>
      <w:r>
        <w:rPr>
          <w:rFonts w:ascii="Arial" w:cs="Arial" w:eastAsia="Arial" w:hAnsi="Arial"/>
          <w:sz w:val="17"/>
          <w:szCs w:val="17"/>
          <w:color w:val="auto"/>
        </w:rPr>
        <w:t xml:space="preserve"> </w:t>
      </w:r>
      <w:r>
        <w:rPr>
          <w:rFonts w:ascii="Arial" w:cs="Arial" w:eastAsia="Arial" w:hAnsi="Arial"/>
          <w:sz w:val="17"/>
          <w:szCs w:val="17"/>
          <w:color w:val="212121"/>
        </w:rPr>
        <w:t xml:space="preserve">social engineering scams, and in particular, </w:t>
      </w:r>
      <w:r>
        <w:rPr>
          <w:rFonts w:ascii="Arial" w:cs="Arial" w:eastAsia="Arial" w:hAnsi="Arial"/>
          <w:sz w:val="17"/>
          <w:szCs w:val="17"/>
          <w:color w:val="252525"/>
        </w:rPr>
        <w:t>ransomware</w:t>
      </w:r>
      <w:r>
        <w:rPr>
          <w:rFonts w:ascii="Arial" w:cs="Arial" w:eastAsia="Arial" w:hAnsi="Arial"/>
          <w:sz w:val="17"/>
          <w:szCs w:val="17"/>
          <w:color w:val="212121"/>
        </w:rPr>
        <w:t xml:space="preserve">. While none of these attempts have been successful, there can be no assurance that our continued security measures will be effective or sufficient in the future. </w:t>
      </w:r>
      <w:r>
        <w:rPr>
          <w:rFonts w:ascii="Arial" w:cs="Arial" w:eastAsia="Arial" w:hAnsi="Arial"/>
          <w:sz w:val="17"/>
          <w:szCs w:val="17"/>
          <w:color w:val="000000"/>
        </w:rPr>
        <w:t>If third parties are able to penetrate our network security or otherwise misappropriate the</w:t>
      </w:r>
      <w:r>
        <w:rPr>
          <w:rFonts w:ascii="Arial" w:cs="Arial" w:eastAsia="Arial" w:hAnsi="Arial"/>
          <w:sz w:val="17"/>
          <w:szCs w:val="17"/>
          <w:color w:val="212121"/>
        </w:rPr>
        <w:t xml:space="preserve"> </w:t>
      </w:r>
      <w:r>
        <w:rPr>
          <w:rFonts w:ascii="Arial" w:cs="Arial" w:eastAsia="Arial" w:hAnsi="Arial"/>
          <w:sz w:val="17"/>
          <w:szCs w:val="17"/>
          <w:color w:val="000000"/>
        </w:rPr>
        <w:t>personal information or credit card information of our customers or if third parties gain unauthorized and improper access to such information, we could be subject to liability. These liabilities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Further, if a third party were to use this proprietary customer information in order to compete with us, it could have a material adverse impact on our business and could result in litigation.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be unable to predict fashion trends and customer preferences successfully.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websites, could have serious longer-term consequences, such as an adverse impact on our brand value and the loss of market share to our competitors.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The loss of any of our key trademarks or licenses could adversely affect demand for our products.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b w:val="1"/>
          <w:bCs w:val="1"/>
          <w:i w:val="1"/>
          <w:iCs w:val="1"/>
          <w:u w:val="single" w:color="auto"/>
          <w:color w:val="auto"/>
        </w:rPr>
        <w:t>Acts of terrorism or a catastrophic event could negatively impact our operating results and financial condition.</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depends on our ability to meet our labor needs</w:t>
      </w:r>
      <w:r>
        <w:rPr>
          <w:rFonts w:ascii="Arial" w:cs="Arial" w:eastAsia="Arial" w:hAnsi="Arial"/>
          <w:sz w:val="18"/>
          <w:szCs w:val="18"/>
          <w:b w:val="1"/>
          <w:bCs w:val="1"/>
          <w:i w:val="1"/>
          <w:iCs w:val="1"/>
          <w:color w:val="auto"/>
        </w:rPr>
        <w:t>.</w:t>
      </w: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success depends in part upon our ability to attract, motivate and retain a sufficient number of qualified employees, including store managers and sales associates, who understand and appreciate our product offerings and are able to represent our products to our customers adequately. Qualified individuals of the requisite caliber and number needed to fill these positions may be in short supply in some areas, and the turnover rate in the retail industry is high. If we are unable to hire and retain sales associates capable of consistently providing a high level of customer service, our business could be materially adversely affected. Although none of our employees is currently covered by collective bargaining agreements, our employees may elect to be represented by labor unions in the future, which could increase our labor costs. Additionally, competition for qualified employees could require us to pay higher wages to attract a sufficient number of adequate employees. An inability to recruit and retain a sufficient number of qualified individuals in the future may delay the planned openings of new stores or outlets. Any such delays, any material increases in employee turnover rates at existing stores or outlets or any increases in labor costs could have a material adverse effect on our business, financial condition or operating results.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Failure to comply with laws, rules and regulations could negatively affect our business operations and financial performance</w:t>
      </w:r>
      <w:r>
        <w:rPr>
          <w:rFonts w:ascii="Arial" w:cs="Arial" w:eastAsia="Arial" w:hAnsi="Arial"/>
          <w:sz w:val="18"/>
          <w:szCs w:val="18"/>
          <w:b w:val="1"/>
          <w:bCs w:val="1"/>
          <w:i w:val="1"/>
          <w:iCs w:val="1"/>
          <w:color w:val="auto"/>
        </w:rPr>
        <w: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business is subject to federal, state, local and international laws, rules and regulations, such as state and local wage and hour laws, the U.S. Foreign Corrupt Practices Act, the Employee Retirement Income Security Act (“ERISA”), securities laws, import and export laws (including customs regulations), privacy and information security regulations, unclaimed property laws, the Affordable Care Act and many others. The effect of some of these laws and regulations may be to increase the cost of doing business and may have a material impact on our earnings. In addition, the complexity of the regulatory environment in which we operate and the related cost of compliance are both increasing due to legal and regulatory requirements and increased enforcement. In addition, as a result of operating in the U.K., we must comply with that country’s laws and regulations, which may differ substantially from, and may conflict with, corresponding U.S. laws and regulations.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Corporate Structure and Stock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stock price has been and may continue to be extremely volatile due to many factors.</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The following factors, among others, may cause significant fluctuations in our stock price:</w:t>
      </w:r>
    </w:p>
    <w:p>
      <w:pPr>
        <w:spacing w:after="0" w:line="16" w:lineRule="exact"/>
        <w:rPr>
          <w:sz w:val="20"/>
          <w:szCs w:val="20"/>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news announcements regarding our quarterly or annual results of operations;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71" w:right="339" w:bottom="1440" w:gutter="0" w:footer="0" w:header="0"/>
        </w:sectPr>
      </w:pPr>
    </w:p>
    <w:bookmarkStart w:id="17" w:name="page18"/>
    <w:bookmarkEnd w:id="17"/>
    <w:p>
      <w:pPr>
        <w:ind w:right="6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Rights of our stockholders may be negatively affected if we issue any of the shares of preferred stock which our Board of Directors has authorized for issuance.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available for issuance up to 1,000,000 shares of preferred stock, par value $0.01 per share. Our Board of Directors is authorized to issue any or all of these shares of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the issuance of preferred stock by our Board of Directors pursuant to our certificate of incorporation, as amended, could have the effect of making it more difficult for a third party to acquire, or of discouraging a third party from acquiring, a majority of the outstanding voting stock of our Company.</w:t>
      </w:r>
    </w:p>
    <w:p>
      <w:pPr>
        <w:spacing w:after="0" w:line="232"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Our certificate of incorporation, as amended, limits transfers of our common stock and may, along with state law, inhibit potential acquisition bids that could be beneficial to our stockholders.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certificate of incorporation, as amended, contains provisions that restrict any person or entity from attempting to transfer our stock, without prior permission from the Board of Directors, to the extent that such transfer would (i) create or result in an individual 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initial annual rent payment of $4.6 million, with periodic increases every fifth anniversary of the lease. In fiscal 2006, we realized a gain of approximately $29.3 million on the sale of this property, which was deferred and is being amortized over the initial 20 years of the related lease agreement. Accordingly, our current annual rent expense of $5.2 million is offset by $1.5 million related to the amortization of this deferred gain.</w:t>
      </w:r>
    </w:p>
    <w:p>
      <w:pPr>
        <w:spacing w:after="0" w:line="16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February 3, 2018, we operated 212 Destination XL retail stores, 14 Destination XL outlet stores, 78 Casual Male XL retail stores, 33 Casual Male XL outlet stores and 5 Rochester Clothing stores. All of these stores are leased by us directly from owners of several different types of centers, including life-style centers, shopping centers, free standing buildings, outlet centers and downtown locations. The store leases are generally 5 to 10 years in length and contain renewal options extending their terms by between 5 and 10 years. Following this discussion is a listing by state of all store locations open at February 3, 2018.</w:t>
      </w:r>
    </w:p>
    <w:p>
      <w:pPr>
        <w:spacing w:after="0" w:line="15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Sites for new stores are selected on the basis of several factors, including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w:t>
      </w:r>
    </w:p>
    <w:p>
      <w:pPr>
        <w:spacing w:after="0" w:line="187"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3" w:right="25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u w:val="single" w:color="auto"/>
          <w:color w:val="auto"/>
        </w:rPr>
        <w:t>Store count by state at February 3,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7"/>
              </w:rPr>
              <w:t>Casual Male XL</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12"/>
                <w:szCs w:val="12"/>
                <w:color w:val="auto"/>
              </w:rPr>
            </w:pPr>
          </w:p>
        </w:tc>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United States</w:t>
            </w:r>
          </w:p>
        </w:tc>
        <w:tc>
          <w:tcPr>
            <w:tcW w:w="28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DXL retail and</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and Rochester</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20" w:type="dxa"/>
            <w:vAlign w:val="bottom"/>
            <w:vMerge w:val="continue"/>
          </w:tcPr>
          <w:p>
            <w:pPr>
              <w:spacing w:after="0"/>
              <w:rPr>
                <w:sz w:val="15"/>
                <w:szCs w:val="15"/>
                <w:color w:val="auto"/>
              </w:rPr>
            </w:pPr>
          </w:p>
        </w:tc>
        <w:tc>
          <w:tcPr>
            <w:tcW w:w="2760" w:type="dxa"/>
            <w:vAlign w:val="bottom"/>
            <w:gridSpan w:val="3"/>
            <w:vMerge w:val="continue"/>
          </w:tcPr>
          <w:p>
            <w:pPr>
              <w:spacing w:after="0"/>
              <w:rPr>
                <w:sz w:val="15"/>
                <w:szCs w:val="15"/>
                <w:color w:val="auto"/>
              </w:rPr>
            </w:pPr>
          </w:p>
        </w:tc>
        <w:tc>
          <w:tcPr>
            <w:tcW w:w="2880" w:type="dxa"/>
            <w:vAlign w:val="bottom"/>
          </w:tcPr>
          <w:p>
            <w:pPr>
              <w:spacing w:after="0"/>
              <w:rPr>
                <w:sz w:val="15"/>
                <w:szCs w:val="15"/>
                <w:color w:val="auto"/>
              </w:rPr>
            </w:pPr>
          </w:p>
        </w:tc>
        <w:tc>
          <w:tcPr>
            <w:tcW w:w="1040" w:type="dxa"/>
            <w:vAlign w:val="bottom"/>
            <w:gridSpan w:val="2"/>
          </w:tcPr>
          <w:p>
            <w:pPr>
              <w:ind w:left="120"/>
              <w:spacing w:after="0" w:line="154" w:lineRule="exact"/>
              <w:rPr>
                <w:sz w:val="20"/>
                <w:szCs w:val="20"/>
                <w:color w:val="auto"/>
              </w:rPr>
            </w:pPr>
            <w:r>
              <w:rPr>
                <w:rFonts w:ascii="Arial" w:cs="Arial" w:eastAsia="Arial" w:hAnsi="Arial"/>
                <w:sz w:val="14"/>
                <w:szCs w:val="14"/>
                <w:color w:val="auto"/>
              </w:rPr>
              <w:t>DXL outlets</w:t>
            </w:r>
          </w:p>
        </w:tc>
        <w:tc>
          <w:tcPr>
            <w:tcW w:w="130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94"/>
              </w:rPr>
              <w:t>Clothing stores</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8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5"/>
              </w:rPr>
              <w:t>Alabama</w:t>
            </w:r>
          </w:p>
        </w:tc>
        <w:tc>
          <w:tcPr>
            <w:tcW w:w="1940" w:type="dxa"/>
            <w:vAlign w:val="bottom"/>
            <w:tcBorders>
              <w:top w:val="single" w:sz="8" w:color="CFF0FC"/>
            </w:tcBorders>
            <w:gridSpan w:val="2"/>
            <w:shd w:val="clear" w:color="auto" w:fill="CFF0FC"/>
          </w:tcPr>
          <w:p>
            <w:pPr>
              <w:spacing w:after="0"/>
              <w:rPr>
                <w:sz w:val="18"/>
                <w:szCs w:val="18"/>
                <w:color w:val="auto"/>
              </w:rPr>
            </w:pPr>
          </w:p>
        </w:tc>
        <w:tc>
          <w:tcPr>
            <w:tcW w:w="28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center"/>
              <w:ind w:left="11"/>
              <w:spacing w:after="0"/>
              <w:rPr>
                <w:sz w:val="20"/>
                <w:szCs w:val="20"/>
                <w:color w:val="auto"/>
              </w:rPr>
            </w:pPr>
            <w:r>
              <w:rPr>
                <w:rFonts w:ascii="Arial" w:cs="Arial" w:eastAsia="Arial" w:hAnsi="Arial"/>
                <w:sz w:val="18"/>
                <w:szCs w:val="18"/>
                <w:color w:val="auto"/>
                <w:w w:val="79"/>
              </w:rPr>
              <w:t>2</w:t>
            </w:r>
          </w:p>
        </w:tc>
        <w:tc>
          <w:tcPr>
            <w:tcW w:w="80" w:type="dxa"/>
            <w:vAlign w:val="bottom"/>
            <w:tcBorders>
              <w:top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Arizona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Arkansas</w:t>
            </w:r>
          </w:p>
        </w:tc>
        <w:tc>
          <w:tcPr>
            <w:tcW w:w="28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California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89"/>
              </w:rPr>
              <w:t>25</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Colorado</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Connecticut</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Delaware</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District of Columbia</w:t>
            </w:r>
          </w:p>
        </w:tc>
        <w:tc>
          <w:tcPr>
            <w:tcW w:w="2880" w:type="dxa"/>
            <w:vAlign w:val="bottom"/>
          </w:tcPr>
          <w:p>
            <w:pPr>
              <w:spacing w:after="0"/>
              <w:rPr>
                <w:sz w:val="19"/>
                <w:szCs w:val="19"/>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Florida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89"/>
              </w:rPr>
              <w:t>11</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Georgia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Idaho</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Illinois</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89"/>
              </w:rPr>
              <w:t>12</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Indiana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6</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Iowa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Kansas</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Kentucky</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Louisiana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Maine</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Maryland</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5</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Massachusetts</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Michigan</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89"/>
              </w:rPr>
              <w:t>13</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Minnesota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Mississippi</w:t>
            </w:r>
          </w:p>
        </w:tc>
        <w:tc>
          <w:tcPr>
            <w:tcW w:w="28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Missouri</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Montana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Nebraska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Nevada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New Hampshire</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New Jersey</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7</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New Mexico</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New York</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89"/>
              </w:rPr>
              <w:t>14</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North Carolina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North Dakota</w:t>
            </w:r>
          </w:p>
        </w:tc>
        <w:tc>
          <w:tcPr>
            <w:tcW w:w="28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Ohio</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Oklahoma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Oregon</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Pennsylvania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Rhode Island</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South Carolina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South Dakota</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Tennessee</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7</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Texas</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89"/>
              </w:rPr>
              <w:t>22</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Utah</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Vermont</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Virginia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5</w:t>
            </w: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Washington</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West Virginia</w:t>
            </w:r>
          </w:p>
        </w:tc>
        <w:tc>
          <w:tcPr>
            <w:tcW w:w="28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Wisconsin</w:t>
            </w:r>
          </w:p>
        </w:tc>
        <w:tc>
          <w:tcPr>
            <w:tcW w:w="3840" w:type="dxa"/>
            <w:vAlign w:val="bottom"/>
            <w:gridSpan w:val="2"/>
          </w:tcPr>
          <w:p>
            <w:pPr>
              <w:jc w:val="center"/>
              <w:ind w:left="2770"/>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9"/>
                <w:szCs w:val="19"/>
                <w:color w:val="auto"/>
              </w:rPr>
            </w:pP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20" w:type="dxa"/>
            <w:vAlign w:val="bottom"/>
            <w:vMerge w:val="continue"/>
          </w:tcPr>
          <w:p>
            <w:pPr>
              <w:spacing w:after="0"/>
              <w:rPr>
                <w:sz w:val="16"/>
                <w:szCs w:val="16"/>
                <w:color w:val="auto"/>
              </w:rPr>
            </w:pPr>
          </w:p>
        </w:tc>
        <w:tc>
          <w:tcPr>
            <w:tcW w:w="27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International</w:t>
            </w:r>
          </w:p>
        </w:tc>
        <w:tc>
          <w:tcPr>
            <w:tcW w:w="2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tcPr>
          <w:p>
            <w:pPr>
              <w:spacing w:after="0"/>
              <w:rPr>
                <w:sz w:val="19"/>
                <w:szCs w:val="19"/>
                <w:color w:val="auto"/>
              </w:rPr>
            </w:pPr>
          </w:p>
        </w:tc>
        <w:tc>
          <w:tcPr>
            <w:tcW w:w="27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Toronto, Canada</w:t>
            </w:r>
          </w:p>
        </w:tc>
        <w:tc>
          <w:tcPr>
            <w:tcW w:w="3840" w:type="dxa"/>
            <w:vAlign w:val="bottom"/>
            <w:gridSpan w:val="2"/>
            <w:shd w:val="clear" w:color="auto" w:fill="CFF0FC"/>
          </w:tcPr>
          <w:p>
            <w:pPr>
              <w:jc w:val="center"/>
              <w:ind w:left="2770"/>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760" w:type="dxa"/>
            <w:vAlign w:val="bottom"/>
            <w:gridSpan w:val="3"/>
          </w:tcPr>
          <w:p>
            <w:pPr>
              <w:ind w:left="120"/>
              <w:spacing w:after="0"/>
              <w:rPr>
                <w:sz w:val="20"/>
                <w:szCs w:val="20"/>
                <w:color w:val="auto"/>
              </w:rPr>
            </w:pPr>
            <w:r>
              <w:rPr>
                <w:rFonts w:ascii="Arial" w:cs="Arial" w:eastAsia="Arial" w:hAnsi="Arial"/>
                <w:sz w:val="18"/>
                <w:szCs w:val="18"/>
                <w:color w:val="auto"/>
              </w:rPr>
              <w:t>London, England</w:t>
            </w:r>
          </w:p>
        </w:tc>
        <w:tc>
          <w:tcPr>
            <w:tcW w:w="2880" w:type="dxa"/>
            <w:vAlign w:val="bottom"/>
          </w:tcPr>
          <w:p>
            <w:pPr>
              <w:spacing w:after="0"/>
              <w:rPr>
                <w:sz w:val="20"/>
                <w:szCs w:val="20"/>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11"/>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80" w:type="dxa"/>
            <w:vAlign w:val="bottom"/>
          </w:tcPr>
          <w:p>
            <w:pPr>
              <w:jc w:val="right"/>
              <w:ind w:right="1470"/>
              <w:spacing w:after="0"/>
              <w:rPr>
                <w:sz w:val="20"/>
                <w:szCs w:val="20"/>
                <w:color w:val="auto"/>
              </w:rPr>
            </w:pPr>
            <w:r>
              <w:rPr>
                <w:rFonts w:ascii="Arial" w:cs="Arial" w:eastAsia="Arial" w:hAnsi="Arial"/>
                <w:sz w:val="18"/>
                <w:szCs w:val="18"/>
                <w:color w:val="auto"/>
              </w:rPr>
              <w:t>20</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43"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40"/>
          </w:cols>
          <w:pgMar w:left="240" w:top="607" w:right="91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60" w:right="2440" w:hanging="258"/>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Market Information</w:t>
      </w:r>
    </w:p>
    <w:p>
      <w:pPr>
        <w:spacing w:after="0"/>
        <w:rPr>
          <w:sz w:val="20"/>
          <w:szCs w:val="20"/>
          <w:color w:val="auto"/>
        </w:rPr>
      </w:pPr>
      <w:r>
        <w:rPr>
          <w:rFonts w:ascii="Arial" w:cs="Arial" w:eastAsia="Arial" w:hAnsi="Arial"/>
          <w:sz w:val="18"/>
          <w:szCs w:val="18"/>
          <w:color w:val="auto"/>
        </w:rPr>
        <w:t>Our common stock is listed for trading on the NASDAQ Global Select Market under the symbol “DXLG”.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per share sales prices for the common stock, as reported on Nasdaq.</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High</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8"/>
              </w:rPr>
              <w:t>Fiscal Year Ended February 3, 2018</w:t>
            </w:r>
          </w:p>
        </w:tc>
        <w:tc>
          <w:tcPr>
            <w:tcW w:w="286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3.70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2.75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2.15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2.70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7"/>
              </w:rPr>
              <w:t>Fiscal Year Ended January 28, 2017</w:t>
            </w:r>
          </w:p>
        </w:tc>
        <w:tc>
          <w:tcPr>
            <w:tcW w:w="28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5.88</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5.54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5.57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5.00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March 16, 2018, based upon data provided by the transfer agent for our common stock, there were approximately 87 holders of record of our common stock. The number of holders does not include individuals or entities who beneficially own shares but whose shares are held of record by a broker or clearing agent.</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March 17, 2017, the Company’s Board of Directors approved a stock repurchase plan. Under the stock repurchase plan, the Company could purchase up to $12.0 million of its common stock through open market and privately negotiated transactions during fiscal 2017. Through February 3, 2018, the Company purchased 1,878,434 shares of common stock at an average price of $2.49 per share. There were no stock repurchases during the fourth quarter of fiscal 2017 and the Board-approved stock repurchase plan expired at the end of the fiscal year on February 3, 2018.</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43"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Performance Graph compares our cumulative stockholder return with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2013. We paid no cash dividends during the periods shown. The performance of the indices is shown on a total return (dividends reinvested) basis. The graph lines merely connect January 31 of each year and do not reflect fluctuations between those dates. In addition, we have included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268605</wp:posOffset>
            </wp:positionV>
            <wp:extent cx="5702935" cy="21183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293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88"/>
              </w:rPr>
              <w:t>Company/Index</w:t>
            </w:r>
          </w:p>
        </w:tc>
        <w:tc>
          <w:tcPr>
            <w:tcW w:w="2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5"/>
          </w:tcPr>
          <w:p>
            <w:pPr>
              <w:jc w:val="center"/>
              <w:ind w:right="560"/>
              <w:spacing w:after="0"/>
              <w:rPr>
                <w:sz w:val="20"/>
                <w:szCs w:val="20"/>
                <w:color w:val="auto"/>
              </w:rPr>
            </w:pPr>
            <w:r>
              <w:rPr>
                <w:rFonts w:ascii="Arial" w:cs="Arial" w:eastAsia="Arial" w:hAnsi="Arial"/>
                <w:sz w:val="14"/>
                <w:szCs w:val="14"/>
                <w:color w:val="auto"/>
                <w:w w:val="85"/>
              </w:rPr>
              <w:t>Jan 14</w:t>
            </w:r>
          </w:p>
        </w:tc>
        <w:tc>
          <w:tcPr>
            <w:tcW w:w="1120" w:type="dxa"/>
            <w:vAlign w:val="bottom"/>
            <w:gridSpan w:val="5"/>
          </w:tcPr>
          <w:p>
            <w:pPr>
              <w:jc w:val="right"/>
              <w:ind w:right="620"/>
              <w:spacing w:after="0"/>
              <w:rPr>
                <w:sz w:val="20"/>
                <w:szCs w:val="20"/>
                <w:color w:val="auto"/>
              </w:rPr>
            </w:pPr>
            <w:r>
              <w:rPr>
                <w:rFonts w:ascii="Arial" w:cs="Arial" w:eastAsia="Arial" w:hAnsi="Arial"/>
                <w:sz w:val="14"/>
                <w:szCs w:val="14"/>
                <w:color w:val="auto"/>
              </w:rPr>
              <w:t>Jan 15</w:t>
            </w:r>
          </w:p>
        </w:tc>
        <w:tc>
          <w:tcPr>
            <w:tcW w:w="1180" w:type="dxa"/>
            <w:vAlign w:val="bottom"/>
            <w:gridSpan w:val="5"/>
          </w:tcPr>
          <w:p>
            <w:pPr>
              <w:ind w:left="200"/>
              <w:spacing w:after="0"/>
              <w:rPr>
                <w:sz w:val="20"/>
                <w:szCs w:val="20"/>
                <w:color w:val="auto"/>
              </w:rPr>
            </w:pPr>
            <w:r>
              <w:rPr>
                <w:rFonts w:ascii="Arial" w:cs="Arial" w:eastAsia="Arial" w:hAnsi="Arial"/>
                <w:sz w:val="14"/>
                <w:szCs w:val="14"/>
                <w:color w:val="auto"/>
              </w:rPr>
              <w:t>Jan 16</w:t>
            </w:r>
          </w:p>
        </w:tc>
        <w:tc>
          <w:tcPr>
            <w:tcW w:w="160" w:type="dxa"/>
            <w:vAlign w:val="bottom"/>
          </w:tcPr>
          <w:p>
            <w:pPr>
              <w:spacing w:after="0"/>
              <w:rPr>
                <w:sz w:val="15"/>
                <w:szCs w:val="15"/>
                <w:color w:val="auto"/>
              </w:rPr>
            </w:pPr>
          </w:p>
        </w:tc>
        <w:tc>
          <w:tcPr>
            <w:tcW w:w="1060" w:type="dxa"/>
            <w:vAlign w:val="bottom"/>
            <w:gridSpan w:val="4"/>
          </w:tcPr>
          <w:p>
            <w:pPr>
              <w:jc w:val="right"/>
              <w:ind w:right="600"/>
              <w:spacing w:after="0"/>
              <w:rPr>
                <w:sz w:val="20"/>
                <w:szCs w:val="20"/>
                <w:color w:val="auto"/>
              </w:rPr>
            </w:pPr>
            <w:r>
              <w:rPr>
                <w:rFonts w:ascii="Arial" w:cs="Arial" w:eastAsia="Arial" w:hAnsi="Arial"/>
                <w:sz w:val="14"/>
                <w:szCs w:val="14"/>
                <w:color w:val="auto"/>
              </w:rPr>
              <w:t>Jan 17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right"/>
              <w:ind w:right="480"/>
              <w:spacing w:after="0"/>
              <w:rPr>
                <w:sz w:val="20"/>
                <w:szCs w:val="20"/>
                <w:color w:val="auto"/>
              </w:rPr>
            </w:pPr>
            <w:r>
              <w:rPr>
                <w:rFonts w:ascii="Arial" w:cs="Arial" w:eastAsia="Arial" w:hAnsi="Arial"/>
                <w:sz w:val="14"/>
                <w:szCs w:val="14"/>
                <w:color w:val="auto"/>
                <w:w w:val="95"/>
              </w:rPr>
              <w:t>Jan 18</w:t>
            </w:r>
          </w:p>
        </w:tc>
      </w:tr>
      <w:tr>
        <w:trPr>
          <w:trHeight w:val="21"/>
        </w:trPr>
        <w:tc>
          <w:tcPr>
            <w:tcW w:w="20" w:type="dxa"/>
            <w:vAlign w:val="bottom"/>
          </w:tcPr>
          <w:p>
            <w:pPr>
              <w:spacing w:after="0" w:line="20" w:lineRule="exact"/>
              <w:rPr>
                <w:sz w:val="1"/>
                <w:szCs w:val="1"/>
                <w:color w:val="auto"/>
              </w:rPr>
            </w:pPr>
          </w:p>
        </w:tc>
        <w:tc>
          <w:tcPr>
            <w:tcW w:w="1140" w:type="dxa"/>
            <w:vAlign w:val="bottom"/>
            <w:tcBorders>
              <w:bottom w:val="single" w:sz="8" w:color="CFF0FC"/>
            </w:tcBorders>
          </w:tcPr>
          <w:p>
            <w:pPr>
              <w:spacing w:after="0" w:line="20" w:lineRule="exact"/>
              <w:rPr>
                <w:sz w:val="1"/>
                <w:szCs w:val="1"/>
                <w:color w:val="auto"/>
              </w:rPr>
            </w:pPr>
          </w:p>
        </w:tc>
        <w:tc>
          <w:tcPr>
            <w:tcW w:w="248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DXLG</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17.0%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(21.8%)</w:t>
            </w: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20.4%</w:t>
            </w: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Dow Jones U.S. Apparel Retailers</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12.1%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9.4%</w:t>
            </w:r>
          </w:p>
        </w:tc>
      </w:tr>
      <w:tr>
        <w:trPr>
          <w:trHeight w:val="567"/>
        </w:trPr>
        <w:tc>
          <w:tcPr>
            <w:tcW w:w="3640" w:type="dxa"/>
            <w:vAlign w:val="bottom"/>
            <w:gridSpan w:val="3"/>
          </w:tcPr>
          <w:p>
            <w:pPr>
              <w:spacing w:after="0"/>
              <w:rPr>
                <w:sz w:val="20"/>
                <w:szCs w:val="20"/>
                <w:color w:val="auto"/>
              </w:rPr>
            </w:pPr>
            <w:r>
              <w:rPr>
                <w:rFonts w:ascii="Arial" w:cs="Arial" w:eastAsia="Arial" w:hAnsi="Arial"/>
                <w:sz w:val="18"/>
                <w:szCs w:val="18"/>
                <w:b w:val="1"/>
                <w:bCs w:val="1"/>
                <w:color w:val="auto"/>
              </w:rPr>
              <w:t>Indexed Returns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Base Period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Jan 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color w:val="auto"/>
              </w:rPr>
              <w:t>Jan 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4"/>
                <w:szCs w:val="14"/>
                <w:color w:val="auto"/>
              </w:rPr>
              <w:t>Jan 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color w:val="auto"/>
              </w:rPr>
              <w:t>Jan 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4"/>
                <w:szCs w:val="14"/>
                <w:color w:val="auto"/>
              </w:rPr>
              <w:t>Jan 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4"/>
                <w:szCs w:val="14"/>
                <w:color w:val="auto"/>
              </w:rPr>
              <w:t>Jan 18</w:t>
            </w:r>
          </w:p>
        </w:tc>
      </w:tr>
      <w:tr>
        <w:trPr>
          <w:trHeight w:val="203"/>
        </w:trPr>
        <w:tc>
          <w:tcPr>
            <w:tcW w:w="20" w:type="dxa"/>
            <w:vAlign w:val="bottom"/>
          </w:tcPr>
          <w:p>
            <w:pPr>
              <w:spacing w:after="0"/>
              <w:rPr>
                <w:sz w:val="17"/>
                <w:szCs w:val="17"/>
                <w:color w:val="auto"/>
              </w:rPr>
            </w:pPr>
          </w:p>
        </w:tc>
        <w:tc>
          <w:tcPr>
            <w:tcW w:w="362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Company/Index</w:t>
            </w:r>
          </w:p>
        </w:tc>
        <w:tc>
          <w:tcPr>
            <w:tcW w:w="1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DXLG</w:t>
            </w:r>
          </w:p>
        </w:tc>
        <w:tc>
          <w:tcPr>
            <w:tcW w:w="2480" w:type="dxa"/>
            <w:vAlign w:val="bottom"/>
            <w:tcBorders>
              <w:top w:val="single" w:sz="8" w:color="CFF0FC"/>
            </w:tcBorders>
          </w:tcPr>
          <w:p>
            <w:pPr>
              <w:spacing w:after="0"/>
              <w:rPr>
                <w:sz w:val="19"/>
                <w:szCs w:val="19"/>
                <w:color w:val="auto"/>
              </w:rPr>
            </w:pPr>
          </w:p>
        </w:tc>
        <w:tc>
          <w:tcPr>
            <w:tcW w:w="12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FF0FC"/>
            </w:tcBorders>
            <w:gridSpan w:val="2"/>
          </w:tcPr>
          <w:p>
            <w:pPr>
              <w:jc w:val="center"/>
              <w:ind w:left="9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116.96</w:t>
            </w:r>
          </w:p>
        </w:tc>
        <w:tc>
          <w:tcPr>
            <w:tcW w:w="36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110.43</w:t>
            </w:r>
          </w:p>
        </w:tc>
        <w:tc>
          <w:tcPr>
            <w:tcW w:w="380" w:type="dxa"/>
            <w:vAlign w:val="bottom"/>
            <w:tcBorders>
              <w:top w:val="single" w:sz="8" w:color="CFF0FC"/>
            </w:tcBorders>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93.48</w:t>
            </w:r>
          </w:p>
        </w:tc>
        <w:tc>
          <w:tcPr>
            <w:tcW w:w="60" w:type="dxa"/>
            <w:vAlign w:val="bottom"/>
            <w:tcBorders>
              <w:top w:val="single" w:sz="8" w:color="CFF0FC"/>
            </w:tcBorders>
          </w:tcPr>
          <w:p>
            <w:pPr>
              <w:spacing w:after="0"/>
              <w:rPr>
                <w:sz w:val="19"/>
                <w:szCs w:val="19"/>
                <w:color w:val="auto"/>
              </w:rPr>
            </w:pPr>
          </w:p>
        </w:tc>
        <w:tc>
          <w:tcPr>
            <w:tcW w:w="340" w:type="dxa"/>
            <w:vAlign w:val="bottom"/>
            <w:tcBorders>
              <w:top w:val="single" w:sz="8" w:color="CFF0FC"/>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71.74</w:t>
            </w:r>
          </w:p>
        </w:tc>
        <w:tc>
          <w:tcPr>
            <w:tcW w:w="16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56.09</w:t>
            </w:r>
          </w:p>
        </w:tc>
        <w:tc>
          <w:tcPr>
            <w:tcW w:w="100" w:type="dxa"/>
            <w:vAlign w:val="bottom"/>
            <w:tcBorders>
              <w:top w:val="single" w:sz="8" w:color="CFF0FC"/>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S&amp;P 500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FF0FC"/>
          </w:tcPr>
          <w:p>
            <w:pPr>
              <w:jc w:val="center"/>
              <w:ind w:left="94"/>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118.99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133.17</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129.51</w:t>
            </w:r>
          </w:p>
        </w:tc>
        <w:tc>
          <w:tcPr>
            <w:tcW w:w="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153.17</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184.37</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Dow Jones U.S. Apparel Retailers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jc w:val="center"/>
              <w:ind w:left="94"/>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112.12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133.75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129.93</w:t>
            </w:r>
          </w:p>
        </w:tc>
        <w:tc>
          <w:tcPr>
            <w:tcW w:w="60" w:type="dxa"/>
            <w:vAlign w:val="bottom"/>
          </w:tcPr>
          <w:p>
            <w:pPr>
              <w:spacing w:after="0"/>
              <w:rPr>
                <w:sz w:val="20"/>
                <w:szCs w:val="20"/>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124.06</w:t>
            </w:r>
          </w:p>
        </w:tc>
        <w:tc>
          <w:tcPr>
            <w:tcW w:w="16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135.74</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February 3, 2018 and should be read in conjunction with “Management’s Discussion and Analysis of Financial Condition and Results of Operations” and our accompanying Consolidated Financial Statements and Notes thereto.</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derived the selected financial data presented below for the periods or dates indicated from our consolidated financial statements. Our consolidated financial statements as of and for the five-year period ended February 3, 2018 were audited by KPMG LLP, an independent registered public accounting firm. Our consolidated financial statements as of and for the years ended February 3, 2018, January 28, 2017 and January 30, 2016 are included in this Annual Report.</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color w:val="auto"/>
                <w:w w:val="87"/>
              </w:rPr>
              <w:t xml:space="preserve">Fiscal Years Ended </w:t>
            </w:r>
            <w:r>
              <w:rPr>
                <w:rFonts w:ascii="Arial" w:cs="Arial" w:eastAsia="Arial" w:hAnsi="Arial"/>
                <w:sz w:val="27"/>
                <w:szCs w:val="27"/>
                <w:color w:val="auto"/>
                <w:w w:val="87"/>
                <w:vertAlign w:val="superscript"/>
              </w:rPr>
              <w:t>(1)</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6"/>
                <w:szCs w:val="16"/>
                <w:color w:val="auto"/>
                <w:w w:val="90"/>
              </w:rPr>
              <w:t>February</w:t>
            </w:r>
          </w:p>
        </w:tc>
        <w:tc>
          <w:tcPr>
            <w:tcW w:w="80" w:type="dxa"/>
            <w:vAlign w:val="bottom"/>
          </w:tcPr>
          <w:p>
            <w:pPr>
              <w:spacing w:after="0"/>
              <w:rPr>
                <w:sz w:val="17"/>
                <w:szCs w:val="17"/>
                <w:color w:val="auto"/>
              </w:rPr>
            </w:pPr>
          </w:p>
        </w:tc>
        <w:tc>
          <w:tcPr>
            <w:tcW w:w="1140" w:type="dxa"/>
            <w:vAlign w:val="bottom"/>
            <w:gridSpan w:val="2"/>
          </w:tcPr>
          <w:p>
            <w:pPr>
              <w:jc w:val="center"/>
              <w:ind w:right="279"/>
              <w:spacing w:after="0"/>
              <w:rPr>
                <w:sz w:val="20"/>
                <w:szCs w:val="20"/>
                <w:color w:val="auto"/>
              </w:rPr>
            </w:pPr>
            <w:r>
              <w:rPr>
                <w:rFonts w:ascii="Arial" w:cs="Arial" w:eastAsia="Arial" w:hAnsi="Arial"/>
                <w:sz w:val="16"/>
                <w:szCs w:val="16"/>
                <w:color w:val="auto"/>
                <w:w w:val="87"/>
              </w:rPr>
              <w:t>January</w:t>
            </w:r>
          </w:p>
        </w:tc>
        <w:tc>
          <w:tcPr>
            <w:tcW w:w="14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6"/>
                <w:szCs w:val="16"/>
                <w:color w:val="auto"/>
                <w:w w:val="87"/>
              </w:rPr>
              <w:t>January</w:t>
            </w:r>
          </w:p>
        </w:tc>
        <w:tc>
          <w:tcPr>
            <w:tcW w:w="140" w:type="dxa"/>
            <w:vAlign w:val="bottom"/>
          </w:tcPr>
          <w:p>
            <w:pPr>
              <w:spacing w:after="0"/>
              <w:rPr>
                <w:sz w:val="17"/>
                <w:szCs w:val="17"/>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6"/>
                <w:szCs w:val="16"/>
                <w:color w:val="auto"/>
                <w:w w:val="87"/>
              </w:rPr>
              <w:t>January</w:t>
            </w:r>
          </w:p>
        </w:tc>
        <w:tc>
          <w:tcPr>
            <w:tcW w:w="14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February</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79"/>
              <w:spacing w:after="0"/>
              <w:rPr>
                <w:sz w:val="20"/>
                <w:szCs w:val="20"/>
                <w:color w:val="auto"/>
              </w:rPr>
            </w:pPr>
            <w:r>
              <w:rPr>
                <w:rFonts w:ascii="Arial" w:cs="Arial" w:eastAsia="Arial" w:hAnsi="Arial"/>
                <w:sz w:val="16"/>
                <w:szCs w:val="16"/>
                <w:color w:val="auto"/>
                <w:w w:val="93"/>
              </w:rPr>
              <w:t>3, 2018</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color w:val="auto"/>
                <w:w w:val="93"/>
              </w:rPr>
              <w:t>28, 2017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30, 2016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31, 2015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1, 2014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6"/>
                <w:szCs w:val="16"/>
                <w:color w:val="auto"/>
                <w:w w:val="92"/>
              </w:rPr>
              <w:t>(Fiscal 2017)</w:t>
            </w:r>
          </w:p>
        </w:tc>
        <w:tc>
          <w:tcPr>
            <w:tcW w:w="1220" w:type="dxa"/>
            <w:vAlign w:val="bottom"/>
            <w:gridSpan w:val="3"/>
          </w:tcPr>
          <w:p>
            <w:pPr>
              <w:jc w:val="center"/>
              <w:ind w:right="199"/>
              <w:spacing w:after="0"/>
              <w:rPr>
                <w:sz w:val="20"/>
                <w:szCs w:val="20"/>
                <w:color w:val="auto"/>
              </w:rPr>
            </w:pPr>
            <w:r>
              <w:rPr>
                <w:rFonts w:ascii="Arial" w:cs="Arial" w:eastAsia="Arial" w:hAnsi="Arial"/>
                <w:sz w:val="16"/>
                <w:szCs w:val="16"/>
                <w:color w:val="auto"/>
                <w:w w:val="92"/>
              </w:rPr>
              <w:t>(Fiscal 2016)</w:t>
            </w: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(Fiscal 2015)</w:t>
            </w:r>
          </w:p>
        </w:tc>
        <w:tc>
          <w:tcPr>
            <w:tcW w:w="1300" w:type="dxa"/>
            <w:vAlign w:val="bottom"/>
            <w:gridSpan w:val="3"/>
          </w:tcPr>
          <w:p>
            <w:pPr>
              <w:jc w:val="center"/>
              <w:ind w:right="320"/>
              <w:spacing w:after="0"/>
              <w:rPr>
                <w:sz w:val="20"/>
                <w:szCs w:val="20"/>
                <w:color w:val="auto"/>
              </w:rPr>
            </w:pPr>
            <w:r>
              <w:rPr>
                <w:rFonts w:ascii="Arial" w:cs="Arial" w:eastAsia="Arial" w:hAnsi="Arial"/>
                <w:sz w:val="16"/>
                <w:szCs w:val="16"/>
                <w:color w:val="auto"/>
                <w:w w:val="92"/>
              </w:rPr>
              <w:t>(Fiscal 2014)</w:t>
            </w:r>
          </w:p>
        </w:tc>
        <w:tc>
          <w:tcPr>
            <w:tcW w:w="120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(Fiscal 2013)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gridSpan w:val="8"/>
          </w:tcPr>
          <w:p>
            <w:pPr>
              <w:jc w:val="center"/>
              <w:ind w:right="480"/>
              <w:spacing w:after="0"/>
              <w:rPr>
                <w:sz w:val="20"/>
                <w:szCs w:val="20"/>
                <w:color w:val="auto"/>
              </w:rPr>
            </w:pPr>
            <w:r>
              <w:rPr>
                <w:rFonts w:ascii="Arial" w:cs="Arial" w:eastAsia="Arial" w:hAnsi="Arial"/>
                <w:sz w:val="16"/>
                <w:szCs w:val="16"/>
                <w:i w:val="1"/>
                <w:iCs w:val="1"/>
                <w:color w:val="auto"/>
                <w:w w:val="93"/>
              </w:rPr>
              <w:t>(In millions, except per share and operating data)</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INCOME STATEMENT DATA:</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rPr>
                <w:sz w:val="20"/>
                <w:szCs w:val="20"/>
                <w:color w:val="auto"/>
              </w:rPr>
            </w:pPr>
            <w:r>
              <w:rPr>
                <w:rFonts w:ascii="Arial" w:cs="Arial" w:eastAsia="Arial" w:hAnsi="Arial"/>
                <w:sz w:val="16"/>
                <w:szCs w:val="16"/>
                <w:color w:val="auto"/>
              </w:rPr>
              <w:t>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468.0</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450.3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442.2</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414.0</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Gross profit, net of occupancy costs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210.4</w:t>
            </w:r>
          </w:p>
        </w:tc>
        <w:tc>
          <w:tcPr>
            <w:tcW w:w="3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w:t>
            </w:r>
          </w:p>
        </w:tc>
        <w:tc>
          <w:tcPr>
            <w:tcW w:w="3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w:t>
            </w: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Impairment of assets </w:t>
            </w:r>
            <w:r>
              <w:rPr>
                <w:rFonts w:ascii="Arial" w:cs="Arial" w:eastAsia="Arial" w:hAnsi="Arial"/>
                <w:sz w:val="25"/>
                <w:szCs w:val="25"/>
                <w:color w:val="auto"/>
                <w:vertAlign w:val="superscript"/>
              </w:rPr>
              <w:t>(2)</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3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Operating income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6"/>
                <w:szCs w:val="16"/>
                <w:b w:val="1"/>
                <w:bCs w:val="1"/>
                <w:color w:val="auto"/>
              </w:rPr>
              <w:t>(18.0)</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(5.1)</w:t>
            </w: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(8.8)</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(13.5)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20"/>
              <w:spacing w:after="0" w:line="216" w:lineRule="exact"/>
              <w:rPr>
                <w:sz w:val="20"/>
                <w:szCs w:val="20"/>
                <w:color w:val="auto"/>
              </w:rPr>
            </w:pPr>
            <w:r>
              <w:rPr>
                <w:rFonts w:ascii="Arial" w:cs="Arial" w:eastAsia="Arial" w:hAnsi="Arial"/>
                <w:sz w:val="15"/>
                <w:szCs w:val="15"/>
                <w:color w:val="auto"/>
              </w:rPr>
              <w:t xml:space="preserve">(2.6)  </w:t>
            </w:r>
            <w:r>
              <w:rPr>
                <w:rFonts w:ascii="Arial" w:cs="Arial" w:eastAsia="Arial" w:hAnsi="Arial"/>
                <w:sz w:val="25"/>
                <w:szCs w:val="25"/>
                <w:color w:val="auto"/>
                <w:vertAlign w:val="subscript"/>
              </w:rPr>
              <w:t>(5)</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(5)</w:t>
            </w: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rPr>
                <w:sz w:val="20"/>
                <w:szCs w:val="20"/>
                <w:color w:val="auto"/>
              </w:rPr>
            </w:pPr>
            <w:r>
              <w:rPr>
                <w:rFonts w:ascii="Arial" w:cs="Arial" w:eastAsia="Arial" w:hAnsi="Arial"/>
                <w:sz w:val="16"/>
                <w:szCs w:val="16"/>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19"/>
              <w:spacing w:after="0"/>
              <w:rPr>
                <w:sz w:val="20"/>
                <w:szCs w:val="20"/>
                <w:color w:val="auto"/>
              </w:rPr>
            </w:pPr>
            <w:r>
              <w:rPr>
                <w:rFonts w:ascii="Arial" w:cs="Arial" w:eastAsia="Arial" w:hAnsi="Arial"/>
                <w:sz w:val="16"/>
                <w:szCs w:val="16"/>
                <w:color w:val="auto"/>
              </w:rPr>
              <w:t>(2.3)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(60.3)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(18.8)</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(2.3)</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(8.4)</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(12.3)</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 per share -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(0.39)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19"/>
              <w:spacing w:after="0"/>
              <w:rPr>
                <w:sz w:val="20"/>
                <w:szCs w:val="20"/>
                <w:color w:val="auto"/>
              </w:rPr>
            </w:pPr>
            <w:r>
              <w:rPr>
                <w:rFonts w:ascii="Arial" w:cs="Arial" w:eastAsia="Arial" w:hAnsi="Arial"/>
                <w:sz w:val="16"/>
                <w:szCs w:val="16"/>
                <w:color w:val="auto"/>
              </w:rPr>
              <w:t>(0.05)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(0.17)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(0.23)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(loss) per share -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6"/>
                <w:szCs w:val="16"/>
                <w:b w:val="1"/>
                <w:bCs w:val="1"/>
                <w:color w:val="auto"/>
              </w:rPr>
              <w:t>(0.39)</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right w:val="single" w:sz="8" w:color="CFF0FC"/>
            </w:tcBorders>
            <w:gridSpan w:val="2"/>
            <w:shd w:val="clear" w:color="auto" w:fill="CFF0FC"/>
          </w:tcPr>
          <w:p>
            <w:pPr>
              <w:jc w:val="right"/>
              <w:ind w:right="119"/>
              <w:spacing w:after="0"/>
              <w:rPr>
                <w:sz w:val="20"/>
                <w:szCs w:val="20"/>
                <w:color w:val="auto"/>
              </w:rPr>
            </w:pPr>
            <w:r>
              <w:rPr>
                <w:rFonts w:ascii="Arial" w:cs="Arial" w:eastAsia="Arial" w:hAnsi="Arial"/>
                <w:sz w:val="16"/>
                <w:szCs w:val="16"/>
                <w:b w:val="1"/>
                <w:bCs w:val="1"/>
                <w:color w:val="auto"/>
              </w:rPr>
              <w:t>(0.05)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(0.17)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(0.25)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SHEET DATA:</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line="216" w:lineRule="exact"/>
              <w:rPr>
                <w:sz w:val="20"/>
                <w:szCs w:val="20"/>
                <w:color w:val="auto"/>
              </w:rPr>
            </w:pPr>
            <w:r>
              <w:rPr>
                <w:rFonts w:ascii="Arial" w:cs="Arial" w:eastAsia="Arial" w:hAnsi="Arial"/>
                <w:sz w:val="15"/>
                <w:szCs w:val="15"/>
                <w:color w:val="auto"/>
              </w:rPr>
              <w:t>Working capital</w:t>
            </w:r>
            <w:r>
              <w:rPr>
                <w:rFonts w:ascii="Arial" w:cs="Arial" w:eastAsia="Arial" w:hAnsi="Arial"/>
                <w:sz w:val="25"/>
                <w:szCs w:val="25"/>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w:t>
            </w:r>
          </w:p>
        </w:tc>
        <w:tc>
          <w:tcPr>
            <w:tcW w:w="3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w:t>
            </w: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Total assets</w:t>
            </w:r>
            <w:r>
              <w:rPr>
                <w:rFonts w:ascii="Arial" w:cs="Arial" w:eastAsia="Arial" w:hAnsi="Arial"/>
                <w:sz w:val="25"/>
                <w:szCs w:val="25"/>
                <w:color w:val="auto"/>
                <w:vertAlign w:val="superscript"/>
              </w:rPr>
              <w:t>(3)</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240.4</w:t>
            </w:r>
          </w:p>
        </w:tc>
        <w:tc>
          <w:tcPr>
            <w:tcW w:w="3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269.3</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274.3</w:t>
            </w:r>
          </w:p>
        </w:tc>
        <w:tc>
          <w:tcPr>
            <w:tcW w:w="32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259.9</w:t>
            </w: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line="216" w:lineRule="exact"/>
              <w:rPr>
                <w:sz w:val="20"/>
                <w:szCs w:val="20"/>
                <w:color w:val="auto"/>
              </w:rPr>
            </w:pPr>
            <w:r>
              <w:rPr>
                <w:rFonts w:ascii="Arial" w:cs="Arial" w:eastAsia="Arial" w:hAnsi="Arial"/>
                <w:sz w:val="15"/>
                <w:szCs w:val="15"/>
                <w:color w:val="auto"/>
              </w:rPr>
              <w:t>Long term debt, net of current portion</w:t>
            </w:r>
            <w:r>
              <w:rPr>
                <w:rFonts w:ascii="Arial" w:cs="Arial" w:eastAsia="Arial" w:hAnsi="Arial"/>
                <w:sz w:val="25"/>
                <w:szCs w:val="25"/>
                <w:color w:val="auto"/>
                <w:vertAlign w:val="superscript"/>
              </w:rPr>
              <w:t>(3)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3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88.5</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92.4</w:t>
            </w: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DATA:</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rPr>
                <w:sz w:val="20"/>
                <w:szCs w:val="20"/>
                <w:color w:val="auto"/>
              </w:rPr>
            </w:pPr>
            <w:r>
              <w:rPr>
                <w:rFonts w:ascii="Arial" w:cs="Arial" w:eastAsia="Arial" w:hAnsi="Arial"/>
                <w:sz w:val="16"/>
                <w:szCs w:val="16"/>
                <w:color w:val="auto"/>
              </w:rPr>
              <w:t>Cash flow provided by 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31.0</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18.4</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less: capital expenditures, infrastructure projects</w:t>
            </w:r>
          </w:p>
        </w:tc>
        <w:tc>
          <w:tcPr>
            <w:tcW w:w="14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(9.7)</w:t>
            </w:r>
          </w:p>
        </w:tc>
        <w:tc>
          <w:tcPr>
            <w:tcW w:w="8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(9.6)</w:t>
            </w:r>
          </w:p>
        </w:tc>
        <w:tc>
          <w:tcPr>
            <w:tcW w:w="14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(13.3)</w:t>
            </w: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(10.5)</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rPr>
                <w:sz w:val="20"/>
                <w:szCs w:val="20"/>
                <w:color w:val="auto"/>
              </w:rPr>
            </w:pPr>
            <w:r>
              <w:rPr>
                <w:rFonts w:ascii="Arial" w:cs="Arial" w:eastAsia="Arial" w:hAnsi="Arial"/>
                <w:sz w:val="16"/>
                <w:szCs w:val="16"/>
                <w:color w:val="auto"/>
              </w:rPr>
              <w:t>less: capital expenditures for DXL stores</w:t>
            </w: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1140" w:type="dxa"/>
            <w:vAlign w:val="bottom"/>
            <w:gridSpan w:val="2"/>
          </w:tcPr>
          <w:p>
            <w:pPr>
              <w:jc w:val="right"/>
              <w:ind w:right="119"/>
              <w:spacing w:after="0"/>
              <w:rPr>
                <w:sz w:val="20"/>
                <w:szCs w:val="20"/>
                <w:color w:val="auto"/>
              </w:rPr>
            </w:pPr>
            <w:r>
              <w:rPr>
                <w:rFonts w:ascii="Arial" w:cs="Arial" w:eastAsia="Arial" w:hAnsi="Arial"/>
                <w:sz w:val="16"/>
                <w:szCs w:val="16"/>
                <w:color w:val="auto"/>
              </w:rPr>
              <w:t>(19.6)</w:t>
            </w: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(20.1)</w:t>
            </w: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(30.4)</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FF0FC"/>
          </w:tcPr>
          <w:p>
            <w:pPr>
              <w:spacing w:after="0" w:line="232" w:lineRule="exact"/>
              <w:rPr>
                <w:sz w:val="20"/>
                <w:szCs w:val="20"/>
                <w:color w:val="auto"/>
              </w:rPr>
            </w:pPr>
            <w:r>
              <w:rPr>
                <w:rFonts w:ascii="Arial" w:cs="Arial" w:eastAsia="Arial" w:hAnsi="Arial"/>
                <w:sz w:val="16"/>
                <w:szCs w:val="16"/>
                <w:color w:val="auto"/>
              </w:rPr>
              <w:t>Free cash flow (Non-GAAP measure)</w:t>
            </w:r>
            <w:r>
              <w:rPr>
                <w:rFonts w:ascii="Arial" w:cs="Arial" w:eastAsia="Arial" w:hAnsi="Arial"/>
                <w:sz w:val="26"/>
                <w:szCs w:val="26"/>
                <w:color w:val="auto"/>
                <w:vertAlign w:val="superscript"/>
              </w:rPr>
              <w:t>(4)</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w:t>
            </w:r>
          </w:p>
        </w:tc>
        <w:tc>
          <w:tcPr>
            <w:tcW w:w="380" w:type="dxa"/>
            <w:vAlign w:val="bottom"/>
            <w:tcBorders>
              <w:right w:val="single" w:sz="8" w:color="CFF0FC"/>
            </w:tcBorders>
            <w:vMerge w:val="continue"/>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5.8</w:t>
            </w: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(15.0)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(27.1)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(29.2)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DATA:</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rPr>
                <w:sz w:val="20"/>
                <w:szCs w:val="20"/>
                <w:color w:val="auto"/>
              </w:rPr>
            </w:pPr>
            <w:r>
              <w:rPr>
                <w:rFonts w:ascii="Arial" w:cs="Arial" w:eastAsia="Arial" w:hAnsi="Arial"/>
                <w:sz w:val="16"/>
                <w:szCs w:val="16"/>
                <w:color w:val="auto"/>
              </w:rPr>
              <w:t>Comparable sales percentage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c>
          <w:tcPr>
            <w:tcW w:w="1140" w:type="dxa"/>
            <w:vAlign w:val="bottom"/>
            <w:gridSpan w:val="2"/>
          </w:tcPr>
          <w:p>
            <w:pPr>
              <w:jc w:val="right"/>
              <w:ind w:right="39"/>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margins</w:t>
            </w:r>
          </w:p>
        </w:tc>
        <w:tc>
          <w:tcPr>
            <w:tcW w:w="14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45.5%</w:t>
            </w:r>
          </w:p>
        </w:tc>
        <w:tc>
          <w:tcPr>
            <w:tcW w:w="14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46.1%</w:t>
            </w: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45.9%</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line="216" w:lineRule="exact"/>
              <w:rPr>
                <w:sz w:val="20"/>
                <w:szCs w:val="20"/>
                <w:color w:val="auto"/>
              </w:rPr>
            </w:pPr>
            <w:r>
              <w:rPr>
                <w:rFonts w:ascii="Arial" w:cs="Arial" w:eastAsia="Arial" w:hAnsi="Arial"/>
                <w:sz w:val="15"/>
                <w:szCs w:val="15"/>
                <w:color w:val="auto"/>
              </w:rPr>
              <w:t>EBITDA (Non-GAAP measure)</w:t>
            </w:r>
            <w:r>
              <w:rPr>
                <w:rFonts w:ascii="Arial" w:cs="Arial" w:eastAsia="Arial" w:hAnsi="Arial"/>
                <w:sz w:val="25"/>
                <w:szCs w:val="25"/>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13.0</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23.3</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EBITDA, adjusted for impairment of assets ("Adjusted EBITDA")</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(Non-GAAP measure)</w:t>
            </w:r>
            <w:r>
              <w:rPr>
                <w:rFonts w:ascii="Arial" w:cs="Arial" w:eastAsia="Arial" w:hAnsi="Arial"/>
                <w:sz w:val="25"/>
                <w:szCs w:val="25"/>
                <w:color w:val="auto"/>
                <w:vertAlign w:val="superscript"/>
              </w:rPr>
              <w:t>(4)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3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Adjusted EBITDA margin (Non-GAAP measure) </w:t>
            </w:r>
            <w:r>
              <w:rPr>
                <w:rFonts w:ascii="Arial" w:cs="Arial" w:eastAsia="Arial" w:hAnsi="Arial"/>
                <w:sz w:val="25"/>
                <w:szCs w:val="25"/>
                <w:color w:val="auto"/>
                <w:vertAlign w:val="superscript"/>
              </w:rPr>
              <w:t>(4)</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1140" w:type="dxa"/>
            <w:vAlign w:val="bottom"/>
            <w:gridSpan w:val="2"/>
          </w:tcPr>
          <w:p>
            <w:pPr>
              <w:jc w:val="right"/>
              <w:ind w:right="39"/>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Operating margin</w:t>
            </w:r>
          </w:p>
        </w:tc>
        <w:tc>
          <w:tcPr>
            <w:tcW w:w="14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(3.9%)</w:t>
            </w:r>
          </w:p>
        </w:tc>
        <w:tc>
          <w:tcPr>
            <w:tcW w:w="8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6"/>
                <w:szCs w:val="16"/>
                <w:color w:val="auto"/>
              </w:rPr>
              <w:t>Number of stores open at fiscal year end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24" w:name="page25"/>
    <w:bookmarkEnd w:id="24"/>
    <w:p>
      <w:pPr>
        <w:ind w:left="512" w:hanging="512"/>
        <w:spacing w:after="0" w:line="258" w:lineRule="auto"/>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fiscal year is a 52- or 53- week period ending on the Saturday closest to January 31. Fiscal 2017 was a 53-week period, all other fiscal years were 52-weeks. Certain columns may not foot due to rounding.</w:t>
      </w:r>
    </w:p>
    <w:p>
      <w:pPr>
        <w:spacing w:after="0" w:line="1" w:lineRule="exact"/>
        <w:rPr>
          <w:rFonts w:ascii="Arial" w:cs="Arial" w:eastAsia="Arial" w:hAnsi="Arial"/>
          <w:sz w:val="18"/>
          <w:szCs w:val="18"/>
          <w:color w:val="auto"/>
        </w:rPr>
      </w:pPr>
    </w:p>
    <w:p>
      <w:pPr>
        <w:jc w:val="both"/>
        <w:ind w:left="512" w:hanging="512"/>
        <w:spacing w:after="0" w:line="250" w:lineRule="auto"/>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impairment charges relate to the write-down of property and equipment, related to stores where the carrying value exceeds fair value. Fiscal 2017 also includes the write-off of $1.9 million for technology projects which were abandoned in fiscal 2017. See Note A to the Notes to the Consolidated Financial Statements.</w:t>
      </w:r>
    </w:p>
    <w:p>
      <w:pPr>
        <w:spacing w:after="0" w:line="1" w:lineRule="exact"/>
        <w:rPr>
          <w:rFonts w:ascii="Arial" w:cs="Arial" w:eastAsia="Arial" w:hAnsi="Arial"/>
          <w:sz w:val="18"/>
          <w:szCs w:val="18"/>
          <w:color w:val="auto"/>
        </w:rPr>
      </w:pPr>
    </w:p>
    <w:p>
      <w:pPr>
        <w:ind w:left="512" w:right="200" w:hanging="512"/>
        <w:spacing w:after="0" w:line="281" w:lineRule="auto"/>
        <w:tabs>
          <w:tab w:leader="none" w:pos="51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fiscal 2015, we elected early adoption of ASU 2015-03, “Interest-Imputation of Interest (Subtopic 835-30), Simplifying the Presentation of Debt Issuance Costs.” The guidance simplifies the presentation of debt issuance costs to be presented as a deduction from the corresponding liability. Accordingly, selected balance sheet data for fiscal 2014 and fiscal 2013 have been adjusted to conform to the current presentation.</w:t>
      </w:r>
    </w:p>
    <w:p>
      <w:pPr>
        <w:spacing w:after="0" w:line="2" w:lineRule="exact"/>
        <w:rPr>
          <w:rFonts w:ascii="Arial" w:cs="Arial" w:eastAsia="Arial" w:hAnsi="Arial"/>
          <w:sz w:val="16"/>
          <w:szCs w:val="16"/>
          <w:color w:val="auto"/>
        </w:rPr>
      </w:pPr>
    </w:p>
    <w:p>
      <w:pPr>
        <w:ind w:left="512" w:hanging="512"/>
        <w:spacing w:after="0" w:line="265" w:lineRule="auto"/>
        <w:tabs>
          <w:tab w:leader="none" w:pos="512" w:val="left"/>
        </w:tabs>
        <w:numPr>
          <w:ilvl w:val="0"/>
          <w:numId w:val="8"/>
        </w:numPr>
        <w:rPr>
          <w:rFonts w:ascii="Arial" w:cs="Arial" w:eastAsia="Arial" w:hAnsi="Arial"/>
          <w:sz w:val="17"/>
          <w:szCs w:val="17"/>
          <w:color w:val="auto"/>
        </w:rPr>
      </w:pPr>
      <w:r>
        <w:rPr>
          <w:rFonts w:ascii="Arial" w:cs="Arial" w:eastAsia="Arial" w:hAnsi="Arial"/>
          <w:sz w:val="17"/>
          <w:szCs w:val="17"/>
          <w:color w:val="auto"/>
        </w:rPr>
        <w:t>“EBITDA,” “Adjusted EBITDA,” “Adjusted EBITDA margin” and “Free cash flow” are non-GAAP measures. See “Non-GAAP Reconciliations” in Item 7. “Management’s Discussion and Analysis” for information on these non-GAAP measures and reconciliations to comparable GAAP measures, with the exception of Adjusted EBITDA margin, which is calculated by taking Adjusted EBITDA and dividing it by Sales.</w:t>
      </w:r>
    </w:p>
    <w:p>
      <w:pPr>
        <w:ind w:left="512" w:hanging="512"/>
        <w:spacing w:after="0" w:line="254" w:lineRule="auto"/>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of fiscal 2013, we recorded a non-cash charge of $51.3 million to establish a full valuation allowance against our deferred tax assets. In the fourth quarter of fiscal 2017, as a result of the elimination of the corporate alternative minimum (“AMT”) tax and the ability to receive a refund for our AMT credit, we recognized an income tax benefit of $2.1 million, associated with reversing the corresponding valuation allowance against this asset. See Note D to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12"/>
          </w:cols>
          <w:pgMar w:left="248" w:top="46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As noted above in Part 1, this Annual Report, including, without limitation, this Item 7, contains “forward-looking statements,” including forward-looking statements within the meaning of the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which you are encouraged to read.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Certain figures discussed below may not foot due to rounding.</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businesses, especially in our growing omni-channel environment, to be similar in terms of economic characteristics, production processes and operations, and have therefore aggregated them into a single reporting segment.</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Comparable Sales Definition</w:t>
      </w:r>
    </w:p>
    <w:p>
      <w:pPr>
        <w:spacing w:after="0" w:line="117"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Company’s 2017 fiscal year included 53 weeks compared with 52 weeks in fiscal 2016. Accordingly, year-over-year comparisons of total sales for the fourth quarter and full year are affected by an extra week of sales in fiscal 2017. However, for comparable sales, the Company is reporting on a comparable weeks basis (e.g. the 14 and 53 weeks ended February 3, 2018 compared with the 14 and 53 weeks ended February 4, 2017, respectively).</w:t>
      </w:r>
    </w:p>
    <w:p>
      <w:pPr>
        <w:spacing w:after="0" w:line="1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customer’s shopping experience continues to evolve across multiple channels and we are continually changing to meet his needs. Since fiscal 2014 the majority of our retail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Because this omni-channel approach to retailing is changing the boundaries of where a sale originates and where a sale is ultimately settled, we do not report comparable sales separately for our retail and direct businesses. However, as we invest in building our e-commerce platform, bringing a heightened digital focus to our Company, additional disclosure on our e-commerce growth as it relates to our current initiatives is important. Beginning in the second quarter of fiscal 2017, we define store sales as sales that originate and are fulfilled directly at the store level. E-commerce sales are defined as sales that originate online, including those initiated online at the store level. This reclassification on how we define a store sale from an e-commerce sale had no effect on our previous disclosure of total Company comparable sales or how we report them.</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monitor certain non-GAAP financial measures on a regular basis in order to track the progress of our business. These measures include adjusted net loss, adjusted net loss per diluted share, free cash flow, EBITDA and adjusted EBITDA. We believe these measures provide helpful information with respect to the Company’s operating performance and that the inclusion of these non-GAAP measures is important to assist investors in comparing our performance in fiscal 2017 to fiscal 2016 and fiscal 2015. We also provide certain forward-looking information with respect to certain of these non-GAAP financial measures. However, these measures may not be comparable to similar measures used by other companies and should not be considered superior to or as a substitute for net loss, loss from continuing operations, net loss per diluted share or cash flows from operating activities in accordance with GAAP. See “Non-GAAP Reconciliations” below for additional information on these non-GAAP financial measures and reconciliations to comparable GAAP measures.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w w:val="94"/>
              </w:rPr>
              <w:t>(in millions, except for per share data)</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Fiscal 2017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Fiscal 2016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3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gridSpan w:val="3"/>
            <w:vMerge w:val="continue"/>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 xml:space="preserve">Adjusted net loss </w:t>
            </w:r>
            <w:r>
              <w:rPr>
                <w:rFonts w:ascii="Arial" w:cs="Arial" w:eastAsia="Arial" w:hAnsi="Arial"/>
                <w:sz w:val="15"/>
                <w:szCs w:val="15"/>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00" w:type="dxa"/>
            <w:vAlign w:val="bottom"/>
            <w:gridSpan w:val="3"/>
          </w:tcPr>
          <w:p>
            <w:pPr>
              <w:spacing w:after="0" w:line="189" w:lineRule="exact"/>
              <w:rPr>
                <w:sz w:val="20"/>
                <w:szCs w:val="20"/>
                <w:color w:val="auto"/>
              </w:rPr>
            </w:pPr>
            <w:r>
              <w:rPr>
                <w:rFonts w:ascii="Arial" w:cs="Arial" w:eastAsia="Arial" w:hAnsi="Arial"/>
                <w:sz w:val="18"/>
                <w:szCs w:val="18"/>
                <w:color w:val="auto"/>
              </w:rPr>
              <w:t>Diluted loss per share:</w:t>
            </w: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Adjusted net loss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Impairment charges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EBITDA</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flow from operating activities</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Free cash flow</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Adjusted net loss and adjusted EBITDA exclude impairment charges. Adjusted net loss, for all periods, assumes a normalized tax benefit of 26%. See “Non-GAAP Reconciliations” below.</w:t>
      </w:r>
    </w:p>
    <w:p>
      <w:pPr>
        <w:spacing w:after="0" w:line="2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fiscal 2017, we focused on key initiatives aimed towards growing our digital presence and strengthening our brand awareness in an effort to drive traffic to both our stores and website. We incurred a significant increase in marketing spend, which consisted of an integrated social, digital and media marketing campaign as well as enhancements to our website to fuel these initiatives.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comparable sales through the first three quarters of fiscal 2017 were down (0.5%) to the prior year. In the fourth quarter of fiscal 2017, we started to see an improvement in store traffic that resulted in a fourth quarter comparable sales increase of 4.3%, resulting in a full year comparable increase of 0.9%. Our sales productivity metrics were consistent throughout fiscal 2017, with dollars per transactions, units per transaction and conversion rates all up over fiscal 2016.</w:t>
      </w:r>
    </w:p>
    <w:p>
      <w:pPr>
        <w:spacing w:after="0" w:line="18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Our Holiday campaign showcased several celebrities with his own sense of #XLstyle. Our brand awareness, which was 34% at the end of fiscal 2016, and 38% before the Holiday campaign, increased to an all-time high of 42% after the campaign. While we were pleased with this increase in awareness, the campaign did not drive store traffic to the extent we expected. While the campaign drove significant traffic to our website, conversion was down. As we head into fiscal 2018, we plan to tailor our 2018 marketing initiatives to better connect with our customer on a more personal and emotional level, highlighting our stores, exclusive brands, fit and quality.</w:t>
      </w:r>
    </w:p>
    <w:p>
      <w:pPr>
        <w:spacing w:after="0" w:line="188" w:lineRule="exact"/>
        <w:rPr>
          <w:sz w:val="20"/>
          <w:szCs w:val="20"/>
          <w:color w:val="auto"/>
        </w:rPr>
      </w:pPr>
    </w:p>
    <w:p>
      <w:pPr>
        <w:ind w:right="480"/>
        <w:spacing w:after="0" w:line="288" w:lineRule="auto"/>
        <w:rPr>
          <w:sz w:val="20"/>
          <w:szCs w:val="20"/>
          <w:color w:val="auto"/>
        </w:rPr>
      </w:pPr>
      <w:r>
        <w:rPr>
          <w:rFonts w:ascii="Arial" w:cs="Arial" w:eastAsia="Arial" w:hAnsi="Arial"/>
          <w:sz w:val="16"/>
          <w:szCs w:val="16"/>
          <w:color w:val="auto"/>
        </w:rPr>
        <w:t>Sales from our direct business increased to 21.0% of our total sales in fiscal 2017 as compared to 19.9% in fiscal 2016. During fiscal 2017, we made a number of foundational changes to our website in an effort to streamline and simplify the shopping experience for our customers. We are also taking a “mobile-first” mindset with respect to how we engage with our customers as the retail industry as a whole is seeing an increase in mobile</w:t>
      </w:r>
    </w:p>
    <w:p>
      <w:pPr>
        <w:ind w:right="20"/>
        <w:spacing w:after="0" w:line="255" w:lineRule="auto"/>
        <w:rPr>
          <w:sz w:val="20"/>
          <w:szCs w:val="20"/>
          <w:color w:val="auto"/>
        </w:rPr>
      </w:pPr>
      <w:r>
        <w:rPr>
          <w:rFonts w:ascii="Arial" w:cs="Arial" w:eastAsia="Arial" w:hAnsi="Arial"/>
          <w:sz w:val="18"/>
          <w:szCs w:val="18"/>
          <w:color w:val="auto"/>
        </w:rPr>
        <w:t>engagement. Beyond our own e-commerce site, we are also growing our business with third-party marketplaces, working with companies such as Amazon to broaden our brand reach. We have been pleased with the progress we have seen and expect this will continue to be an area of growth as we head into fiscal 2018.</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fiscal 2017, we had a net loss of $(18.8) million, or $(0.39) per diluted share, compared with a net loss of $(2.3) million, or $(0.05) per diluted share in fiscal 2016. The decrease of $(0.34) per diluted share, was primarily due to an increase of $11.3 million, or $(0.23) per diluted share, in marketing and $3.7 million, or $(0.08) per diluted share of impairment charges. Similarly, adjusted EBITDA decreased $14.5 million to $17.1 million, compared to $31.6 million in fiscal 2016, primarily due to the increase in marketing costs of $11.3 million.</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continued to make significant improvements in our inventory optimization project which resulted in inventory levels decreasing by $14.1 million at February 3, 2018 as compared January 28, 2017. We are improving inventory receipt flow and procurement, tightening controls over the number of weeks of supply and refining our in-stock positions by sku level.</w:t>
      </w:r>
    </w:p>
    <w:p>
      <w:pPr>
        <w:spacing w:after="0" w:line="181"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Capital expenditures decreased slightly in fiscal 2017 compared to fiscal 2016 due to fewer store openings, at a lower average square footage. During fiscal 2017, we opened 20 DXL retail stores and 1 DXL outlet stores. In addition, we closed 19 Casual Male XL retail stores and 3 Casual Male XL outlet stores.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27" w:name="page28"/>
    <w:bookmarkEnd w:id="27"/>
    <w:p>
      <w:pPr>
        <w:ind w:right="100"/>
        <w:spacing w:after="0" w:line="257" w:lineRule="auto"/>
        <w:rPr>
          <w:sz w:val="20"/>
          <w:szCs w:val="20"/>
          <w:color w:val="auto"/>
        </w:rPr>
      </w:pPr>
      <w:r>
        <w:rPr>
          <w:rFonts w:ascii="Arial" w:cs="Arial" w:eastAsia="Arial" w:hAnsi="Arial"/>
          <w:sz w:val="18"/>
          <w:szCs w:val="18"/>
          <w:color w:val="auto"/>
        </w:rPr>
        <w:t>In the first half of fiscal 2017, we repurchased approximately 1.9 million shares of our common stock at a total cost of approximately $4.7 million. Our stock repurchase plan, discussed more fully below under “Liquidity and Capital Resources,” ended on February 3, 2018. After accounting for our increased investment in marketing, repurchases under our stock repurchase program, inventory efficiency savings, and the reduction in capital expenditures, we were able to generate $8.4 million of free cash flow compared to $5.8 million at the end of fiscal 2016. The net cash flow enabled us to reduce our total debt by $3.7 million as compared to the prior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Subsequent to the end of fiscal 2017, on March 23, 2018, the Company announced that David Levin, President and Chief Executive Officer, plans to retire as President and CEO and director of the Company by the end of 2018. The Company’s board of directors has initiated a search process to identify a successor for Mr. Levin, which is expected to be completed by the end of 2018. The search will include a review of both internal and external candidates. Mr. Levin is also prepared to provide transition support and assist on requested projects following his retirement as CEO. The Company and Mr. Levin have entered into a Transition Agreement dated as of March 20, 2018. See Note K, Subsequent Event, to the Company’s Consolidated Financial Statements for additional disclosure.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Outlook</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strategy for fiscal 2018 remains focused on customer acquisition, customer retention, and customer re-activation. We intend to launch a new creative advertising campaign with two flights of television: 6 weeks in Spring, and 5 weeks in Fall. Our marketing spend for the year is expected to be approximately $24.0 million which is less than fiscal 2017 spend of approximately $29.5 million, but greater than fiscal 2016 spend of $18.0 million. Compared to fiscal 2017, we are projecting that our total sales for the year will be negatively impacted by one less week of sales and a net decrease in store count of nine stores, worth approximately $5.3 million in sales. Fiscal 2017 included a 53</w:t>
      </w:r>
      <w:r>
        <w:rPr>
          <w:rFonts w:ascii="Arial" w:cs="Arial" w:eastAsia="Arial" w:hAnsi="Arial"/>
          <w:sz w:val="13"/>
          <w:szCs w:val="13"/>
          <w:color w:val="auto"/>
        </w:rPr>
        <w:t>rd</w:t>
      </w:r>
      <w:r>
        <w:rPr>
          <w:rFonts w:ascii="Arial" w:cs="Arial" w:eastAsia="Arial" w:hAnsi="Arial"/>
          <w:sz w:val="16"/>
          <w:szCs w:val="16"/>
          <w:color w:val="auto"/>
        </w:rPr>
        <w:t xml:space="preserve"> week, with sales of $6.9 million and operating income of $1.6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expect to open 3 new DXL stores in fiscal 2018 and plan to remodel 2 Casual Male stores which will be re-branded as DXL.</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fiscal 2018, our outlook, based on a 52-week year and without consideration of additional costs that may be incurred in connection with Mr. Levin’s retirement and the successor CEO transition, is as follows:</w:t>
      </w:r>
    </w:p>
    <w:p>
      <w:pPr>
        <w:spacing w:after="0" w:line="62" w:lineRule="exact"/>
        <w:rPr>
          <w:sz w:val="20"/>
          <w:szCs w:val="20"/>
          <w:color w:val="auto"/>
        </w:rPr>
      </w:pPr>
    </w:p>
    <w:p>
      <w:pPr>
        <w:ind w:left="780" w:hanging="259"/>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Sales are expected to range from $462.0 million to $472.0 million, with a total company comparable sales increase of approximately 1.0% to 3.0%.</w:t>
      </w:r>
    </w:p>
    <w:p>
      <w:pPr>
        <w:spacing w:after="0" w:line="140" w:lineRule="exact"/>
        <w:rPr>
          <w:rFonts w:ascii="Arial" w:cs="Arial" w:eastAsia="Arial" w:hAnsi="Arial"/>
          <w:sz w:val="16"/>
          <w:szCs w:val="16"/>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rate of approximately 45.0%.</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loss, on a GAAP basis, of $(8.3) to $(14.3) million, or $(0.17) to $(0.29) per diluted share.</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of $18.0 to $24.0 million.</w:t>
      </w:r>
    </w:p>
    <w:p>
      <w:pPr>
        <w:spacing w:after="0" w:line="117" w:lineRule="exact"/>
        <w:rPr>
          <w:rFonts w:ascii="Arial" w:cs="Arial" w:eastAsia="Arial" w:hAnsi="Arial"/>
          <w:sz w:val="18"/>
          <w:szCs w:val="18"/>
          <w:color w:val="auto"/>
        </w:rPr>
      </w:pPr>
    </w:p>
    <w:p>
      <w:pPr>
        <w:ind w:left="780" w:right="140" w:hanging="259"/>
        <w:spacing w:after="0" w:line="302"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net loss of $(0.12) to $(0.22) per diluted share. Because we expect to continue providing a full valuation allowance against our deferred tax assets, we do not expect to recognize any income tax benefit in fiscal 2018. This non-GAAP net loss was calculated, assuming a tax benefit of 26%, by taking the 2018 forecasted earnings of a net loss of $(0.17) to $(0.29) per diluted share and multiplying each by 26% to calculate an estimated income tax benefit of $(0.05) to $(0.07) per diluted share, resulting in an adjusted net loss of $(0.12) to $(0.22) per diluted share.</w:t>
      </w:r>
    </w:p>
    <w:p>
      <w:pPr>
        <w:spacing w:after="0" w:line="46" w:lineRule="exact"/>
        <w:rPr>
          <w:rFonts w:ascii="Arial" w:cs="Arial" w:eastAsia="Arial" w:hAnsi="Arial"/>
          <w:sz w:val="16"/>
          <w:szCs w:val="16"/>
          <w:color w:val="auto"/>
        </w:rPr>
      </w:pPr>
    </w:p>
    <w:p>
      <w:pPr>
        <w:ind w:left="780" w:right="320" w:hanging="259"/>
        <w:spacing w:after="0" w:line="264"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 of approximately $11.4 million, $2.1 million of which will be for new and remodeled stores to the DXL format and $9.3 million for digital and infrastructure projects, partially offset by approximately $1.1 million in tenant allowances. We expect to fund our capital expenditures from our operating cash flow.</w:t>
      </w:r>
    </w:p>
    <w:p>
      <w:pPr>
        <w:spacing w:after="0" w:line="73"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end of fiscal 2018, we expect cash flow from operating activities of $20.5 million to $26.5 million (including tenant allowances), resulting in positive free cash flow of approximately $9.1 million to $15.1 million.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fiscal year is a 52- or 53-week period ending on the Saturday closest to January 31. Fiscal 2017 was a 53-week year and fiscal 2016 and fiscal 2015 were both 52-week periods.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SALES</w:t>
      </w:r>
    </w:p>
    <w:p>
      <w:pPr>
        <w:spacing w:after="0" w:line="11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Sales for fiscal 2017 increased 3.9% to $468.0 million as compared to $450.3 million for fiscal 2016</w:t>
      </w:r>
      <w:r>
        <w:rPr>
          <w:rFonts w:ascii="Arial" w:cs="Arial" w:eastAsia="Arial" w:hAnsi="Arial"/>
          <w:sz w:val="17"/>
          <w:szCs w:val="17"/>
          <w:b w:val="1"/>
          <w:bCs w:val="1"/>
          <w:color w:val="auto"/>
        </w:rPr>
        <w:t>.</w:t>
      </w:r>
      <w:r>
        <w:rPr>
          <w:rFonts w:ascii="Arial" w:cs="Arial" w:eastAsia="Arial" w:hAnsi="Arial"/>
          <w:sz w:val="17"/>
          <w:szCs w:val="17"/>
          <w:color w:val="auto"/>
        </w:rPr>
        <w:t xml:space="preserve"> The increase in sales is primarily due to sales from the 53</w:t>
      </w:r>
      <w:r>
        <w:rPr>
          <w:rFonts w:ascii="Arial" w:cs="Arial" w:eastAsia="Arial" w:hAnsi="Arial"/>
          <w:sz w:val="14"/>
          <w:szCs w:val="14"/>
          <w:color w:val="auto"/>
        </w:rPr>
        <w:t>rd</w:t>
      </w:r>
      <w:r>
        <w:rPr>
          <w:rFonts w:ascii="Arial" w:cs="Arial" w:eastAsia="Arial" w:hAnsi="Arial"/>
          <w:sz w:val="17"/>
          <w:szCs w:val="17"/>
          <w:color w:val="auto"/>
        </w:rPr>
        <w:t xml:space="preserve"> week of $6.9 million, DXL non-comparable sales, net of closed stores, of $6.9 million and a comparable sales increase of $3.7 million, or 0.9%. While store traffic was down for most of fiscal 2017, we did see increases in sales productivity with increases in average dollars per transactions, units per transaction and conversion. Sales from our direct businesses as a percentage of net sales were 21.0% in fiscal 2017 as compared to 19.9% in fiscal 2016. Our end-of-rack customer grew to 45.6% of our bottoms business in fiscal 2017 from 44.6% in fiscal 2016.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8" w:name="page29"/>
    <w:bookmarkEnd w:id="28"/>
    <w:p>
      <w:pPr>
        <w:ind w:right="100"/>
        <w:spacing w:after="0" w:line="271" w:lineRule="auto"/>
        <w:rPr>
          <w:sz w:val="20"/>
          <w:szCs w:val="20"/>
          <w:color w:val="auto"/>
        </w:rPr>
      </w:pPr>
      <w:r>
        <w:rPr>
          <w:rFonts w:ascii="Arial" w:cs="Arial" w:eastAsia="Arial" w:hAnsi="Arial"/>
          <w:sz w:val="17"/>
          <w:szCs w:val="17"/>
          <w:color w:val="auto"/>
        </w:rPr>
        <w:t>Sales for fiscal 2016 increased 1.8% to $450.3 million as compared to $442.2 million in fiscal 2015. The increase in sales was partly due to sales from DXL non-comparable store sales of $30.5 million, offset partially by lost sales of $25.4 million from closed and converted stores. In addition, comparable sales increased $2.5 million, or 0.6%, compared to fiscal 2015. Included in the comparable sales increase of $2.5 million, are the comparable sales from our 166 DXL retail stores, which increased 2.4%, or $5.4 million in fiscal 2016 as compared to fiscal 2015. Store traffic was down across the retail industry in the latter half of fiscal 2016, which we believe was due in part to the macroeconomic and political issues the country was facing. In fiscal 2016, regionally, our stores in Coastal states performed better than our stores in Central states, whose comparable sales were, on average, 600 basis points less than our stores in Coastal states. In addition to the overall weakness in the retail industry, we also believe that our decision to eliminate our Fall marketing campaign, had a negative impact on sales and on building our customer base in fiscal 2016.</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Gross margin rate for fiscal 2017 was 45.0% as compared to 45.5% in fiscal 2016 and 46.1% in fiscal 2015.</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gross margin of 45.0% for fiscal 2017 decreased 50 basis points from fiscal 2016. The decrease was due to a 50 basis point decrease in merchandise margin, related to our inventory initiatives and increased efforts to reduce slow-moving merchandise categories which resulted in higher promotional markdowns than the prior year. Our inventory initiatives have resulted in a 12% decrease in inventory levels from a year ago, improved inventory turnover and days on hand, while at the same time managing a strong merchandise margin. Occupancy costs, as a percent of sales, were flat. On a dollar basis, occupancy costs for fiscal 2017 increased approximately 4.0% over fiscal 2016, primarily as a result of an increase of 2.2% in total square footage and the increased percentage of DXL stores to our total store base.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gross margin decrease of 60 basis points for fiscal 2016 as compared to fiscal 2015 was driven by a decrease of 40 basis points in merchandise margin and a 20 basis point increase in occupancy costs as a percentage of sales. The decrease in our merchandise margin of 40 basis points was mainly due to higher markdown activity associated with increased promotional activities. The increase in occupancy costs was due to occupancy expense increasing at a greater rate than sales.</w:t>
      </w:r>
    </w:p>
    <w:p>
      <w:pPr>
        <w:spacing w:after="0" w:line="29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as a percentage of sales for fiscal 2017, 2016 and 2015 were 41.3%, 38.5% and 40.8%, respectively.</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SG&amp;A expense for fiscal 2017 increased $19.9 million, or 11.5%, to $193.2 million as compared to $173.3 million in fiscal 2016. The increase was principally due to an increase of $11.3 million in advertising expense. As discussed above, we increased our investment in our marketing initiatives in fiscal 2017 to help drive brand awareness, store traffic and our digital presence. The remainder of the increase was due to increases in store payroll and other supporting costs associated with a greater DXL store base and e-commerce initiatives and expenses for the additional 53rd week of approximately $2.5 million.</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SG&amp;A expenses for fiscal 2016 decreased $7.3 million, or 4.0%, to $173.3 million as compared to $180.6 million in fiscal 2015. This decrease was primarily due to a decrease in advertising expense of approximately $5.4 million as well as a reduction in incentive accruals, including stock compensation, of approximately $5.4 million. These decreases were partially offset by increases in store payroll of $1.1 million, associated with the higher sales base, healthcare costs of approximately $1.4 million and other corporate and supporting costs of $1.0 million.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ASSETS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fiscal 2017, we recorded impairment charges of $4.1 million, which consisted of $2.2 million for the impairment of long-lived assets related to stores where the carrying value exceeded fair value, and $1.9 million for the write-off of certain costs associated with technology projects which were abandoned, due to a shift in strategy, in fiscal 2017. For fiscal 2016, impairment charges of $0.4 million related to impairment of long-lived assets, related to stores. There were no impairment charges in fiscal 2015.</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comparability, impairment charges in fiscal 2016 of $0.4 million were reclassified from “Depreciation and amortization” to “Impairment of assets” on the Consolidated Statement of Operations.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was $31.1 million for fiscal 2017 compared to $30.2 million for fiscal 2016 and $28.4 million for fiscal 2015. The year-over-year increases in depreciation and amortization expense for both fiscal 2017 and fiscal 2016 were primarily related to the opening of 21 DXL retail and outlet stores in fiscal 2017 and 30 stores in fiscal 2016. With our new store growth complete, we expect that our depreciation levels will begin to decrease beginning in fiscal 2018.</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29" w:name="page30"/>
    <w:bookmarkEnd w:id="29"/>
    <w:p>
      <w:pPr>
        <w:ind w:right="180"/>
        <w:spacing w:after="0" w:line="277" w:lineRule="auto"/>
        <w:rPr>
          <w:sz w:val="20"/>
          <w:szCs w:val="20"/>
          <w:color w:val="auto"/>
        </w:rPr>
      </w:pPr>
      <w:r>
        <w:rPr>
          <w:rFonts w:ascii="Arial" w:cs="Arial" w:eastAsia="Arial" w:hAnsi="Arial"/>
          <w:sz w:val="18"/>
          <w:szCs w:val="18"/>
          <w:color w:val="auto"/>
        </w:rPr>
        <w:t>Included in depreciation and amortization is the amortization of our “Casual Male” trademark of $0.3 million, $0.3 million and $0.5 million for fiscal 2017, 2016 and 2015, respectively.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Net interest expense for fiscal 2017 was $3.4 million as compared to $3.1 million for fiscal 2016 and fiscal 2015. Although total debt at February 3, 2018 decreased $3.7 million from January 28, 2017, our average borrowings under our revolver during fiscal 2017 were approximately $7.6 million higher than fiscal 2016. In addition, our average interest rate increased from 4.4% in fiscal 2016 to 4.7% in fiscal 2017.</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See “Liquidity and Capital Resources” below for more discussion regarding our credit facility, equipment financings and term loan as well as our future liquidity needs.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accounting rules, realization of our deferred tax assets, which relate principally to federal net operating loss carryforwards expiring from 2022 through 2036, is dependent on generating sufficient taxable income in the near term.</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end of fiscal 2013, we entered a three-year cumulative loss and based on all positive and negative evidence at February 1, 2014, we established a full valuation allowance against our net deferred tax assets. While we expect to return to profitability, generate taxable income and ultimately emerge from a three-year cumulative loss, based on our results for fiscal 2017 and our forecast for fiscal 2018, we believe that a full valuation allowance remains appropriate at this time.</w:t>
      </w:r>
    </w:p>
    <w:p>
      <w:pPr>
        <w:spacing w:after="0" w:line="18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December 2017, the U.S. Tax Cuts and Jobs Act of 2017 (the “2017 Tax Act”) was enacted. Because we have a full valuation allowance against our deferred tax assets at February 3, 2018, there was limited impact to our consolidated financial results. The rate change impact on deferred tax assets as of February 3, 2018, due to the 2017 Tax Act, was $22.8 million and was fully offset by a corresponding decrease in our full valuation allowance against those deferred tax assets. The 2017 Tax Act also repealed the corporate alternative minimum tax (“AMT”) and any AMT carryforward credit became refundable over a five year period. As a result, we have reclassified our AMT credit of approximately $2.1 million from deferred tax assets to a non-current receivable account and have reversed the corresponding valuation allowance, resulting in an income tax benefit for fiscal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tax provisions for fiscal 2016 and fiscal 2015 were primarily attributable to current state margin tax and foreign income tax.</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net loss for fiscal 2017 was $(18.8) million, or $(0.39) per diluted share, as compared to $(2.3) million, or $(0.05) per diluted share, in fiscal 2016 and a net loss of $(8.4) million, or $(0.17) per diluted share, in fiscal 2015.</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Results for fiscal 2017 as compared to fiscal 2016, included an increase in impairment charges of $3.7 million, or $0.08 per diluted share, and increased advertising costs of $11.3 million, or $0.23 per diluted share. These additional costs were partially offset by the 53</w:t>
      </w:r>
      <w:r>
        <w:rPr>
          <w:rFonts w:ascii="Arial" w:cs="Arial" w:eastAsia="Arial" w:hAnsi="Arial"/>
          <w:sz w:val="15"/>
          <w:szCs w:val="15"/>
          <w:color w:val="auto"/>
        </w:rPr>
        <w:t>rd</w:t>
      </w:r>
      <w:r>
        <w:rPr>
          <w:rFonts w:ascii="Arial" w:cs="Arial" w:eastAsia="Arial" w:hAnsi="Arial"/>
          <w:sz w:val="18"/>
          <w:szCs w:val="18"/>
          <w:color w:val="auto"/>
        </w:rPr>
        <w:t xml:space="preserve"> week which added approximately $1.6 million in operating income.</w:t>
      </w:r>
    </w:p>
    <w:p>
      <w:pPr>
        <w:spacing w:after="0" w:line="181"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On a non-GAAP basis, before impairments and assuming a normalized tax rate of 26% for all periods, adjusted net loss per share for fiscal 2017 was $(0.26) per diluted share, compared to $(0.03) per diluted share for fiscal 2016 and $(0.12) per diluted share in fiscal 2015. See “Non-GAAP Reconciliation” below.</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 stores during these periods. Consistent with the retail apparel industry, our business is seasonal. Generally, the majority of our operating income is generated in the fourth quarter as a result of the impact of the holiday selling season. A comparison of quarterly sales, gross profit, and net income per share for the past two fiscal years is presented in Note J of the Notes to the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percentages)</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380"/>
              <w:spacing w:after="0"/>
              <w:rPr>
                <w:sz w:val="20"/>
                <w:szCs w:val="20"/>
                <w:color w:val="auto"/>
              </w:rPr>
            </w:pPr>
            <w:r>
              <w:rPr>
                <w:rFonts w:ascii="Arial" w:cs="Arial" w:eastAsia="Arial" w:hAnsi="Arial"/>
                <w:sz w:val="14"/>
                <w:szCs w:val="14"/>
                <w:color w:val="auto"/>
              </w:rPr>
              <w:t>Fiscal 2017</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380"/>
              <w:spacing w:after="0"/>
              <w:rPr>
                <w:sz w:val="20"/>
                <w:szCs w:val="20"/>
                <w:color w:val="auto"/>
              </w:rPr>
            </w:pPr>
            <w:r>
              <w:rPr>
                <w:rFonts w:ascii="Arial" w:cs="Arial" w:eastAsia="Arial" w:hAnsi="Arial"/>
                <w:sz w:val="14"/>
                <w:szCs w:val="14"/>
                <w:color w:val="auto"/>
              </w:rPr>
              <w:t>Fiscal 2016</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380"/>
              <w:spacing w:after="0"/>
              <w:rPr>
                <w:sz w:val="20"/>
                <w:szCs w:val="20"/>
                <w:color w:val="auto"/>
              </w:rPr>
            </w:pPr>
            <w:r>
              <w:rPr>
                <w:rFonts w:ascii="Arial" w:cs="Arial" w:eastAsia="Arial" w:hAnsi="Arial"/>
                <w:sz w:val="14"/>
                <w:szCs w:val="14"/>
                <w:color w:val="auto"/>
              </w:rPr>
              <w:t>Fiscal 2015</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400" w:type="dxa"/>
            <w:vAlign w:val="bottom"/>
            <w:vMerge w:val="restart"/>
            <w:shd w:val="clear" w:color="auto" w:fill="CFF0FC"/>
          </w:tcPr>
          <w:p>
            <w:pPr>
              <w:spacing w:after="0" w:line="20" w:lineRule="exact"/>
              <w:rPr>
                <w:sz w:val="1"/>
                <w:szCs w:val="1"/>
                <w:color w:val="auto"/>
              </w:rPr>
            </w:pPr>
          </w:p>
        </w:tc>
        <w:tc>
          <w:tcPr>
            <w:tcW w:w="140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4"/>
              </w:rPr>
              <w:t>%</w:t>
            </w: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80" w:type="dxa"/>
            <w:vAlign w:val="bottom"/>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22.1%</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40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468.0</w:t>
            </w:r>
          </w:p>
        </w:tc>
        <w:tc>
          <w:tcPr>
            <w:tcW w:w="2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2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w:t>
            </w:r>
          </w:p>
        </w:tc>
        <w:tc>
          <w:tcPr>
            <w:tcW w:w="2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EFFECTS OF INFLATION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with Bank of America, N.A., which was most recently amended in October 2014 (“Credit Facility”). Our current cash needs are primarily for working capital (essentially inventory requirements), capital expenditures and growth initiatives. Our fiscal 2017 stock repurchase program, which is discussed below, expired at the end of the fiscal year. We plan to manage our working capital and it is expected that excess cash from operations will be directed toward our growth initiatives and debt reductions to ensure availability given our inventory reduction initiatives, with consideration of further share repurchases, if excess availability beyond our operating needs exists.</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fiscal 2017, cash flow from operating activities decreased by $4.0 million primarily as a result of the operating loss, partially offset by inventory initiatives which have improved timing of receipts and reduced weeks of supply on hand. Capital expenditures decreased $6.7 million as a result of fewer store openings in fiscal 2017, resulting in an improvement in free cash flow of $2.6 million to $8.4 million from $5.8 million for fiscal 2016. This free cash flow, together with borrowings under our credit facility, was used to pay down $7.1 million on our long-term debt and repurchase stock. In total, debt outstanding at February 3, 2018 decreased $3.7 million from January 28, 2017.</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Despite the reduction in total debt, our borrowing base under our credit facility at the end of fiscal 2017 was approximately $15.2 million lower than at the end of fiscal 2016. Because our availability is inventory-based, the decrease was directly attributable to our inventory reduction initiatives, which decreased inventory levels by approximately $14.1 million during fiscal 2017. The remaining decrease of $1.1 million was due to a higher level of outstanding letters of credit. Our advance rate improved slightly, which is an indication of the quality of our inventory. We believe that this availability, in addition to cash generated from operations, will be sufficient to meet our working capital needs during fiscal 2018. By the end of fiscal 2018, we expect to generate free cash flow of $9.1 million to $15.1 million, resulting in a corresponding expected decrease in total debt of approximately $9.1 million to $15.1 million.</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 our store footprint essentially complete, we expect our capital expenditures will decrease considerably in fiscal 2018 to approximately $11.4 million, a decrease from $22.6 million in fiscal 2017 and $29.2 million in fiscal 2016. See “Capital Expenditures”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ratios)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color w:val="auto"/>
                <w:w w:val="97"/>
              </w:rPr>
              <w:t>Fiscal 2017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color w:val="auto"/>
                <w:w w:val="97"/>
              </w:rPr>
              <w:t>Fiscal 2016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Fiscal 2015</w:t>
            </w:r>
          </w:p>
        </w:tc>
        <w:tc>
          <w:tcPr>
            <w:tcW w:w="1160" w:type="dxa"/>
            <w:vAlign w:val="bottom"/>
          </w:tcPr>
          <w:p>
            <w:pPr>
              <w:spacing w:after="0"/>
              <w:rPr>
                <w:sz w:val="14"/>
                <w:szCs w:val="14"/>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1500" w:type="dxa"/>
            <w:vAlign w:val="bottom"/>
            <w:tcBorders>
              <w:bottom w:val="single" w:sz="8" w:color="CFF0FC"/>
            </w:tcBorders>
            <w:shd w:val="clear" w:color="auto" w:fill="000000"/>
          </w:tcPr>
          <w:p>
            <w:pPr>
              <w:spacing w:after="0" w:line="20" w:lineRule="exact"/>
              <w:rPr>
                <w:sz w:val="1"/>
                <w:szCs w:val="1"/>
                <w:color w:val="auto"/>
              </w:rPr>
            </w:pPr>
          </w:p>
        </w:tc>
        <w:tc>
          <w:tcPr>
            <w:tcW w:w="252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provided by operations</w:t>
            </w: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9"/>
              </w:rPr>
              <w:t>Total debt, net of unamortized debt issuance costs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Unused excess availability under Credit Facility</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ratio</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675"/>
        </w:trPr>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360" w:type="dxa"/>
            <w:vAlign w:val="bottom"/>
          </w:tcPr>
          <w:p>
            <w:pPr>
              <w:jc w:val="right"/>
              <w:ind w:right="65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is a summary of our total debt outstanding at February 3, 2018, with the associated unamortized debt issuance costs: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color w:val="auto"/>
                <w:w w:val="98"/>
              </w:rPr>
              <w:t>Gross Debt</w:t>
            </w:r>
          </w:p>
        </w:tc>
        <w:tc>
          <w:tcPr>
            <w:tcW w:w="1540" w:type="dxa"/>
            <w:vAlign w:val="bottom"/>
            <w:gridSpan w:val="4"/>
          </w:tcPr>
          <w:p>
            <w:pPr>
              <w:ind w:left="200"/>
              <w:spacing w:after="0"/>
              <w:rPr>
                <w:sz w:val="20"/>
                <w:szCs w:val="20"/>
                <w:color w:val="auto"/>
              </w:rPr>
            </w:pPr>
            <w:r>
              <w:rPr>
                <w:rFonts w:ascii="Arial" w:cs="Arial" w:eastAsia="Arial" w:hAnsi="Arial"/>
                <w:sz w:val="14"/>
                <w:szCs w:val="14"/>
                <w:color w:val="auto"/>
              </w:rPr>
              <w:t>Less Debt Issuance</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Net Debt</w:t>
            </w:r>
          </w:p>
        </w:tc>
      </w:tr>
      <w:tr>
        <w:trPr>
          <w:trHeight w:val="174"/>
        </w:trPr>
        <w:tc>
          <w:tcPr>
            <w:tcW w:w="840" w:type="dxa"/>
            <w:vAlign w:val="bottom"/>
            <w:tcBorders>
              <w:bottom w:val="single" w:sz="8" w:color="auto"/>
            </w:tcBorders>
            <w:gridSpan w:val="2"/>
          </w:tcPr>
          <w:p>
            <w:pPr>
              <w:spacing w:after="0" w:line="154" w:lineRule="exact"/>
              <w:rPr>
                <w:sz w:val="20"/>
                <w:szCs w:val="20"/>
                <w:color w:val="auto"/>
              </w:rPr>
            </w:pPr>
            <w:r>
              <w:rPr>
                <w:rFonts w:ascii="Arial" w:cs="Arial" w:eastAsia="Arial" w:hAnsi="Arial"/>
                <w:sz w:val="14"/>
                <w:szCs w:val="14"/>
                <w:i w:val="1"/>
                <w:iCs w:val="1"/>
                <w:color w:val="auto"/>
                <w:w w:val="92"/>
              </w:rPr>
              <w:t>(in thousands)</w:t>
            </w:r>
          </w:p>
        </w:tc>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16"/>
              <w:spacing w:after="0" w:line="154" w:lineRule="exact"/>
              <w:rPr>
                <w:sz w:val="20"/>
                <w:szCs w:val="20"/>
                <w:color w:val="auto"/>
              </w:rPr>
            </w:pPr>
            <w:r>
              <w:rPr>
                <w:rFonts w:ascii="Arial" w:cs="Arial" w:eastAsia="Arial" w:hAnsi="Arial"/>
                <w:sz w:val="14"/>
                <w:szCs w:val="14"/>
                <w:color w:val="auto"/>
                <w:w w:val="95"/>
              </w:rPr>
              <w:t>Outstanding</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620"/>
              <w:spacing w:after="0" w:line="154" w:lineRule="exact"/>
              <w:rPr>
                <w:sz w:val="20"/>
                <w:szCs w:val="20"/>
                <w:color w:val="auto"/>
              </w:rPr>
            </w:pPr>
            <w:r>
              <w:rPr>
                <w:rFonts w:ascii="Arial" w:cs="Arial" w:eastAsia="Arial" w:hAnsi="Arial"/>
                <w:sz w:val="14"/>
                <w:szCs w:val="14"/>
                <w:color w:val="auto"/>
              </w:rPr>
              <w:t>Costs</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2"/>
              </w:rPr>
              <w:t>Outstanding</w:t>
            </w:r>
          </w:p>
        </w:tc>
      </w:tr>
      <w:tr>
        <w:trPr>
          <w:trHeight w:val="217"/>
        </w:trPr>
        <w:tc>
          <w:tcPr>
            <w:tcW w:w="20" w:type="dxa"/>
            <w:vAlign w:val="bottom"/>
          </w:tcPr>
          <w:p>
            <w:pPr>
              <w:spacing w:after="0"/>
              <w:rPr>
                <w:sz w:val="18"/>
                <w:szCs w:val="18"/>
                <w:color w:val="auto"/>
              </w:rPr>
            </w:pPr>
          </w:p>
        </w:tc>
        <w:tc>
          <w:tcPr>
            <w:tcW w:w="5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47,601</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47,385</w:t>
            </w: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Equipment financing notes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11,561</w:t>
            </w:r>
          </w:p>
        </w:tc>
        <w:tc>
          <w:tcPr>
            <w:tcW w:w="80" w:type="dxa"/>
            <w:vAlign w:val="bottom"/>
            <w:shd w:val="clear" w:color="auto" w:fill="CFF0FC"/>
          </w:tcPr>
          <w:p>
            <w:pPr>
              <w:spacing w:after="0"/>
              <w:rPr>
                <w:sz w:val="19"/>
                <w:szCs w:val="19"/>
                <w:color w:val="auto"/>
              </w:rPr>
            </w:pPr>
          </w:p>
        </w:tc>
      </w:tr>
      <w:tr>
        <w:trPr>
          <w:trHeight w:val="224"/>
        </w:trPr>
        <w:tc>
          <w:tcPr>
            <w:tcW w:w="536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59,852</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59,446</w:t>
            </w:r>
          </w:p>
        </w:tc>
        <w:tc>
          <w:tcPr>
            <w:tcW w:w="80" w:type="dxa"/>
            <w:vAlign w:val="bottom"/>
          </w:tcPr>
          <w:p>
            <w:pPr>
              <w:spacing w:after="0"/>
              <w:rPr>
                <w:sz w:val="19"/>
                <w:szCs w:val="19"/>
                <w:color w:val="auto"/>
              </w:rPr>
            </w:pPr>
          </w:p>
        </w:tc>
      </w:tr>
    </w:tbl>
    <w:p>
      <w:pPr>
        <w:spacing w:after="0" w:line="3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Credit Facility with Bank of America, N.A. provides for a maximum committed borrowing of $125.0 million, which, pursuant to an accordion feature, may be increased to $175.0 million upon our request and the agreement of the lender(s) participating in the increase. The Credit Facility includes a sublimit of $20.0 million for commercial and standby letters of credit and a sublimit of up to $15.0 million for swingline loans. The maturity date of the Credit Facility is October 29, 2019. Our Credit Facility is described in more detail in Note C to the Notes to the Consolidated Financial Statements.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had outstanding borrowings of $47.6 million under the Credit Facility at February 3, 2018. Outstanding standby letters of credit were $3.3 million and outstanding documentary letters of credit were $1.3 million. The average monthly borrowing outstanding under the Credit Facility during fiscal 2017 was approximately $59.7 million, resulting in an average unused excess availability of approximately $42.5 million. Unused excess availability at February 3, 2018 was $37.5 million. Our obligations under the Credit Facility are secured by a lien on substantially all of our assets, excluding (i) a first priority lien held by the lenders of the Term Loan Facility described below on certain equipment of the Company and (ii) intellectual property.</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Equipment Financing Notes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September 30, 2013. The Notes are secured by a security interest in all of our rights, title and interest in and to certain equipment. The Notes are for 48 months and accrue interest at fixed rates ranging from 3.07% to 3.50%. Principal and interest, in arrears, are payable monthly. We are no longer subject to any prepayment penalties. The Notes are secured by a security interest in all of the Company’s rights, title and interest in and to certain equipment.</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Term Loan, Due 2019</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$15.0 million senior secured term loan facility with Wells Fargo Bank, National Association as administrative and collateral agent (the “Term Loan Facility”). 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which matures October 29, 2019,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We are no longer subject to any prepayment penalties.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Term Loan Facility is secured by a first priority lien on certain of our equipment, and a second priority lien on substantially all of our remaining assets, excluding intellectual property.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2" w:name="page33"/>
    <w:bookmarkEnd w:id="32"/>
    <w:p>
      <w:pPr>
        <w:ind w:left="260"/>
        <w:spacing w:after="0"/>
        <w:rPr>
          <w:sz w:val="20"/>
          <w:szCs w:val="20"/>
          <w:color w:val="auto"/>
        </w:rPr>
      </w:pPr>
      <w:r>
        <w:rPr>
          <w:rFonts w:ascii="Arial" w:cs="Arial" w:eastAsia="Arial" w:hAnsi="Arial"/>
          <w:sz w:val="18"/>
          <w:szCs w:val="18"/>
          <w:b w:val="1"/>
          <w:bCs w:val="1"/>
          <w:i w:val="1"/>
          <w:iCs w:val="1"/>
          <w:u w:val="single" w:color="auto"/>
          <w:color w:val="auto"/>
        </w:rPr>
        <w:t>Stock Repurchase Program</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March 17, 2017, our Board of Directors approved a stock repurchase plan. Under the stock repurchase plan, we could purchase up to $12.0 million of our common stock through open market and privately negotiated transactions during fiscal 2017. The timing and the amount of any repurchases of common stock was determined based on the Company’s evaluation of market conditions and other factors. The stock repurchase program commenced in the first quarter of fiscal 2017 and expired on February 3, 2018. We financed the repurchases from operating funds.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fiscal 2017, the Company purchased 1,878,434 shares of common stock at an average price of $2.49 per share. There were no stock repurchases during the third and fourth quarters of fiscal 2017. The repurchased common stock is held as treasury stock.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February 3, 2018, total inventories decreased to $103.3 million from $117.4 million at January 28, 2017. The $14.1 million decrease in inventory is directly attributable to our continued inventory initiatives implemented in fiscal 2016 to improve timing of receipts and reduce weeks of supply on hand. As a result of these initiatives, the average inventory per total built-out square footage of stores has decreased 13.9% to $47.86 at February 3, 2018 from $55.60 per square foot at January 28, 2017 and $61.46 per square foot at January 30, 2016. At February 3, 2018, our clearance inventory represented 9.8% of our inventory, as compared to 7.9% at January 28, 2017. This increased percentage of clearance is primarily due to the lower inventory base as a result of the inventory productivity initiatives at fiscal 2017 as compared to fiscal 2016.</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at February 3, 2018, and the effect such obligations are expected to have on our liquidity and cash flows in future periods (Certain amounts in the following table do not foot due to rounding):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Payments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5"/>
              <w:spacing w:after="0" w:line="137" w:lineRule="exact"/>
              <w:rPr>
                <w:sz w:val="20"/>
                <w:szCs w:val="20"/>
                <w:color w:val="auto"/>
              </w:rPr>
            </w:pPr>
            <w:r>
              <w:rPr>
                <w:rFonts w:ascii="Arial" w:cs="Arial" w:eastAsia="Arial" w:hAnsi="Arial"/>
                <w:sz w:val="14"/>
                <w:szCs w:val="14"/>
                <w:color w:val="auto"/>
                <w:w w:val="93"/>
              </w:rPr>
              <w:t>More than 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80" w:type="dxa"/>
            <w:vAlign w:val="bottom"/>
            <w:gridSpan w:val="3"/>
          </w:tcPr>
          <w:p>
            <w:pPr>
              <w:spacing w:after="0"/>
              <w:rPr>
                <w:sz w:val="20"/>
                <w:szCs w:val="20"/>
                <w:color w:val="auto"/>
              </w:rPr>
            </w:pPr>
            <w:r>
              <w:rPr>
                <w:rFonts w:ascii="Arial" w:cs="Arial" w:eastAsia="Arial" w:hAnsi="Arial"/>
                <w:sz w:val="14"/>
                <w:szCs w:val="14"/>
                <w:color w:val="auto"/>
              </w:rPr>
              <w:t>Contractual Obligations</w:t>
            </w:r>
          </w:p>
        </w:tc>
        <w:tc>
          <w:tcPr>
            <w:tcW w:w="24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w w:val="90"/>
              </w:rPr>
              <w:t>Less than 1 year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1 to 3 years</w:t>
            </w: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3 to 5 years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i w:val="1"/>
                <w:iCs w:val="1"/>
                <w:color w:val="auto"/>
                <w:w w:val="98"/>
              </w:rPr>
              <w:t>(in millions)</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62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on long-term debt obligations </w:t>
            </w:r>
            <w:r>
              <w:rPr>
                <w:rFonts w:ascii="Arial" w:cs="Arial" w:eastAsia="Arial" w:hAnsi="Arial"/>
                <w:sz w:val="15"/>
                <w:szCs w:val="15"/>
                <w:color w:val="auto"/>
              </w:rPr>
              <w:t>(3)</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 xml:space="preserve">Merchandise purchase obligations </w:t>
            </w:r>
            <w:r>
              <w:rPr>
                <w:rFonts w:ascii="Arial" w:cs="Arial" w:eastAsia="Arial" w:hAnsi="Arial"/>
                <w:sz w:val="15"/>
                <w:szCs w:val="15"/>
                <w:color w:val="auto"/>
              </w:rPr>
              <w:t>(4)</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Arial" w:cs="Arial" w:eastAsia="Arial" w:hAnsi="Arial"/>
                <w:sz w:val="18"/>
                <w:szCs w:val="18"/>
                <w:color w:val="auto"/>
              </w:rPr>
              <w:t xml:space="preserve">Total Commitments </w:t>
            </w:r>
            <w:r>
              <w:rPr>
                <w:rFonts w:ascii="Arial" w:cs="Arial" w:eastAsia="Arial" w:hAnsi="Arial"/>
                <w:sz w:val="15"/>
                <w:szCs w:val="15"/>
                <w:color w:val="auto"/>
              </w:rPr>
              <w:t>(5)</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320" w:hanging="512"/>
        <w:spacing w:after="0" w:line="258"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amounts due on our lease agreement for our corporate headquarters and distribution center and operating leases for all of our current store locations and certain equipment and auto leases.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February 3, 2018, we had $47.6 million outstanding under our credit facility, which is excluded from the above table.</w:t>
      </w:r>
    </w:p>
    <w:p>
      <w:pPr>
        <w:spacing w:after="0" w:line="9" w:lineRule="exact"/>
        <w:rPr>
          <w:rFonts w:ascii="Arial" w:cs="Arial" w:eastAsia="Arial" w:hAnsi="Arial"/>
          <w:sz w:val="18"/>
          <w:szCs w:val="18"/>
          <w:color w:val="auto"/>
        </w:rPr>
      </w:pPr>
    </w:p>
    <w:p>
      <w:pPr>
        <w:ind w:left="520" w:right="44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Interest on long-term obligations is estimated </w:t>
      </w:r>
      <w:r>
        <w:rPr>
          <w:rFonts w:ascii="Arial" w:cs="Arial" w:eastAsia="Arial" w:hAnsi="Arial"/>
          <w:sz w:val="18"/>
          <w:szCs w:val="18"/>
          <w:color w:val="212121"/>
        </w:rPr>
        <w:t>using the current effective rate for each of the Equipment Financing Loans and Term Loan over the</w:t>
      </w:r>
      <w:r>
        <w:rPr>
          <w:rFonts w:ascii="Arial" w:cs="Arial" w:eastAsia="Arial" w:hAnsi="Arial"/>
          <w:sz w:val="18"/>
          <w:szCs w:val="18"/>
          <w:color w:val="auto"/>
        </w:rPr>
        <w:t xml:space="preserve"> </w:t>
      </w:r>
      <w:r>
        <w:rPr>
          <w:rFonts w:ascii="Arial" w:cs="Arial" w:eastAsia="Arial" w:hAnsi="Arial"/>
          <w:sz w:val="18"/>
          <w:szCs w:val="18"/>
          <w:color w:val="212121"/>
        </w:rPr>
        <w:t>remaining term of the respective debt, taking into account scheduled repayments.</w:t>
      </w:r>
    </w:p>
    <w:p>
      <w:pPr>
        <w:ind w:left="520" w:right="140" w:hanging="512"/>
        <w:spacing w:after="0" w:line="26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Merchandise Purchase Obligations include amounts for which we are contractually committed to meet certain minimum purchases. These commitments are contingent on the supplier meeting its obligations under the contract. Excluded from Merchandise Purchase Obligations in the table above are our outstanding obligations pursuant to open purchase orders. At February 3, 2018, we had approximately $59.5 million in open purchase orders. We estimate that approximately 95% of these purchase orders may be considered non-cancelable.</w:t>
      </w:r>
    </w:p>
    <w:p>
      <w:pPr>
        <w:ind w:left="520" w:right="240" w:hanging="512"/>
        <w:spacing w:after="0" w:line="290"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 February 3, 2018, we had an unfunded Pension Obligation of $3.4 million and obligations under our Supplemental Employee Retirement Plan of $0.5 million, which are not included in the table because of uncertainty over whether or when further contributions will be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February 3, 2018 and January 28, 2017 respectively: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7"/>
          </w:tcPr>
          <w:p>
            <w:pPr>
              <w:jc w:val="right"/>
              <w:ind w:right="580"/>
              <w:spacing w:after="0"/>
              <w:rPr>
                <w:sz w:val="20"/>
                <w:szCs w:val="20"/>
                <w:color w:val="auto"/>
              </w:rPr>
            </w:pPr>
            <w:r>
              <w:rPr>
                <w:rFonts w:ascii="Arial" w:cs="Arial" w:eastAsia="Arial" w:hAnsi="Arial"/>
                <w:sz w:val="14"/>
                <w:szCs w:val="14"/>
                <w:color w:val="auto"/>
              </w:rPr>
              <w:t>At February 3, 2018</w:t>
            </w:r>
          </w:p>
        </w:tc>
        <w:tc>
          <w:tcPr>
            <w:tcW w:w="200" w:type="dxa"/>
            <w:vAlign w:val="bottom"/>
          </w:tcPr>
          <w:p>
            <w:pPr>
              <w:spacing w:after="0"/>
              <w:rPr>
                <w:sz w:val="14"/>
                <w:szCs w:val="14"/>
                <w:color w:val="auto"/>
              </w:rPr>
            </w:pPr>
          </w:p>
        </w:tc>
        <w:tc>
          <w:tcPr>
            <w:tcW w:w="2420" w:type="dxa"/>
            <w:vAlign w:val="bottom"/>
            <w:gridSpan w:val="10"/>
          </w:tcPr>
          <w:p>
            <w:pPr>
              <w:jc w:val="right"/>
              <w:ind w:right="680"/>
              <w:spacing w:after="0"/>
              <w:rPr>
                <w:sz w:val="20"/>
                <w:szCs w:val="20"/>
                <w:color w:val="auto"/>
              </w:rPr>
            </w:pPr>
            <w:r>
              <w:rPr>
                <w:rFonts w:ascii="Arial" w:cs="Arial" w:eastAsia="Arial" w:hAnsi="Arial"/>
                <w:sz w:val="14"/>
                <w:szCs w:val="14"/>
                <w:color w:val="auto"/>
              </w:rPr>
              <w:t>At January 28, 2017</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Square</w:t>
            </w:r>
          </w:p>
        </w:tc>
        <w:tc>
          <w:tcPr>
            <w:tcW w:w="200" w:type="dxa"/>
            <w:vAlign w:val="bottom"/>
          </w:tcPr>
          <w:p>
            <w:pPr>
              <w:spacing w:after="0"/>
              <w:rPr>
                <w:sz w:val="12"/>
                <w:szCs w:val="12"/>
                <w:color w:val="auto"/>
              </w:rPr>
            </w:pPr>
          </w:p>
        </w:tc>
        <w:tc>
          <w:tcPr>
            <w:tcW w:w="1540" w:type="dxa"/>
            <w:vAlign w:val="bottom"/>
            <w:gridSpan w:val="6"/>
          </w:tcPr>
          <w:p>
            <w:pPr>
              <w:ind w:left="200"/>
              <w:spacing w:after="0" w:line="149" w:lineRule="exact"/>
              <w:rPr>
                <w:sz w:val="20"/>
                <w:szCs w:val="20"/>
                <w:color w:val="auto"/>
              </w:rPr>
            </w:pPr>
            <w:r>
              <w:rPr>
                <w:rFonts w:ascii="Arial" w:cs="Arial" w:eastAsia="Arial" w:hAnsi="Arial"/>
                <w:sz w:val="14"/>
                <w:szCs w:val="14"/>
                <w:color w:val="auto"/>
              </w:rPr>
              <w:t>Number of</w:t>
            </w:r>
          </w:p>
        </w:tc>
        <w:tc>
          <w:tcPr>
            <w:tcW w:w="88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Square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Store Concept</w:t>
            </w: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Stores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Footage</w:t>
            </w:r>
          </w:p>
        </w:tc>
        <w:tc>
          <w:tcPr>
            <w:tcW w:w="20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Stores</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color w:val="auto"/>
                <w:w w:val="85"/>
              </w:rPr>
              <w:t>Footage</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60" w:type="dxa"/>
            <w:vAlign w:val="bottom"/>
            <w:gridSpan w:val="3"/>
          </w:tcPr>
          <w:p>
            <w:pPr>
              <w:ind w:left="580"/>
              <w:spacing w:after="0"/>
              <w:rPr>
                <w:sz w:val="20"/>
                <w:szCs w:val="20"/>
                <w:color w:val="auto"/>
              </w:rPr>
            </w:pPr>
            <w:r>
              <w:rPr>
                <w:rFonts w:ascii="Arial" w:cs="Arial" w:eastAsia="Arial" w:hAnsi="Arial"/>
                <w:sz w:val="14"/>
                <w:szCs w:val="14"/>
                <w:i w:val="1"/>
                <w:iCs w:val="1"/>
                <w:color w:val="auto"/>
              </w:rPr>
              <w:t>(square footage in thousands)</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1,665</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192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DXL Outlet</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Casual Male XL Outlet</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3"/>
          </w:tcPr>
          <w:p>
            <w:pPr>
              <w:ind w:left="580"/>
              <w:spacing w:after="0"/>
              <w:rPr>
                <w:sz w:val="20"/>
                <w:szCs w:val="20"/>
                <w:color w:val="auto"/>
              </w:rPr>
            </w:pPr>
            <w:r>
              <w:rPr>
                <w:rFonts w:ascii="Arial" w:cs="Arial" w:eastAsia="Arial" w:hAnsi="Arial"/>
                <w:sz w:val="18"/>
                <w:szCs w:val="18"/>
                <w:color w:val="auto"/>
              </w:rPr>
              <w:t>Total Stores</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2,159</w:t>
            </w: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343</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6980" w:type="dxa"/>
            <w:vAlign w:val="bottom"/>
            <w:gridSpan w:val="9"/>
          </w:tcPr>
          <w:p>
            <w:pPr>
              <w:spacing w:after="0"/>
              <w:rPr>
                <w:sz w:val="20"/>
                <w:szCs w:val="20"/>
                <w:color w:val="auto"/>
              </w:rPr>
            </w:pPr>
            <w:r>
              <w:rPr>
                <w:rFonts w:ascii="Arial" w:cs="Arial" w:eastAsia="Arial" w:hAnsi="Arial"/>
                <w:sz w:val="18"/>
                <w:szCs w:val="18"/>
                <w:color w:val="auto"/>
                <w:w w:val="91"/>
              </w:rPr>
              <w:t>Below is a summary of store openings and closings from January 28, 2017 to February 3, 2018: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tcPr>
          <w:p>
            <w:pPr>
              <w:jc w:val="right"/>
              <w:ind w:right="360"/>
              <w:spacing w:after="0"/>
              <w:rPr>
                <w:sz w:val="20"/>
                <w:szCs w:val="20"/>
                <w:color w:val="auto"/>
              </w:rPr>
            </w:pPr>
            <w:r>
              <w:rPr>
                <w:rFonts w:ascii="Arial" w:cs="Arial" w:eastAsia="Arial" w:hAnsi="Arial"/>
                <w:sz w:val="14"/>
                <w:szCs w:val="14"/>
                <w:color w:val="auto"/>
              </w:rPr>
              <w:t>Casual Male</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Casual Male</w:t>
            </w:r>
          </w:p>
        </w:tc>
        <w:tc>
          <w:tcPr>
            <w:tcW w:w="80" w:type="dxa"/>
            <w:vAlign w:val="bottom"/>
          </w:tcPr>
          <w:p>
            <w:pPr>
              <w:spacing w:after="0"/>
              <w:rPr>
                <w:sz w:val="24"/>
                <w:szCs w:val="24"/>
                <w:color w:val="auto"/>
              </w:rPr>
            </w:pPr>
          </w:p>
        </w:tc>
        <w:tc>
          <w:tcPr>
            <w:tcW w:w="1600" w:type="dxa"/>
            <w:vAlign w:val="bottom"/>
            <w:gridSpan w:val="7"/>
          </w:tcPr>
          <w:p>
            <w:pPr>
              <w:jc w:val="center"/>
              <w:ind w:right="680"/>
              <w:spacing w:after="0"/>
              <w:rPr>
                <w:sz w:val="20"/>
                <w:szCs w:val="20"/>
                <w:color w:val="auto"/>
              </w:rPr>
            </w:pPr>
            <w:r>
              <w:rPr>
                <w:rFonts w:ascii="Arial" w:cs="Arial" w:eastAsia="Arial" w:hAnsi="Arial"/>
                <w:sz w:val="14"/>
                <w:szCs w:val="14"/>
                <w:color w:val="auto"/>
                <w:w w:val="87"/>
              </w:rPr>
              <w:t>Rochester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60" w:type="dxa"/>
            <w:vAlign w:val="bottom"/>
            <w:gridSpan w:val="3"/>
          </w:tcPr>
          <w:p>
            <w:pPr>
              <w:spacing w:after="0"/>
              <w:rPr>
                <w:sz w:val="20"/>
                <w:szCs w:val="20"/>
                <w:color w:val="auto"/>
              </w:rPr>
            </w:pPr>
            <w:r>
              <w:rPr>
                <w:rFonts w:ascii="Arial" w:cs="Arial" w:eastAsia="Arial" w:hAnsi="Arial"/>
                <w:sz w:val="14"/>
                <w:szCs w:val="14"/>
                <w:color w:val="auto"/>
              </w:rPr>
              <w:t>Number of Stores:</w:t>
            </w:r>
          </w:p>
        </w:tc>
        <w:tc>
          <w:tcPr>
            <w:tcW w:w="1100" w:type="dxa"/>
            <w:vAlign w:val="bottom"/>
            <w:gridSpan w:val="3"/>
          </w:tcPr>
          <w:p>
            <w:pPr>
              <w:ind w:left="120"/>
              <w:spacing w:after="0"/>
              <w:rPr>
                <w:sz w:val="20"/>
                <w:szCs w:val="20"/>
                <w:color w:val="auto"/>
              </w:rPr>
            </w:pPr>
            <w:r>
              <w:rPr>
                <w:rFonts w:ascii="Arial" w:cs="Arial" w:eastAsia="Arial" w:hAnsi="Arial"/>
                <w:sz w:val="14"/>
                <w:szCs w:val="14"/>
                <w:color w:val="auto"/>
              </w:rPr>
              <w:t>DXL Retail</w:t>
            </w:r>
          </w:p>
        </w:tc>
        <w:tc>
          <w:tcPr>
            <w:tcW w:w="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DXL Outlet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color w:val="auto"/>
              </w:rPr>
              <w:t>XL Retail</w:t>
            </w:r>
          </w:p>
        </w:tc>
        <w:tc>
          <w:tcPr>
            <w:tcW w:w="940" w:type="dxa"/>
            <w:vAlign w:val="bottom"/>
            <w:gridSpan w:val="3"/>
          </w:tcPr>
          <w:p>
            <w:pPr>
              <w:jc w:val="right"/>
              <w:ind w:right="280"/>
              <w:spacing w:after="0"/>
              <w:rPr>
                <w:sz w:val="20"/>
                <w:szCs w:val="20"/>
                <w:color w:val="auto"/>
              </w:rPr>
            </w:pPr>
            <w:r>
              <w:rPr>
                <w:rFonts w:ascii="Arial" w:cs="Arial" w:eastAsia="Arial" w:hAnsi="Arial"/>
                <w:sz w:val="14"/>
                <w:szCs w:val="14"/>
                <w:color w:val="auto"/>
              </w:rPr>
              <w:t>XL Outlet</w:t>
            </w:r>
          </w:p>
        </w:tc>
        <w:tc>
          <w:tcPr>
            <w:tcW w:w="80" w:type="dxa"/>
            <w:vAlign w:val="bottom"/>
          </w:tcPr>
          <w:p>
            <w:pPr>
              <w:spacing w:after="0"/>
              <w:rPr>
                <w:sz w:val="14"/>
                <w:szCs w:val="14"/>
                <w:color w:val="auto"/>
              </w:rPr>
            </w:pPr>
          </w:p>
        </w:tc>
        <w:tc>
          <w:tcPr>
            <w:tcW w:w="720" w:type="dxa"/>
            <w:vAlign w:val="bottom"/>
            <w:gridSpan w:val="3"/>
          </w:tcPr>
          <w:p>
            <w:pPr>
              <w:jc w:val="center"/>
              <w:ind w:left="128"/>
              <w:spacing w:after="0"/>
              <w:rPr>
                <w:sz w:val="20"/>
                <w:szCs w:val="20"/>
                <w:color w:val="auto"/>
              </w:rPr>
            </w:pPr>
            <w:r>
              <w:rPr>
                <w:rFonts w:ascii="Arial" w:cs="Arial" w:eastAsia="Arial" w:hAnsi="Arial"/>
                <w:sz w:val="14"/>
                <w:szCs w:val="14"/>
                <w:color w:val="auto"/>
              </w:rPr>
              <w:t>Clothing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4"/>
                <w:szCs w:val="14"/>
                <w:color w:val="auto"/>
              </w:rPr>
              <w:t>Total Stores</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At January 28, 2017</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60" w:type="dxa"/>
            <w:vAlign w:val="bottom"/>
            <w:gridSpan w:val="3"/>
          </w:tcPr>
          <w:p>
            <w:pPr>
              <w:ind w:left="26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11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860" w:type="dxa"/>
            <w:vAlign w:val="bottom"/>
            <w:gridSpan w:val="3"/>
          </w:tcPr>
          <w:p>
            <w:pPr>
              <w:ind w:left="26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At February 3,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stores opened in new markets, including two stores located in Toronto, Canada.</w:t>
      </w:r>
    </w:p>
    <w:p>
      <w:pPr>
        <w:spacing w:after="0" w:line="23"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capital expenditures for fiscal 2017 were $22.6 million, as compared to $29.2 million in fiscal 2016 and $33.4 million in fiscal 2015. Approximately $12.9 million related to the opening of 20 DXL stores and 1 DXL outlet. In addition, we spent approximately $6.9 million in management information projects, which included continued enhancements for our e-commerce sites and upgrades to our merchandise planning systems, with the remaining $2.8 million for general capital projects in our distribution center and corporate offices.</w:t>
      </w:r>
    </w:p>
    <w:p>
      <w:pPr>
        <w:spacing w:after="0" w:line="187"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For fiscal 2018, our capital expenditures are expected to be approximately $11.4 million and we expect to receive approximately $1.1 million in tenant allowances to offset these expenditures. Our budget includes approximately $2.1 million, excluding any allowance, related to the opening of 2 new DXL retail stores, the remodeling of 2 Casual Male XL to DXL retail stores and 1 DXL outlet store, and approximately $9.3 million for continued information technology projects and general overhead projects. In addition, we expect to close 7 Casual Male XL retail stores, 4 Casual Male XL outlet stores (two of which will close in connection with the opening of two DXL stores) and 1 DXL retail store.</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Reconciliations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monitor certain non-GAAP financial measures on a regular basis in order to track the progress of our business, including the measures below. We believe these measures provide helpful information with respect to the Company’s operating performance to shareholders, investors and analysts, and that the inclusion of these non-GAAP measures is important to assist investors in comparing our performance in fiscal 2017 to fiscal 2016 and fiscal 2015, on a comparable basis. However, these measures may not be comparable to similar measures used by other companies and should not be considered superior to or as a substitute for operating net loss, loss from continuing operations, net loss per diluted share or cash flows from operating activities in accordance with GAAP.</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Adjusted Net Loss and Adjusted Net Loss Per Diluted Share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Adjusted loss from continuing operations and adjusted net loss reflect an adjustment assuming a normal tax rate of 26% and the add back of impairment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charges. We have fully reserved against our deferred tax assets and, therefore, net loss is not reflective of earnings assuming a “normal” tax</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position. Adjusted net loss provides investors with a useful indication of the financial performance of the business, on a comparative basis, assuming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normalized tax rate of 26%. As discussed above, as a result of the 2017 Tax Act the federal income rate was reduced from 35% to 21%, therefore, we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using an estimated normal tax rate of 26%, which includes a blended state income tax rate.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4" w:name="page35"/>
    <w:bookmarkEnd w:id="34"/>
    <w:p>
      <w:pPr>
        <w:ind w:right="120"/>
        <w:spacing w:after="0" w:line="277" w:lineRule="auto"/>
        <w:rPr>
          <w:sz w:val="20"/>
          <w:szCs w:val="20"/>
          <w:color w:val="auto"/>
        </w:rPr>
      </w:pPr>
      <w:r>
        <w:rPr>
          <w:rFonts w:ascii="Arial" w:cs="Arial" w:eastAsia="Arial" w:hAnsi="Arial"/>
          <w:sz w:val="18"/>
          <w:szCs w:val="18"/>
          <w:color w:val="auto"/>
        </w:rPr>
        <w:t>The following table is a reconciliation of net loss and net loss per diluted share (on a GAAP basis) to adjusted net loss and adjusted net loss per diluted share (on a non-GAAP basis) (certain amounts may not foot due to rounding):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jc w:val="right"/>
              <w:ind w:right="860"/>
              <w:spacing w:after="0"/>
              <w:rPr>
                <w:sz w:val="20"/>
                <w:szCs w:val="20"/>
                <w:color w:val="auto"/>
              </w:rPr>
            </w:pPr>
            <w:r>
              <w:rPr>
                <w:rFonts w:ascii="Arial" w:cs="Arial" w:eastAsia="Arial" w:hAnsi="Arial"/>
                <w:sz w:val="14"/>
                <w:szCs w:val="14"/>
                <w:color w:val="auto"/>
              </w:rPr>
              <w:t>Fiscal 2017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6"/>
          </w:tcPr>
          <w:p>
            <w:pPr>
              <w:jc w:val="right"/>
              <w:ind w:right="980"/>
              <w:spacing w:after="0"/>
              <w:rPr>
                <w:sz w:val="20"/>
                <w:szCs w:val="20"/>
                <w:color w:val="auto"/>
              </w:rPr>
            </w:pPr>
            <w:r>
              <w:rPr>
                <w:rFonts w:ascii="Arial" w:cs="Arial" w:eastAsia="Arial" w:hAnsi="Arial"/>
                <w:sz w:val="14"/>
                <w:szCs w:val="14"/>
                <w:color w:val="auto"/>
              </w:rPr>
              <w:t>Fiscal 2016</w:t>
            </w:r>
          </w:p>
        </w:tc>
        <w:tc>
          <w:tcPr>
            <w:tcW w:w="260" w:type="dxa"/>
            <w:vAlign w:val="bottom"/>
          </w:tcPr>
          <w:p>
            <w:pPr>
              <w:spacing w:after="0"/>
              <w:rPr>
                <w:sz w:val="14"/>
                <w:szCs w:val="14"/>
                <w:color w:val="auto"/>
              </w:rPr>
            </w:pPr>
          </w:p>
        </w:tc>
        <w:tc>
          <w:tcPr>
            <w:tcW w:w="1920" w:type="dxa"/>
            <w:vAlign w:val="bottom"/>
            <w:gridSpan w:val="5"/>
          </w:tcPr>
          <w:p>
            <w:pPr>
              <w:jc w:val="right"/>
              <w:ind w:right="82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4"/>
              <w:spacing w:after="0" w:line="137" w:lineRule="exact"/>
              <w:rPr>
                <w:sz w:val="20"/>
                <w:szCs w:val="20"/>
                <w:color w:val="auto"/>
              </w:rPr>
            </w:pPr>
            <w:r>
              <w:rPr>
                <w:rFonts w:ascii="Arial" w:cs="Arial" w:eastAsia="Arial" w:hAnsi="Arial"/>
                <w:sz w:val="14"/>
                <w:szCs w:val="14"/>
                <w:color w:val="auto"/>
                <w:w w:val="89"/>
              </w:rPr>
              <w:t>Per diluted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4"/>
              <w:spacing w:after="0" w:line="137" w:lineRule="exact"/>
              <w:rPr>
                <w:sz w:val="20"/>
                <w:szCs w:val="20"/>
                <w:color w:val="auto"/>
              </w:rPr>
            </w:pPr>
            <w:r>
              <w:rPr>
                <w:rFonts w:ascii="Arial" w:cs="Arial" w:eastAsia="Arial" w:hAnsi="Arial"/>
                <w:sz w:val="14"/>
                <w:szCs w:val="14"/>
                <w:color w:val="auto"/>
                <w:w w:val="92"/>
              </w:rPr>
              <w:t>Per diluted</w:t>
            </w:r>
          </w:p>
        </w:tc>
        <w:tc>
          <w:tcPr>
            <w:tcW w:w="2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4"/>
              <w:spacing w:after="0" w:line="137" w:lineRule="exact"/>
              <w:rPr>
                <w:sz w:val="20"/>
                <w:szCs w:val="20"/>
                <w:color w:val="auto"/>
              </w:rPr>
            </w:pPr>
            <w:r>
              <w:rPr>
                <w:rFonts w:ascii="Arial" w:cs="Arial" w:eastAsia="Arial" w:hAnsi="Arial"/>
                <w:sz w:val="14"/>
                <w:szCs w:val="14"/>
                <w:color w:val="auto"/>
                <w:w w:val="92"/>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580" w:type="dxa"/>
            <w:vAlign w:val="bottom"/>
            <w:gridSpan w:val="4"/>
          </w:tcPr>
          <w:p>
            <w:pPr>
              <w:spacing w:after="0" w:line="154" w:lineRule="exact"/>
              <w:rPr>
                <w:sz w:val="20"/>
                <w:szCs w:val="20"/>
                <w:color w:val="auto"/>
              </w:rPr>
            </w:pPr>
            <w:r>
              <w:rPr>
                <w:rFonts w:ascii="Arial" w:cs="Arial" w:eastAsia="Arial" w:hAnsi="Arial"/>
                <w:sz w:val="14"/>
                <w:szCs w:val="14"/>
                <w:i w:val="1"/>
                <w:iCs w:val="1"/>
                <w:color w:val="auto"/>
              </w:rPr>
              <w:t>(in thousands, except per share data)</w:t>
            </w:r>
          </w:p>
        </w:tc>
        <w:tc>
          <w:tcPr>
            <w:tcW w:w="240" w:type="dxa"/>
            <w:vAlign w:val="bottom"/>
          </w:tcPr>
          <w:p>
            <w:pPr>
              <w:spacing w:after="0"/>
              <w:rPr>
                <w:sz w:val="13"/>
                <w:szCs w:val="13"/>
                <w:color w:val="auto"/>
              </w:rPr>
            </w:pPr>
          </w:p>
        </w:tc>
        <w:tc>
          <w:tcPr>
            <w:tcW w:w="720" w:type="dxa"/>
            <w:vAlign w:val="bottom"/>
          </w:tcPr>
          <w:p>
            <w:pPr>
              <w:jc w:val="right"/>
              <w:ind w:right="374"/>
              <w:spacing w:after="0" w:line="15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40"/>
              <w:spacing w:after="0" w:line="154" w:lineRule="exact"/>
              <w:rPr>
                <w:sz w:val="20"/>
                <w:szCs w:val="20"/>
                <w:color w:val="auto"/>
              </w:rPr>
            </w:pPr>
            <w:r>
              <w:rPr>
                <w:rFonts w:ascii="Arial" w:cs="Arial" w:eastAsia="Arial" w:hAnsi="Arial"/>
                <w:sz w:val="14"/>
                <w:szCs w:val="14"/>
                <w:color w:val="auto"/>
              </w:rPr>
              <w:t>share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354"/>
              <w:spacing w:after="0" w:line="15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560"/>
              <w:spacing w:after="0" w:line="154" w:lineRule="exact"/>
              <w:rPr>
                <w:sz w:val="20"/>
                <w:szCs w:val="20"/>
                <w:color w:val="auto"/>
              </w:rPr>
            </w:pPr>
            <w:r>
              <w:rPr>
                <w:rFonts w:ascii="Arial" w:cs="Arial" w:eastAsia="Arial" w:hAnsi="Arial"/>
                <w:sz w:val="14"/>
                <w:szCs w:val="14"/>
                <w:color w:val="auto"/>
              </w:rPr>
              <w:t>share</w:t>
            </w:r>
          </w:p>
        </w:tc>
        <w:tc>
          <w:tcPr>
            <w:tcW w:w="260" w:type="dxa"/>
            <w:vAlign w:val="bottom"/>
          </w:tcPr>
          <w:p>
            <w:pPr>
              <w:spacing w:after="0"/>
              <w:rPr>
                <w:sz w:val="13"/>
                <w:szCs w:val="13"/>
                <w:color w:val="auto"/>
              </w:rPr>
            </w:pPr>
          </w:p>
        </w:tc>
        <w:tc>
          <w:tcPr>
            <w:tcW w:w="680" w:type="dxa"/>
            <w:vAlign w:val="bottom"/>
          </w:tcPr>
          <w:p>
            <w:pPr>
              <w:jc w:val="right"/>
              <w:ind w:right="354"/>
              <w:spacing w:after="0" w:line="15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FF0FC"/>
            </w:tcBorders>
            <w:shd w:val="clear" w:color="auto" w:fill="000000"/>
          </w:tcPr>
          <w:p>
            <w:pPr>
              <w:spacing w:after="0" w:line="20" w:lineRule="exact"/>
              <w:rPr>
                <w:sz w:val="1"/>
                <w:szCs w:val="1"/>
                <w:color w:val="auto"/>
              </w:rPr>
            </w:pPr>
          </w:p>
        </w:tc>
        <w:tc>
          <w:tcPr>
            <w:tcW w:w="1380" w:type="dxa"/>
            <w:vAlign w:val="bottom"/>
            <w:tcBorders>
              <w:bottom w:val="single" w:sz="8" w:color="CFF0FC"/>
            </w:tcBorders>
            <w:shd w:val="clear" w:color="auto" w:fill="000000"/>
          </w:tcPr>
          <w:p>
            <w:pPr>
              <w:spacing w:after="0" w:line="20" w:lineRule="exact"/>
              <w:rPr>
                <w:sz w:val="1"/>
                <w:szCs w:val="1"/>
                <w:color w:val="auto"/>
              </w:rPr>
            </w:pPr>
          </w:p>
        </w:tc>
        <w:tc>
          <w:tcPr>
            <w:tcW w:w="244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before tax provision, on a GAAP basis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loss, on a GAAP basis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(8,408)</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9"/>
              </w:rPr>
              <w:t>Add back:</w:t>
            </w:r>
          </w:p>
        </w:tc>
        <w:tc>
          <w:tcPr>
            <w:tcW w:w="3820" w:type="dxa"/>
            <w:vAlign w:val="bottom"/>
            <w:tcBorders>
              <w:bottom w:val="single" w:sz="8" w:color="CFF0FC"/>
            </w:tcBorders>
            <w:gridSpan w:val="2"/>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Impairment of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Actual provision (benefit) for income taxes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4"/>
          </w:tcPr>
          <w:p>
            <w:pPr>
              <w:spacing w:after="0"/>
              <w:rPr>
                <w:sz w:val="20"/>
                <w:szCs w:val="20"/>
                <w:color w:val="auto"/>
              </w:rPr>
            </w:pPr>
            <w:r>
              <w:rPr>
                <w:rFonts w:ascii="Arial" w:cs="Arial" w:eastAsia="Arial" w:hAnsi="Arial"/>
                <w:sz w:val="18"/>
                <w:szCs w:val="18"/>
                <w:color w:val="auto"/>
              </w:rPr>
              <w:t>Adjusted loss before income taxes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(17,303)</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(8,148)</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5"/>
              </w:rPr>
              <w:t>Income tax benefit, assuming a normalized tax rate of 26%,</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with no AMT Benefit in 2017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4580" w:type="dxa"/>
            <w:vAlign w:val="bottom"/>
            <w:gridSpan w:val="4"/>
          </w:tcPr>
          <w:p>
            <w:pPr>
              <w:spacing w:after="0"/>
              <w:rPr>
                <w:sz w:val="20"/>
                <w:szCs w:val="20"/>
                <w:color w:val="auto"/>
              </w:rPr>
            </w:pPr>
            <w:r>
              <w:rPr>
                <w:rFonts w:ascii="Arial" w:cs="Arial" w:eastAsia="Arial" w:hAnsi="Arial"/>
                <w:sz w:val="18"/>
                <w:szCs w:val="18"/>
                <w:color w:val="auto"/>
              </w:rPr>
              <w:t>Adjusted net loss, non-GAAP basis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The following table is a reconciliation of the projected net loss and net loss per diluted share for fiscal 2018 (on a GAAP basis) to the projected adjusted net loss and adjusted net loss per diluted shares (on a non-GAAP basis):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260" w:type="dxa"/>
            <w:vAlign w:val="bottom"/>
            <w:gridSpan w:val="2"/>
          </w:tcPr>
          <w:p>
            <w:pPr>
              <w:jc w:val="center"/>
              <w:ind w:left="1368"/>
              <w:spacing w:after="0"/>
              <w:rPr>
                <w:sz w:val="20"/>
                <w:szCs w:val="20"/>
                <w:color w:val="auto"/>
              </w:rPr>
            </w:pPr>
            <w:r>
              <w:rPr>
                <w:rFonts w:ascii="Arial" w:cs="Arial" w:eastAsia="Arial" w:hAnsi="Arial"/>
                <w:sz w:val="14"/>
                <w:szCs w:val="14"/>
                <w:color w:val="auto"/>
                <w:w w:val="91"/>
              </w:rPr>
              <w:t>Projected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260" w:type="dxa"/>
            <w:vAlign w:val="bottom"/>
            <w:tcBorders>
              <w:bottom w:val="single" w:sz="8" w:color="auto"/>
            </w:tcBorders>
            <w:gridSpan w:val="2"/>
          </w:tcPr>
          <w:p>
            <w:pPr>
              <w:jc w:val="center"/>
              <w:ind w:left="1388"/>
              <w:spacing w:after="0"/>
              <w:rPr>
                <w:sz w:val="20"/>
                <w:szCs w:val="20"/>
                <w:color w:val="auto"/>
              </w:rPr>
            </w:pPr>
            <w:r>
              <w:rPr>
                <w:rFonts w:ascii="Arial" w:cs="Arial" w:eastAsia="Arial" w:hAnsi="Arial"/>
                <w:sz w:val="14"/>
                <w:szCs w:val="14"/>
                <w:color w:val="auto"/>
                <w:w w:val="94"/>
              </w:rPr>
              <w:t>Fiscal 2018</w:t>
            </w: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00" w:type="dxa"/>
            <w:vAlign w:val="bottom"/>
            <w:gridSpan w:val="3"/>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1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jc w:val="right"/>
              <w:ind w:right="328"/>
              <w:spacing w:after="0"/>
              <w:rPr>
                <w:sz w:val="20"/>
                <w:szCs w:val="20"/>
                <w:color w:val="auto"/>
              </w:rPr>
            </w:pPr>
            <w:r>
              <w:rPr>
                <w:rFonts w:ascii="Arial" w:cs="Arial" w:eastAsia="Arial" w:hAnsi="Arial"/>
                <w:sz w:val="14"/>
                <w:szCs w:val="14"/>
                <w:i w:val="1"/>
                <w:iCs w:val="1"/>
                <w:color w:val="auto"/>
                <w:w w:val="99"/>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 GAAP basis)</w:t>
            </w:r>
          </w:p>
        </w:tc>
        <w:tc>
          <w:tcPr>
            <w:tcW w:w="568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$(8.3)-$(14.3)</w:t>
            </w:r>
          </w:p>
        </w:tc>
        <w:tc>
          <w:tcPr>
            <w:tcW w:w="62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$(0.17)-$(0.29)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Income tax benefit, assuming 26% rate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$2.1-$3.7</w:t>
            </w:r>
          </w:p>
        </w:tc>
        <w:tc>
          <w:tcPr>
            <w:tcW w:w="620" w:type="dxa"/>
            <w:vAlign w:val="bottom"/>
            <w:tcBorders>
              <w:bottom w:val="single" w:sz="8" w:color="CFF0FC"/>
            </w:tcBorders>
          </w:tcPr>
          <w:p>
            <w:pPr>
              <w:spacing w:after="0"/>
              <w:rPr>
                <w:sz w:val="14"/>
                <w:szCs w:val="14"/>
                <w:color w:val="auto"/>
              </w:rPr>
            </w:pPr>
          </w:p>
        </w:tc>
        <w:tc>
          <w:tcPr>
            <w:tcW w:w="146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$0.05-$0.07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8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1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 -$(10.6)</w:t>
            </w:r>
          </w:p>
        </w:tc>
        <w:tc>
          <w:tcPr>
            <w:tcW w:w="620" w:type="dxa"/>
            <w:vAlign w:val="bottom"/>
            <w:tcBorders>
              <w:bottom w:val="single" w:sz="8" w:color="CFF0FC"/>
            </w:tcBorders>
            <w:shd w:val="clear" w:color="auto" w:fill="CFF0FC"/>
          </w:tcPr>
          <w:p>
            <w:pPr>
              <w:spacing w:after="0"/>
              <w:rPr>
                <w:sz w:val="13"/>
                <w:szCs w:val="13"/>
                <w:color w:val="auto"/>
              </w:rPr>
            </w:pPr>
          </w:p>
        </w:tc>
        <w:tc>
          <w:tcPr>
            <w:tcW w:w="146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$(0.12)-$(0.22)</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4"/>
                <w:szCs w:val="14"/>
                <w:color w:val="auto"/>
              </w:rPr>
              <w:t>Weighted average common shares outstanding - diluted</w:t>
            </w:r>
          </w:p>
        </w:tc>
        <w:tc>
          <w:tcPr>
            <w:tcW w:w="1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00" w:type="dxa"/>
            <w:vAlign w:val="bottom"/>
            <w:gridSpan w:val="3"/>
            <w:vMerge w:val="continue"/>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49.1</w:t>
            </w: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Free Cash Flow</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calculate free cash flow as cash flow provided by operating activities less capital expenditures. Free cash flow excludes the mandatory and discretionary repayment of debt. While we expect to use funds from our revolver during the year, by year-end we expect all capital expenditures in fiscal 2018 will have been funded by our operations, which will enable us to reduce our debt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free cash flow: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color w:val="auto"/>
              </w:rPr>
              <w:t>Projected</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i w:val="1"/>
                <w:iCs w:val="1"/>
                <w:color w:val="auto"/>
                <w:w w:val="98"/>
              </w:rPr>
              <w:t>(in millions)</w:t>
            </w:r>
          </w:p>
        </w:tc>
        <w:tc>
          <w:tcPr>
            <w:tcW w:w="3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600"/>
              <w:spacing w:after="0" w:line="154" w:lineRule="exact"/>
              <w:rPr>
                <w:sz w:val="20"/>
                <w:szCs w:val="20"/>
                <w:color w:val="auto"/>
              </w:rPr>
            </w:pPr>
            <w:r>
              <w:rPr>
                <w:rFonts w:ascii="Arial" w:cs="Arial" w:eastAsia="Arial" w:hAnsi="Arial"/>
                <w:sz w:val="14"/>
                <w:szCs w:val="14"/>
                <w:color w:val="auto"/>
              </w:rPr>
              <w:t>Fiscal 2017</w:t>
            </w:r>
          </w:p>
        </w:tc>
        <w:tc>
          <w:tcPr>
            <w:tcW w:w="220" w:type="dxa"/>
            <w:vAlign w:val="bottom"/>
          </w:tcPr>
          <w:p>
            <w:pPr>
              <w:spacing w:after="0"/>
              <w:rPr>
                <w:sz w:val="15"/>
                <w:szCs w:val="15"/>
                <w:color w:val="auto"/>
              </w:rPr>
            </w:pPr>
          </w:p>
        </w:tc>
        <w:tc>
          <w:tcPr>
            <w:tcW w:w="1320" w:type="dxa"/>
            <w:vAlign w:val="bottom"/>
            <w:gridSpan w:val="2"/>
          </w:tcPr>
          <w:p>
            <w:pPr>
              <w:jc w:val="right"/>
              <w:ind w:right="540"/>
              <w:spacing w:after="0" w:line="154" w:lineRule="exact"/>
              <w:rPr>
                <w:sz w:val="20"/>
                <w:szCs w:val="20"/>
                <w:color w:val="auto"/>
              </w:rPr>
            </w:pPr>
            <w:r>
              <w:rPr>
                <w:rFonts w:ascii="Arial" w:cs="Arial" w:eastAsia="Arial" w:hAnsi="Arial"/>
                <w:sz w:val="14"/>
                <w:szCs w:val="14"/>
                <w:color w:val="auto"/>
              </w:rPr>
              <w:t>Fiscal 2016</w:t>
            </w:r>
          </w:p>
        </w:tc>
        <w:tc>
          <w:tcPr>
            <w:tcW w:w="220" w:type="dxa"/>
            <w:vAlign w:val="bottom"/>
          </w:tcPr>
          <w:p>
            <w:pPr>
              <w:spacing w:after="0"/>
              <w:rPr>
                <w:sz w:val="15"/>
                <w:szCs w:val="15"/>
                <w:color w:val="auto"/>
              </w:rPr>
            </w:pPr>
          </w:p>
        </w:tc>
        <w:tc>
          <w:tcPr>
            <w:tcW w:w="1320" w:type="dxa"/>
            <w:vAlign w:val="bottom"/>
            <w:gridSpan w:val="2"/>
          </w:tcPr>
          <w:p>
            <w:pPr>
              <w:jc w:val="right"/>
              <w:ind w:right="540"/>
              <w:spacing w:after="0" w:line="154" w:lineRule="exact"/>
              <w:rPr>
                <w:sz w:val="20"/>
                <w:szCs w:val="20"/>
                <w:color w:val="auto"/>
              </w:rPr>
            </w:pPr>
            <w:r>
              <w:rPr>
                <w:rFonts w:ascii="Arial" w:cs="Arial" w:eastAsia="Arial" w:hAnsi="Arial"/>
                <w:sz w:val="14"/>
                <w:szCs w:val="14"/>
                <w:color w:val="auto"/>
              </w:rPr>
              <w:t>Fiscal 2015</w:t>
            </w:r>
          </w:p>
        </w:tc>
        <w:tc>
          <w:tcPr>
            <w:tcW w:w="1400" w:type="dxa"/>
            <w:vAlign w:val="bottom"/>
            <w:gridSpan w:val="2"/>
          </w:tcPr>
          <w:p>
            <w:pPr>
              <w:jc w:val="right"/>
              <w:ind w:right="400"/>
              <w:spacing w:after="0" w:line="154" w:lineRule="exact"/>
              <w:rPr>
                <w:sz w:val="20"/>
                <w:szCs w:val="20"/>
                <w:color w:val="auto"/>
              </w:rPr>
            </w:pPr>
            <w:r>
              <w:rPr>
                <w:rFonts w:ascii="Arial" w:cs="Arial" w:eastAsia="Arial" w:hAnsi="Arial"/>
                <w:sz w:val="14"/>
                <w:szCs w:val="14"/>
                <w:color w:val="auto"/>
              </w:rPr>
              <w:t>Fiscal 2018</w:t>
            </w:r>
          </w:p>
        </w:tc>
        <w:tc>
          <w:tcPr>
            <w:tcW w:w="0" w:type="dxa"/>
            <w:vAlign w:val="bottom"/>
          </w:tcPr>
          <w:p>
            <w:pPr>
              <w:spacing w:after="0"/>
              <w:rPr>
                <w:sz w:val="1"/>
                <w:szCs w:val="1"/>
                <w:color w:val="auto"/>
              </w:rPr>
            </w:pPr>
          </w:p>
        </w:tc>
      </w:tr>
      <w:tr>
        <w:trPr>
          <w:trHeight w:val="203"/>
        </w:trPr>
        <w:tc>
          <w:tcPr>
            <w:tcW w:w="4200" w:type="dxa"/>
            <w:vAlign w:val="bottom"/>
            <w:tcBorders>
              <w:top w:val="single" w:sz="8" w:color="CFF0FC"/>
            </w:tcBorders>
            <w:gridSpan w:val="2"/>
            <w:shd w:val="clear" w:color="auto" w:fill="CFF0FC"/>
          </w:tcPr>
          <w:p>
            <w:pPr>
              <w:spacing w:after="0" w:line="203" w:lineRule="exact"/>
              <w:rPr>
                <w:sz w:val="20"/>
                <w:szCs w:val="20"/>
                <w:color w:val="auto"/>
              </w:rPr>
            </w:pPr>
            <w:r>
              <w:rPr>
                <w:rFonts w:ascii="Arial" w:cs="Arial" w:eastAsia="Arial" w:hAnsi="Arial"/>
                <w:sz w:val="14"/>
                <w:szCs w:val="14"/>
                <w:color w:val="auto"/>
              </w:rPr>
              <w:t>Cash flow from operating activities (GAAP)</w:t>
            </w:r>
            <w:r>
              <w:rPr>
                <w:rFonts w:ascii="Arial" w:cs="Arial" w:eastAsia="Arial" w:hAnsi="Arial"/>
                <w:sz w:val="23"/>
                <w:szCs w:val="23"/>
                <w:color w:val="auto"/>
                <w:vertAlign w:val="superscript"/>
              </w:rPr>
              <w:t>(1)</w:t>
            </w:r>
          </w:p>
        </w:tc>
        <w:tc>
          <w:tcPr>
            <w:tcW w:w="1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0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$20.5 -$26.5</w:t>
            </w: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gridSpan w:val="2"/>
          </w:tcPr>
          <w:p>
            <w:pPr>
              <w:spacing w:after="0"/>
              <w:rPr>
                <w:sz w:val="20"/>
                <w:szCs w:val="20"/>
                <w:color w:val="auto"/>
              </w:rPr>
            </w:pPr>
            <w:r>
              <w:rPr>
                <w:rFonts w:ascii="Arial" w:cs="Arial" w:eastAsia="Arial" w:hAnsi="Arial"/>
                <w:sz w:val="16"/>
                <w:szCs w:val="16"/>
                <w:color w:val="auto"/>
              </w:rPr>
              <w:t>Capital expenditures, infrastructure projects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(9.6)</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(13.3)</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4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Capital expenditures for DXL stores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(19.6)</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(20.1)</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260"/>
              <w:spacing w:after="0"/>
              <w:rPr>
                <w:sz w:val="20"/>
                <w:szCs w:val="20"/>
                <w:color w:val="auto"/>
              </w:rPr>
            </w:pPr>
            <w:r>
              <w:rPr>
                <w:rFonts w:ascii="Arial" w:cs="Arial" w:eastAsia="Arial" w:hAnsi="Arial"/>
                <w:sz w:val="16"/>
                <w:szCs w:val="16"/>
                <w:color w:val="auto"/>
              </w:rPr>
              <w:t>Free Cash Flow (non-GAAP)</w:t>
            </w: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(15.0)</w:t>
            </w:r>
          </w:p>
        </w:tc>
        <w:tc>
          <w:tcPr>
            <w:tcW w:w="1340" w:type="dxa"/>
            <w:vAlign w:val="bottom"/>
          </w:tcPr>
          <w:p>
            <w:pPr>
              <w:jc w:val="right"/>
              <w:spacing w:after="0"/>
              <w:rPr>
                <w:sz w:val="20"/>
                <w:szCs w:val="20"/>
                <w:color w:val="auto"/>
              </w:rPr>
            </w:pPr>
            <w:r>
              <w:rPr>
                <w:rFonts w:ascii="Arial" w:cs="Arial" w:eastAsia="Arial" w:hAnsi="Arial"/>
                <w:sz w:val="16"/>
                <w:szCs w:val="16"/>
                <w:color w:val="auto"/>
              </w:rPr>
              <w:t>$9.1-$15.1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20" w:hanging="512"/>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 from operating activities includes lease incentives received against our capital expenditures. Projected cash flow from operating activities for fiscal 2018 includes an estimated $1.1 million in lease incentives.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EBITDA and Adjusted EBITDA</w:t>
      </w:r>
    </w:p>
    <w:p>
      <w:pPr>
        <w:spacing w:after="0" w:line="117"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EBITDA and Adjusted EBITDA are presented because we believe that these measures are useful to investors in evaluating our performance. With the significant capital investment associated with the DXL transformation which has resulted in increased levels of depreciation expense, management uses EBITDA as a key metric to measure profitability and economic productivity.</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EBITDA is calculated as earnings before interest, taxes, depreciation and amortization. Adjusted EBITDA is calculated as EBITDA before impairment charges.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5" w:name="page36"/>
    <w:bookmarkEnd w:id="35"/>
    <w:p>
      <w:pPr>
        <w:ind w:right="200"/>
        <w:spacing w:after="0" w:line="277" w:lineRule="auto"/>
        <w:rPr>
          <w:sz w:val="20"/>
          <w:szCs w:val="20"/>
          <w:color w:val="auto"/>
        </w:rPr>
      </w:pPr>
      <w:r>
        <w:rPr>
          <w:rFonts w:ascii="Arial" w:cs="Arial" w:eastAsia="Arial" w:hAnsi="Arial"/>
          <w:sz w:val="18"/>
          <w:szCs w:val="18"/>
          <w:color w:val="auto"/>
        </w:rPr>
        <w:t>The following table is a reconciliation of net loss on a GAAP basis to EBITDA and Adjusted EBITDA, on a non-GAAP basis, for each fiscal year. (Certain amounts in the following table do not foot due to rounding):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80" w:type="dxa"/>
            <w:vAlign w:val="bottom"/>
            <w:vMerge w:val="restart"/>
          </w:tcPr>
          <w:p>
            <w:pPr>
              <w:spacing w:after="0"/>
              <w:rPr>
                <w:sz w:val="20"/>
                <w:szCs w:val="20"/>
                <w:color w:val="auto"/>
              </w:rPr>
            </w:pPr>
            <w:r>
              <w:rPr>
                <w:rFonts w:ascii="Arial" w:cs="Arial" w:eastAsia="Arial" w:hAnsi="Arial"/>
                <w:sz w:val="16"/>
                <w:szCs w:val="16"/>
                <w:i w:val="1"/>
                <w:iCs w:val="1"/>
                <w:color w:val="auto"/>
                <w:w w:val="93"/>
              </w:rPr>
              <w:t>(in millions)</w:t>
            </w:r>
          </w:p>
        </w:tc>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Projected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4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520"/>
              <w:spacing w:after="0" w:line="154" w:lineRule="exact"/>
              <w:rPr>
                <w:sz w:val="20"/>
                <w:szCs w:val="20"/>
                <w:color w:val="auto"/>
              </w:rPr>
            </w:pPr>
            <w:r>
              <w:rPr>
                <w:rFonts w:ascii="Arial" w:cs="Arial" w:eastAsia="Arial" w:hAnsi="Arial"/>
                <w:sz w:val="14"/>
                <w:szCs w:val="14"/>
                <w:color w:val="auto"/>
              </w:rPr>
              <w:t>Fiscal 2017</w:t>
            </w:r>
          </w:p>
        </w:tc>
        <w:tc>
          <w:tcPr>
            <w:tcW w:w="180" w:type="dxa"/>
            <w:vAlign w:val="bottom"/>
          </w:tcPr>
          <w:p>
            <w:pPr>
              <w:spacing w:after="0"/>
              <w:rPr>
                <w:sz w:val="13"/>
                <w:szCs w:val="13"/>
                <w:color w:val="auto"/>
              </w:rPr>
            </w:pPr>
          </w:p>
        </w:tc>
        <w:tc>
          <w:tcPr>
            <w:tcW w:w="116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Fiscal 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500"/>
              <w:spacing w:after="0" w:line="154" w:lineRule="exact"/>
              <w:rPr>
                <w:sz w:val="20"/>
                <w:szCs w:val="20"/>
                <w:color w:val="auto"/>
              </w:rPr>
            </w:pPr>
            <w:r>
              <w:rPr>
                <w:rFonts w:ascii="Arial" w:cs="Arial" w:eastAsia="Arial" w:hAnsi="Arial"/>
                <w:sz w:val="14"/>
                <w:szCs w:val="14"/>
                <w:color w:val="auto"/>
              </w:rPr>
              <w:t>Fiscal 2015</w:t>
            </w:r>
          </w:p>
        </w:tc>
        <w:tc>
          <w:tcPr>
            <w:tcW w:w="1380" w:type="dxa"/>
            <w:vAlign w:val="bottom"/>
            <w:gridSpan w:val="2"/>
          </w:tcPr>
          <w:p>
            <w:pPr>
              <w:jc w:val="center"/>
              <w:ind w:right="140"/>
              <w:spacing w:after="0" w:line="154" w:lineRule="exact"/>
              <w:rPr>
                <w:sz w:val="20"/>
                <w:szCs w:val="20"/>
                <w:color w:val="auto"/>
              </w:rPr>
            </w:pPr>
            <w:r>
              <w:rPr>
                <w:rFonts w:ascii="Arial" w:cs="Arial" w:eastAsia="Arial" w:hAnsi="Arial"/>
                <w:sz w:val="14"/>
                <w:szCs w:val="14"/>
                <w:color w:val="auto"/>
                <w:w w:val="94"/>
              </w:rPr>
              <w:t>Fiscal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bottom w:val="single" w:sz="8" w:color="CFF0FC"/>
            </w:tcBorders>
          </w:tcPr>
          <w:p>
            <w:pPr>
              <w:spacing w:after="0" w:line="20" w:lineRule="exact"/>
              <w:rPr>
                <w:sz w:val="1"/>
                <w:szCs w:val="1"/>
                <w:color w:val="auto"/>
              </w:rPr>
            </w:pPr>
          </w:p>
        </w:tc>
        <w:tc>
          <w:tcPr>
            <w:tcW w:w="49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on a GAAP basis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Add back:</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3"/>
          </w:tcPr>
          <w:p>
            <w:pPr>
              <w:spacing w:after="0"/>
              <w:rPr>
                <w:sz w:val="20"/>
                <w:szCs w:val="20"/>
                <w:color w:val="auto"/>
              </w:rPr>
            </w:pPr>
            <w:r>
              <w:rPr>
                <w:rFonts w:ascii="Arial" w:cs="Arial" w:eastAsia="Arial" w:hAnsi="Arial"/>
                <w:sz w:val="18"/>
                <w:szCs w:val="18"/>
                <w:color w:val="auto"/>
              </w:rPr>
              <w:t>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back: Impairment charges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CRITICAL ACCOUNTING POLICIES; USE OF ESTIMATES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measure compensation cost for all stock-based awards at fair value on date of grant and recognize compensation over the service period for awards expected to vest.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fair value of our stock options is determined using the Black-Scholes valuation model, which requires the input of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performance-based awards, no compensation expense is recognized until the performance targets are deemed probable. For fiscal 2017, 2016 and 2015, we recognized total stock-based compensation expense of $1.6 million, $1.3 million and $2.2 million, respectively.</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March 20, 2017, in conjunction with the grant of restricted stock awards earned in fiscal 2016 under the 2016 Wrap-Around Plan, the Company reclassified $0.9 million of the liability accrual from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to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See the Consolidated Statement of Changes in Stockholders’ Equity.</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Incentive Plans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During fiscal 2017, we had two active Long-Term Incentive Plans (“LTIP”s): The 2016-2017 LTIP and the 2017-2018 LTIP. </w:t>
      </w:r>
      <w:r>
        <w:rPr>
          <w:rFonts w:ascii="Arial" w:cs="Arial" w:eastAsia="Arial" w:hAnsi="Arial"/>
          <w:sz w:val="18"/>
          <w:szCs w:val="18"/>
          <w:color w:val="212121"/>
        </w:rPr>
        <w:t>See Note F to the Consolidated</w:t>
      </w:r>
      <w:r>
        <w:rPr>
          <w:rFonts w:ascii="Arial" w:cs="Arial" w:eastAsia="Arial" w:hAnsi="Arial"/>
          <w:sz w:val="18"/>
          <w:szCs w:val="18"/>
          <w:color w:val="auto"/>
        </w:rPr>
        <w:t xml:space="preserve"> </w:t>
      </w:r>
      <w:r>
        <w:rPr>
          <w:rFonts w:ascii="Arial" w:cs="Arial" w:eastAsia="Arial" w:hAnsi="Arial"/>
          <w:sz w:val="18"/>
          <w:szCs w:val="18"/>
          <w:color w:val="212121"/>
        </w:rPr>
        <w:t>Financial Statements for additional discussion of our LTIPs.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time-based awards granted pursuant to our LTIPs are amortized, over each LTIP’s respective vesting periods.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12121"/>
        </w:rPr>
        <w:t>Our LTIPs contain a dollar-denominated performance-based component. Equity awards will only be granted if such performance targets are achieved. Accordingly, each quarter the Company reviews its expected achievement against such performance targets to assess whether an accrual is necessary. All accruals are recorded as a liability. If performance targets are achieved and equity awards are granted, the related cost of those awards will be reclassified from the accrual to stock-based compensation on grant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6" w:name="page37"/>
    <w:bookmarkEnd w:id="36"/>
    <w:p>
      <w:pPr>
        <w:ind w:right="140"/>
        <w:spacing w:after="0" w:line="259" w:lineRule="auto"/>
        <w:rPr>
          <w:sz w:val="20"/>
          <w:szCs w:val="20"/>
          <w:color w:val="auto"/>
        </w:rPr>
      </w:pPr>
      <w:r>
        <w:rPr>
          <w:rFonts w:ascii="Arial" w:cs="Arial" w:eastAsia="Arial" w:hAnsi="Arial"/>
          <w:sz w:val="18"/>
          <w:szCs w:val="18"/>
          <w:color w:val="212121"/>
        </w:rPr>
        <w:t>For fiscal 2017, the Company has accrued as a liability approximately $0.4 million based on partial achievement of the performance targets under the 2016-2017 LTIP. Subsequent to year-end, on March 21, 2018, the Compensation Committee of the Board of Directors reviewed the results for fiscal 2017 and approved the grant of restricted stock unit awards totaling $0.5 million to be granted on April 2, 2018. All awards are subject to further vesting through August 31, 2018.</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With respect to the performance-based component of the 2017-2018 LTIP, which approximates $2.0 million at target, RSUs will be granted at the end of the performance period if the performance targets are achieved. Through the end of fiscal 2017, we have not accrued any liability as the likelihood of achieving the performance targets was not probable.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Inventory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value inventory at the lower of cost or market, using a weighted-average cost method. We review our inventory to identify slow-moving and broken assortments. We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throughout the year and adjust the shrink reserves accordingly.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fiscal 2017 and fiscal 2016, we recorded impairment charges of $4.1 million and $0.4 million, respectively, to write-down property and equipment. The impairment charges relate to stores with carrying values which exceeded fair value. Fiscal 2017 also includes the write-off of $1.9 million for certain technology projects that have been abandoned. There was no impairment charge for long-lived assets in fiscal 2015.</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Intangibles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Goodwill and Other</w:t>
      </w:r>
      <w:r>
        <w:rPr>
          <w:rFonts w:ascii="Arial" w:cs="Arial" w:eastAsia="Arial" w:hAnsi="Arial"/>
          <w:sz w:val="18"/>
          <w:szCs w:val="18"/>
          <w:color w:val="auto"/>
        </w:rPr>
        <w:t>, we evaluate our intangible assets with indefinite lives at least annually for impairment by analyzing the estimated fair value.</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the fourth quarter of fiscal 2017, we performed our annual testing of our “Rochester” trademark for potential impairment. Utilizing an income approach with appropriate royalty rates applied, we concluded that the “Rochester” trademark, with a carrying value of $1.5 million, was not impaired.</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the expected closure of our Casual Male XL retail stores, at January 28, 2012, our “Casual Male” trademark was reclassified as a definite-lived asset. The trademark is being amortized, on an accelerated basis, through fiscal 2018, its estimated useful life. At February 3, 2018, the carrying value of the “Casual Male” trademark was $0.3 million.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on a quarterly basis, we evaluate the realizability of our deferred tax assets and, if needed, establish a valuation allowance against those assets if it is determined that it is more likely than not that the deferred tax assets will not be realized.</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fourth quarter of fiscal 2013, we entered into a three-year cumulative loss position and based on forecasts at that time, we expected the cumulative three-year loss to increase as of the end of fiscal 2014. Management determined that this represented significant negative evidence at February 1, 2014 and a full valuation allowance was established against our net deferred tax assets. While we have projected that the Company will return to profitability, generate taxable income and ultimately emerge from a three-year cumulative loss, based on actual results for fiscal 2017 and our forecast for fiscal 2018, we believe that a full allowance remains appropriate at this time.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37" w:name="page38"/>
    <w:bookmarkEnd w:id="37"/>
    <w:p>
      <w:pPr>
        <w:ind w:right="100"/>
        <w:spacing w:after="0" w:line="255" w:lineRule="auto"/>
        <w:rPr>
          <w:sz w:val="20"/>
          <w:szCs w:val="20"/>
          <w:color w:val="auto"/>
        </w:rPr>
      </w:pPr>
      <w:r>
        <w:rPr>
          <w:rFonts w:ascii="Arial" w:cs="Arial" w:eastAsia="Arial" w:hAnsi="Arial"/>
          <w:sz w:val="18"/>
          <w:szCs w:val="18"/>
          <w:color w:val="auto"/>
        </w:rPr>
        <w:t>Our effective tax rates could be affected by numerous factors, such as changes in our deferred tax assets and liabilities and their valuation, and changes in the relevant tax, accounting, and other laws, regulations, administrative practices, principles, and interpretation. The 2017 Tax Act significantly changes how corporations are taxed in the United States. The U.S. Treasury Department, the IRS, and other standard-setting bodies could subsequently interpret or issue guidance on how provisions of the 2017 Tax Act will be applied or otherwise administered that is different from our interpretation. However, because we have a full valuation allowance against our deferred tax assets at February 3, 2018, we do not expect that any subsequent interpretations or adjustments will have a material impact on our financial results.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reviewed accounting pronouncements and interpretations thereof that have effective dates during the periods reported and in future periods. See Note A to the Consolidated Financial Statements included in this report for information on recent accounting pronouncements and the impact of impending standards on our future filings.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We utilize cash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February 3, 2018, we had outstanding borrowings of approximately $47.6 million, of which approximately $40.0 million were in LIBOR-based contracts with an interest rate of approximately 2.97%. The remainder was prime-based borrowings, with a rate of 5.00%. We also have a term loan, with an outstanding balance of $11.8 million at February 3, 2018, which bears interest at a variable rate based on one-month LIBOR rates plus 6.5%.</w:t>
      </w:r>
    </w:p>
    <w:p>
      <w:pPr>
        <w:spacing w:after="0" w:line="193"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Based upon a sensitivity analysis as of February 3, 2018, assuming average outstanding borrowings during fiscal 2017 of $59.7 million under our Credit Facility and an average outstanding balance under our term loan of $12.3 million, a 50 basis point increase in interest rates would have increased interest expense by approximately $0.4 million on an annualized basis.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Rochester Clothing store located in London, England conducts business in British pounds and our two DXL stores located in Toronto, Canada conduct business in Canadian dollars. As of February 3, 2018 sales from these stores were immaterial to consolidated sales. As such, we believe that movement in foreign currency exchange rates will not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gridSpan w:val="10"/>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60" w:type="dxa"/>
            <w:vAlign w:val="bottom"/>
            <w:gridSpan w:val="10"/>
            <w:vMerge w:val="continue"/>
          </w:tcPr>
          <w:p>
            <w:pPr>
              <w:spacing w:after="0"/>
              <w:rPr>
                <w:sz w:val="14"/>
                <w:szCs w:val="14"/>
                <w:color w:val="auto"/>
              </w:rPr>
            </w:pPr>
          </w:p>
        </w:tc>
        <w:tc>
          <w:tcPr>
            <w:tcW w:w="5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664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1040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Balance Sheets at February 3, 2018 and January 28, 2017</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89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Operations for the Fiscal Years Ended February 3, 2018, January 28, 2017 and January 30, 2016</w:t>
              </w:r>
            </w:hyperlink>
          </w:p>
        </w:tc>
        <w:tc>
          <w:tcPr>
            <w:tcW w:w="142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4"/>
                <w:szCs w:val="24"/>
                <w:color w:val="auto"/>
              </w:rPr>
            </w:pPr>
          </w:p>
        </w:tc>
        <w:tc>
          <w:tcPr>
            <w:tcW w:w="10400" w:type="dxa"/>
            <w:vAlign w:val="bottom"/>
            <w:gridSpan w:val="9"/>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Consolidated Statements of Comprehensive Income (Loss) for the Fiscal Years Ended February 3, 2018, January 28, 2017 and January 30,</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2016</w:t>
              </w:r>
            </w:hyperlink>
          </w:p>
        </w:tc>
        <w:tc>
          <w:tcPr>
            <w:tcW w:w="2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38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10400" w:type="dxa"/>
            <w:vAlign w:val="bottom"/>
            <w:gridSpan w:val="9"/>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Consolidated Statements of Changes in Stockholders’ Equity for the Fiscal Years Ended February 3, 2018, January 28, 2017 and January 30,</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2016</w:t>
              </w:r>
            </w:hyperlink>
          </w:p>
        </w:tc>
        <w:tc>
          <w:tcPr>
            <w:tcW w:w="2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38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10400" w:type="dxa"/>
            <w:vAlign w:val="bottom"/>
            <w:gridSpan w:val="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Cash Flows for the Fiscal Years Ended February 3, 2018, January 28, 2017 and January 30, 2016</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6280" w:type="dxa"/>
            <w:vAlign w:val="bottom"/>
            <w:gridSpan w:val="3"/>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Notes to Consolidated Financial Statements</w:t>
              </w:r>
            </w:hyperlink>
          </w:p>
        </w:tc>
        <w:tc>
          <w:tcPr>
            <w:tcW w:w="7700" w:type="dxa"/>
            <w:vAlign w:val="bottom"/>
            <w:gridSpan w:val="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39" w:name="page40"/>
    <w:bookmarkEnd w:id="39"/>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have audited the accompanying consolidated balance sheets of Destination XL Group, Inc. and subsidiaries (the Company) as of February 3, 2018 and January 28, 2017, the related consolidated statements of operations, comprehensive income (loss), changes in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February 3, 2018, and the related notes (collectively, the consolidated financial statements). In our opinion, the consolidated financial statements present fairly, in all material respects, the financial position of the Company as of February 3, 2018 and January 28, 2017,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February 3, 2018, in conformity with U.S. generally accepted accounting principles.</w:t>
      </w:r>
    </w:p>
    <w:p>
      <w:pPr>
        <w:spacing w:after="0" w:line="2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February 3, 2018, based on criteria established in Internal Control – Integrated Framework (2013) issued by the Committee of Sponsoring Organizations of the Treadway Commission, and our report dated March 23, 2018 expressed an unqualified opinion on the effectiveness of the Company’s internal control over financial reporting.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43" w:right="27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February 3, 2018 and January 28,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color w:val="auto"/>
                <w:w w:val="99"/>
              </w:rPr>
              <w:t>February 3, 2018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January 28, 2017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1,392</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long-term liabilities</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$0.01 par value, 100,000,000 shares authorized, 61,485,882 and</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61,637,164 shares issued at February 3, 2018 and January 28, 2017, respectively</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307,557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Treasury stock at cost, 12,755,873 and 10,877,439 shares at February 3, 2018 and January 28, 2017,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(92,658)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(139,285)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(122,567)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(6,243)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69,986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240,405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3, 2018, January 28, 2017 and January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color w:val="auto"/>
                <w:w w:val="95"/>
              </w:rPr>
              <w:t>February 3, 2018</w:t>
            </w:r>
          </w:p>
        </w:tc>
        <w:tc>
          <w:tcPr>
            <w:tcW w:w="14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color w:val="auto"/>
                <w:w w:val="92"/>
              </w:rPr>
              <w:t>January 28, 2017</w:t>
            </w:r>
          </w:p>
        </w:tc>
        <w:tc>
          <w:tcPr>
            <w:tcW w:w="1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January 30, 2016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color w:val="auto"/>
              </w:rPr>
              <w:t>(Fiscal 2017)</w:t>
            </w:r>
          </w:p>
        </w:tc>
        <w:tc>
          <w:tcPr>
            <w:tcW w:w="14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2016)</w:t>
            </w:r>
          </w:p>
        </w:tc>
        <w:tc>
          <w:tcPr>
            <w:tcW w:w="12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1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467,976</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450,283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442,221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257,619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245,402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210,357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204,881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193,230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173,283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assets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228,398</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203,904</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(18,041)</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(3,357)</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(3,067)</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(benefit) for income taxes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(21,398)</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(2,572)</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(18,826)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(2,256)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Diluted</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48,888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49,544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CONSOLIDATED STATEMENTS OF COMPREHENSIVE INCOME (LOSS) For the fiscal years ended February 3, 2018, January 28, 2017 and January 30, 2016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February 3, 2018</w:t>
            </w:r>
          </w:p>
        </w:tc>
        <w:tc>
          <w:tcPr>
            <w:tcW w:w="14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color w:val="auto"/>
                <w:w w:val="92"/>
              </w:rPr>
              <w:t>January 28, 2017</w:t>
            </w:r>
          </w:p>
        </w:tc>
        <w:tc>
          <w:tcPr>
            <w:tcW w:w="12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January 30, 2016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(Fiscal 2017)</w:t>
            </w:r>
          </w:p>
        </w:tc>
        <w:tc>
          <w:tcPr>
            <w:tcW w:w="14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color w:val="auto"/>
              </w:rPr>
              <w:t>(Fiscal 2016)</w:t>
            </w:r>
          </w:p>
        </w:tc>
        <w:tc>
          <w:tcPr>
            <w:tcW w:w="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(Fiscal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(18,826)</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before taxes: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w:t>
            </w:r>
          </w:p>
        </w:tc>
        <w:tc>
          <w:tcPr>
            <w:tcW w:w="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80"/>
              <w:spacing w:after="0"/>
              <w:rPr>
                <w:sz w:val="20"/>
                <w:szCs w:val="20"/>
                <w:color w:val="auto"/>
              </w:rPr>
            </w:pPr>
            <w:r>
              <w:rPr>
                <w:rFonts w:ascii="Arial" w:cs="Arial" w:eastAsia="Arial" w:hAnsi="Arial"/>
                <w:sz w:val="18"/>
                <w:szCs w:val="18"/>
                <w:color w:val="auto"/>
              </w:rPr>
              <w:t>Other comprehensive income (loss) before taxes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 (loss)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CONSOLIDATED STATEMENTS OF CHANGES IN STOCKHOLDERS’ EQUITY For the fiscal years ended February 3, 2018, January 28, 2017 and January 30, 2016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Common Stock</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Paid-in</w:t>
            </w: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200" w:type="dxa"/>
            <w:vAlign w:val="bottom"/>
            <w:gridSpan w:val="4"/>
          </w:tcPr>
          <w:p>
            <w:pPr>
              <w:ind w:left="80"/>
              <w:spacing w:after="0"/>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Amounts</w:t>
            </w:r>
          </w:p>
        </w:tc>
        <w:tc>
          <w:tcPr>
            <w:tcW w:w="10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840" w:type="dxa"/>
            <w:vAlign w:val="bottom"/>
            <w:gridSpan w:val="2"/>
          </w:tcPr>
          <w:p>
            <w:pPr>
              <w:jc w:val="right"/>
              <w:ind w:right="279"/>
              <w:spacing w:after="0"/>
              <w:rPr>
                <w:sz w:val="20"/>
                <w:szCs w:val="20"/>
                <w:color w:val="auto"/>
              </w:rPr>
            </w:pPr>
            <w:r>
              <w:rPr>
                <w:rFonts w:ascii="Arial" w:cs="Arial" w:eastAsia="Arial" w:hAnsi="Arial"/>
                <w:sz w:val="14"/>
                <w:szCs w:val="14"/>
                <w:color w:val="auto"/>
                <w:w w:val="90"/>
              </w:rPr>
              <w:t>Amounts</w:t>
            </w:r>
          </w:p>
        </w:tc>
        <w:tc>
          <w:tcPr>
            <w:tcW w:w="120" w:type="dxa"/>
            <w:vAlign w:val="bottom"/>
          </w:tcPr>
          <w:p>
            <w:pPr>
              <w:spacing w:after="0"/>
              <w:rPr>
                <w:sz w:val="14"/>
                <w:szCs w:val="14"/>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Income (Loss)</w:t>
            </w:r>
          </w:p>
        </w:tc>
        <w:tc>
          <w:tcPr>
            <w:tcW w:w="14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31, 2015</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61,561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299,892</w:t>
            </w:r>
          </w:p>
        </w:tc>
        <w:tc>
          <w:tcPr>
            <w:tcW w:w="2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(10,877)</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(87,977)</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(111,903)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(8,238)</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92,390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2,195</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Exercises under option program</w:t>
            </w: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Issuances of restricted stock, net of cancellations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Board of Directors compensation</w:t>
            </w:r>
          </w:p>
        </w:tc>
        <w:tc>
          <w:tcPr>
            <w:tcW w:w="92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539</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Accumulated other comprehensive income (loss):</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ind w:left="240"/>
              <w:spacing w:after="0"/>
              <w:rPr>
                <w:sz w:val="20"/>
                <w:szCs w:val="20"/>
                <w:color w:val="auto"/>
              </w:rPr>
            </w:pPr>
            <w:r>
              <w:rPr>
                <w:rFonts w:ascii="Arial" w:cs="Arial" w:eastAsia="Arial" w:hAnsi="Arial"/>
                <w:sz w:val="14"/>
                <w:szCs w:val="14"/>
                <w:color w:val="auto"/>
              </w:rPr>
              <w:t>Unrecognized gain associated with Pension Plan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(96)</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(8,408)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(8,408)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30, 2016</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61,692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302,727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(10,877)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(87,977</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(120,311</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(6,652)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88,404</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Cancellations of restricted stock, net of issuances</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Board of Directors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Accumulated other comprehensive income (loss):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Unrecognized gain associated with Pension Plan</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ind w:left="240"/>
              <w:spacing w:after="0"/>
              <w:rPr>
                <w:sz w:val="20"/>
                <w:szCs w:val="20"/>
                <w:color w:val="auto"/>
              </w:rPr>
            </w:pPr>
            <w:r>
              <w:rPr>
                <w:rFonts w:ascii="Arial" w:cs="Arial" w:eastAsia="Arial" w:hAnsi="Arial"/>
                <w:sz w:val="14"/>
                <w:szCs w:val="14"/>
                <w:color w:val="auto"/>
              </w:rPr>
              <w:t>Foreign currency</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(242)</w:t>
            </w:r>
          </w:p>
        </w:tc>
        <w:tc>
          <w:tcPr>
            <w:tcW w:w="1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(2,256)</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line="155" w:lineRule="exact"/>
              <w:rPr>
                <w:sz w:val="20"/>
                <w:szCs w:val="20"/>
                <w:color w:val="auto"/>
              </w:rPr>
            </w:pPr>
            <w:r>
              <w:rPr>
                <w:rFonts w:ascii="Arial" w:cs="Arial" w:eastAsia="Arial" w:hAnsi="Arial"/>
                <w:sz w:val="14"/>
                <w:szCs w:val="14"/>
                <w:color w:val="auto"/>
              </w:rPr>
              <w:t>Balance at January 28, 2017</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61,637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616</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304,466</w:t>
            </w:r>
          </w:p>
        </w:tc>
        <w:tc>
          <w:tcPr>
            <w:tcW w:w="2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(10,877)</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(87,977</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(122,567</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(6,018)</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88,520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56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1,636</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Restricted stock issued, reclass from liability to equity</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(Note F)</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916</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Cancellations of restricted stock, net of issuances</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(755)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Board of directors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(1,878)</w:t>
            </w:r>
          </w:p>
        </w:tc>
        <w:tc>
          <w:tcPr>
            <w:tcW w:w="80" w:type="dxa"/>
            <w:vAlign w:val="bottom"/>
          </w:tcPr>
          <w:p>
            <w:pPr>
              <w:spacing w:after="0"/>
              <w:rPr>
                <w:sz w:val="14"/>
                <w:szCs w:val="14"/>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4"/>
                <w:szCs w:val="14"/>
                <w:color w:val="auto"/>
              </w:rPr>
              <w:t>(4,681)</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(4,681)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Accumulated other comprehensive income (loss):</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ind w:left="240"/>
              <w:spacing w:after="0"/>
              <w:rPr>
                <w:sz w:val="20"/>
                <w:szCs w:val="20"/>
                <w:color w:val="auto"/>
              </w:rPr>
            </w:pPr>
            <w:r>
              <w:rPr>
                <w:rFonts w:ascii="Arial" w:cs="Arial" w:eastAsia="Arial" w:hAnsi="Arial"/>
                <w:sz w:val="14"/>
                <w:szCs w:val="14"/>
                <w:color w:val="auto"/>
              </w:rPr>
              <w:t>Unrecognized gain associated with Pension Plan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line="143" w:lineRule="exact"/>
              <w:rPr>
                <w:sz w:val="20"/>
                <w:szCs w:val="20"/>
                <w:color w:val="auto"/>
              </w:rPr>
            </w:pPr>
            <w:r>
              <w:rPr>
                <w:rFonts w:ascii="Arial" w:cs="Arial" w:eastAsia="Arial" w:hAnsi="Arial"/>
                <w:sz w:val="14"/>
                <w:szCs w:val="14"/>
                <w:color w:val="auto"/>
              </w:rPr>
              <w:t>Adjustment to reclassify intraperiod tax allocation to</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gridSpan w:val="2"/>
          </w:tcPr>
          <w:p>
            <w:pPr>
              <w:spacing w:after="0"/>
              <w:rPr>
                <w:sz w:val="20"/>
                <w:szCs w:val="20"/>
                <w:color w:val="auto"/>
              </w:rPr>
            </w:pPr>
            <w:r>
              <w:rPr>
                <w:rFonts w:ascii="Arial" w:cs="Arial" w:eastAsia="Arial" w:hAnsi="Arial"/>
                <w:sz w:val="14"/>
                <w:szCs w:val="14"/>
                <w:color w:val="auto"/>
              </w:rPr>
              <w:t>accumulated deficit (Note 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(2,108)</w:t>
            </w: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(18,826)</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(18,826)</w:t>
            </w:r>
          </w:p>
        </w:tc>
        <w:tc>
          <w:tcPr>
            <w:tcW w:w="0" w:type="dxa"/>
            <w:vAlign w:val="bottom"/>
          </w:tcPr>
          <w:p>
            <w:pPr>
              <w:spacing w:after="0"/>
              <w:rPr>
                <w:sz w:val="1"/>
                <w:szCs w:val="1"/>
                <w:color w:val="auto"/>
              </w:rPr>
            </w:pPr>
          </w:p>
        </w:tc>
      </w:tr>
      <w:tr>
        <w:trPr>
          <w:trHeight w:val="156"/>
        </w:trPr>
        <w:tc>
          <w:tcPr>
            <w:tcW w:w="3580" w:type="dxa"/>
            <w:vAlign w:val="bottom"/>
            <w:gridSpan w:val="2"/>
          </w:tcPr>
          <w:p>
            <w:pPr>
              <w:spacing w:after="0" w:line="155" w:lineRule="exact"/>
              <w:rPr>
                <w:sz w:val="20"/>
                <w:szCs w:val="20"/>
                <w:color w:val="auto"/>
              </w:rPr>
            </w:pPr>
            <w:r>
              <w:rPr>
                <w:rFonts w:ascii="Arial" w:cs="Arial" w:eastAsia="Arial" w:hAnsi="Arial"/>
                <w:sz w:val="14"/>
                <w:szCs w:val="14"/>
                <w:color w:val="auto"/>
              </w:rPr>
              <w:t>Balance at February 3, 2018</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61,486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307,557</w:t>
            </w:r>
          </w:p>
        </w:tc>
        <w:tc>
          <w:tcPr>
            <w:tcW w:w="2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(12,755)</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(92,658</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(139,285</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(6,243)</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69,986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3, 2018, January 28, 2017 and January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February 3, 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color w:val="auto"/>
                <w:w w:val="92"/>
              </w:rPr>
              <w:t>January 28, 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January 30, 2016</w:t>
            </w:r>
          </w:p>
        </w:tc>
      </w:tr>
      <w:tr>
        <w:trPr>
          <w:trHeight w:val="167"/>
        </w:trPr>
        <w:tc>
          <w:tcPr>
            <w:tcW w:w="5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color w:val="auto"/>
              </w:rPr>
              <w:t>(Fiscal 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(Fiscal 2015)</w:t>
            </w:r>
          </w:p>
        </w:tc>
      </w:tr>
      <w:tr>
        <w:trPr>
          <w:trHeight w:val="223"/>
        </w:trPr>
        <w:tc>
          <w:tcPr>
            <w:tcW w:w="59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(18,826)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(2,256)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(8,408)</w:t>
            </w:r>
          </w:p>
        </w:tc>
      </w:tr>
      <w:tr>
        <w:trPr>
          <w:trHeight w:val="215"/>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provided by operating</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Amortization of deferred gain on sale-leaseback</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debt issuance costs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Impairment of assets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28,359</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Deferred taxes, net of valuation allowance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 compensation expense</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Issuance of common stock to Board of Directors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(2,393)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(1,102)</w:t>
            </w: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7,568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(9,794)</w:t>
            </w: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Deferred rent and lease incentives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(4,153)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34,960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Borders>
              <w:bottom w:val="single" w:sz="8" w:color="CFF0FC"/>
            </w:tcBorders>
          </w:tcPr>
          <w:p>
            <w:pPr>
              <w:spacing w:after="0"/>
              <w:rPr>
                <w:sz w:val="19"/>
                <w:szCs w:val="19"/>
                <w:color w:val="auto"/>
              </w:rPr>
            </w:pPr>
          </w:p>
        </w:tc>
      </w:tr>
      <w:tr>
        <w:trPr>
          <w:trHeight w:val="223"/>
        </w:trPr>
        <w:tc>
          <w:tcPr>
            <w:tcW w:w="59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Cash flows from investing activities: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Additions to property and equipment, net</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(22,565)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(29,239)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(33,447)</w:t>
            </w:r>
          </w:p>
        </w:tc>
      </w:tr>
      <w:tr>
        <w:trPr>
          <w:trHeight w:val="223"/>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for investing activities</w:t>
            </w:r>
          </w:p>
        </w:tc>
        <w:tc>
          <w:tcPr>
            <w:tcW w:w="8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(33,447)</w:t>
            </w:r>
          </w:p>
        </w:tc>
        <w:tc>
          <w:tcPr>
            <w:tcW w:w="100" w:type="dxa"/>
            <w:vAlign w:val="bottom"/>
            <w:tcBorders>
              <w:bottom w:val="single" w:sz="8" w:color="CFF0FC"/>
            </w:tcBorders>
          </w:tcPr>
          <w:p>
            <w:pPr>
              <w:spacing w:after="0"/>
              <w:rPr>
                <w:sz w:val="19"/>
                <w:szCs w:val="19"/>
                <w:color w:val="auto"/>
              </w:rPr>
            </w:pPr>
          </w:p>
        </w:tc>
      </w:tr>
      <w:tr>
        <w:trPr>
          <w:trHeight w:val="223"/>
        </w:trPr>
        <w:tc>
          <w:tcPr>
            <w:tcW w:w="59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Cash flows from financing activities: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borrowings under credit facility</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23,044</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Principal payments on long-term debt</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(7,312)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(7,489)</w:t>
            </w: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Costs associated with debt issuances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Repurchase of common stock</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(used for) financing activities</w:t>
            </w:r>
          </w:p>
        </w:tc>
        <w:tc>
          <w:tcPr>
            <w:tcW w:w="8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15,641</w:t>
            </w:r>
          </w:p>
        </w:tc>
        <w:tc>
          <w:tcPr>
            <w:tcW w:w="100" w:type="dxa"/>
            <w:vAlign w:val="bottom"/>
            <w:tcBorders>
              <w:bottom w:val="single" w:sz="8" w:color="CFF0FC"/>
            </w:tcBorders>
          </w:tcPr>
          <w:p>
            <w:pPr>
              <w:spacing w:after="0"/>
              <w:rPr>
                <w:sz w:val="19"/>
                <w:szCs w:val="19"/>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Beginning of period</w:t>
            </w:r>
          </w:p>
        </w:tc>
        <w:tc>
          <w:tcPr>
            <w:tcW w:w="8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Pr>
          <w:p>
            <w:pPr>
              <w:ind w:left="260"/>
              <w:spacing w:after="0"/>
              <w:rPr>
                <w:sz w:val="20"/>
                <w:szCs w:val="20"/>
                <w:color w:val="auto"/>
              </w:rPr>
            </w:pPr>
            <w:r>
              <w:rPr>
                <w:rFonts w:ascii="Arial" w:cs="Arial" w:eastAsia="Arial" w:hAnsi="Arial"/>
                <w:sz w:val="18"/>
                <w:szCs w:val="18"/>
                <w:color w:val="auto"/>
              </w:rPr>
              <w:t>End of period</w:t>
            </w:r>
          </w:p>
        </w:tc>
        <w:tc>
          <w:tcPr>
            <w:tcW w:w="8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5" w:name="page46"/>
    <w:bookmarkEnd w:id="45"/>
    <w:p>
      <w:pPr>
        <w:ind w:left="4380"/>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FEBRUARY 3,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Destination XL Group, Inc. (collectively with its subsidiaries referred to as the “Company”) is the largest specialty retailer in the United States of big &amp; tall men’s apparel. The Company operates under the trade names of Destination XL</w:t>
      </w:r>
      <w:r>
        <w:rPr>
          <w:rFonts w:ascii="Arial" w:cs="Arial" w:eastAsia="Arial" w:hAnsi="Arial"/>
          <w:sz w:val="14"/>
          <w:szCs w:val="14"/>
          <w:color w:val="auto"/>
        </w:rPr>
        <w:t>®</w:t>
      </w:r>
      <w:r>
        <w:rPr>
          <w:rFonts w:ascii="Arial" w:cs="Arial" w:eastAsia="Arial" w:hAnsi="Arial"/>
          <w:sz w:val="17"/>
          <w:szCs w:val="17"/>
          <w:color w:val="auto"/>
        </w:rPr>
        <w:t xml:space="preserve"> (DXL</w:t>
      </w:r>
      <w:r>
        <w:rPr>
          <w:rFonts w:ascii="Arial" w:cs="Arial" w:eastAsia="Arial" w:hAnsi="Arial"/>
          <w:sz w:val="14"/>
          <w:szCs w:val="14"/>
          <w:color w:val="auto"/>
        </w:rPr>
        <w:t>®</w:t>
      </w:r>
      <w:r>
        <w:rPr>
          <w:rFonts w:ascii="Arial" w:cs="Arial" w:eastAsia="Arial" w:hAnsi="Arial"/>
          <w:sz w:val="17"/>
          <w:szCs w:val="17"/>
          <w:color w:val="auto"/>
        </w:rPr>
        <w:t>), DXL Outlets</w:t>
      </w:r>
      <w:r>
        <w:rPr>
          <w:rFonts w:ascii="Arial" w:cs="Arial" w:eastAsia="Arial" w:hAnsi="Arial"/>
          <w:sz w:val="14"/>
          <w:szCs w:val="14"/>
          <w:color w:val="auto"/>
        </w:rPr>
        <w:t>®</w:t>
      </w:r>
      <w:r>
        <w:rPr>
          <w:rFonts w:ascii="Arial" w:cs="Arial" w:eastAsia="Arial" w:hAnsi="Arial"/>
          <w:sz w:val="17"/>
          <w:szCs w:val="17"/>
          <w:color w:val="auto"/>
        </w:rPr>
        <w:t>, Casual Male XL</w:t>
      </w:r>
      <w:r>
        <w:rPr>
          <w:rFonts w:ascii="Arial" w:cs="Arial" w:eastAsia="Arial" w:hAnsi="Arial"/>
          <w:sz w:val="14"/>
          <w:szCs w:val="14"/>
          <w:color w:val="auto"/>
        </w:rPr>
        <w:t>®</w:t>
      </w:r>
      <w:r>
        <w:rPr>
          <w:rFonts w:ascii="Arial" w:cs="Arial" w:eastAsia="Arial" w:hAnsi="Arial"/>
          <w:sz w:val="17"/>
          <w:szCs w:val="17"/>
          <w:color w:val="auto"/>
        </w:rPr>
        <w:t>, Casual Male XL Outlets, Rochester Clothing, ShoesXL</w:t>
      </w:r>
      <w:r>
        <w:rPr>
          <w:rFonts w:ascii="Arial" w:cs="Arial" w:eastAsia="Arial" w:hAnsi="Arial"/>
          <w:sz w:val="14"/>
          <w:szCs w:val="14"/>
          <w:color w:val="auto"/>
        </w:rPr>
        <w:t>®</w:t>
      </w:r>
      <w:r>
        <w:rPr>
          <w:rFonts w:ascii="Arial" w:cs="Arial" w:eastAsia="Arial" w:hAnsi="Arial"/>
          <w:sz w:val="17"/>
          <w:szCs w:val="17"/>
          <w:color w:val="auto"/>
        </w:rPr>
        <w:t xml:space="preserve"> and LivingXL</w:t>
      </w:r>
      <w:r>
        <w:rPr>
          <w:rFonts w:ascii="Arial" w:cs="Arial" w:eastAsia="Arial" w:hAnsi="Arial"/>
          <w:sz w:val="14"/>
          <w:szCs w:val="14"/>
          <w:color w:val="auto"/>
        </w:rPr>
        <w:t>®</w:t>
      </w:r>
      <w:r>
        <w:rPr>
          <w:rFonts w:ascii="Arial" w:cs="Arial" w:eastAsia="Arial" w:hAnsi="Arial"/>
          <w:sz w:val="17"/>
          <w:szCs w:val="17"/>
          <w:color w:val="auto"/>
        </w:rPr>
        <w:t>. At February 3, 2018, the Company operated 212 DXL stores, 78 Casual Male XL, 33 Casual Male XL outlets, 14 DXL outlets and 5 Rochester Clothing stores located throughout the United States, including one store in London, England and two stores in Canada. The Company also operates an e-commerce site to support its brands and product extensions.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appropriate subsequent event disclosures, if any, have been made in these Notes to the Consolidated Financial Statements.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Certain prior period amounts have been reclassified to conform to the current period presentation. Impairment of assets, which was previously included in “Depreciation and Amortization” on the Consolidated Statement of Operations for fiscal 2016 has been reclassified to “Impairment of Assets” for comparability to fiscal 2017. There was no such impairment of assets in fiscal 2015.</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consistent with its omni-channel business approach. The direct business operating segment includes the operating results and assets for LivingXL.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Company’s fiscal year is a 52-week or 53-week period ending on the Saturday closest to January 31. Fiscal 2017 was a 53-week period which ended on February 3, 2018. Fiscal 2016 and 2015 were 52-week periods which ended on January 28, 2017 and January 30, 2016, respectively.</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43" w:right="279" w:bottom="1440" w:gutter="0" w:footer="0" w:header="0"/>
        </w:sectPr>
      </w:pPr>
    </w:p>
    <w:bookmarkStart w:id="46" w:name="page47"/>
    <w:bookmarkEnd w:id="46"/>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Accounts receivable primarily includes amounts due for tenant allowances and rebates from certain vendors. For fiscal 2017, fiscal 2016 and fiscal 2015, the Company has not incurred any losses on its accounts receivable.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of cash and cash equivalents, accounts receivable, accounts payable, accrued expenses and short-term borrowings approximate fair value because of the short maturity of these instruments.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and enhances disclosures about fair value measurements.</w:t>
      </w:r>
    </w:p>
    <w:p>
      <w:pPr>
        <w:spacing w:after="0" w:line="17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520" w:right="10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fair value of long-term debt at February 3, 2018 approximates the carrying amount based upon terms available to the Company for borrowings with similar arrangements and remaining maturities. See Note C, “Debt Obligations</w:t>
      </w:r>
      <w:r>
        <w:rPr>
          <w:rFonts w:ascii="Arial" w:cs="Arial" w:eastAsia="Arial" w:hAnsi="Arial"/>
          <w:sz w:val="18"/>
          <w:szCs w:val="18"/>
          <w:i w:val="1"/>
          <w:iCs w:val="1"/>
          <w:color w:val="auto"/>
        </w:rPr>
        <w:t>”</w:t>
      </w:r>
      <w:r>
        <w:rPr>
          <w:rFonts w:ascii="Arial" w:cs="Arial" w:eastAsia="Arial" w:hAnsi="Arial"/>
          <w:sz w:val="18"/>
          <w:szCs w:val="18"/>
          <w:color w:val="auto"/>
        </w:rPr>
        <w:t>, for more discussion.</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the relief from royalty method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below.</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Retail 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valuation hierarchy. See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below.</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ind w:left="700"/>
              <w:spacing w:after="0"/>
              <w:rPr>
                <w:sz w:val="20"/>
                <w:szCs w:val="20"/>
                <w:color w:val="auto"/>
              </w:rPr>
            </w:pPr>
            <w:r>
              <w:rPr>
                <w:rFonts w:ascii="Arial" w:cs="Arial" w:eastAsia="Arial" w:hAnsi="Arial"/>
                <w:sz w:val="18"/>
                <w:szCs w:val="18"/>
                <w:color w:val="auto"/>
              </w:rPr>
              <w:t>Furniture and fixtures</w:t>
            </w:r>
          </w:p>
        </w:tc>
        <w:tc>
          <w:tcPr>
            <w:tcW w:w="7380" w:type="dxa"/>
            <w:vAlign w:val="bottom"/>
          </w:tcPr>
          <w:p>
            <w:pPr>
              <w:ind w:left="2100"/>
              <w:spacing w:after="0"/>
              <w:rPr>
                <w:sz w:val="20"/>
                <w:szCs w:val="20"/>
                <w:color w:val="auto"/>
              </w:rPr>
            </w:pPr>
            <w:r>
              <w:rPr>
                <w:rFonts w:ascii="Arial" w:cs="Arial" w:eastAsia="Arial" w:hAnsi="Arial"/>
                <w:sz w:val="18"/>
                <w:szCs w:val="18"/>
                <w:color w:val="auto"/>
              </w:rPr>
              <w:t>Five to ten years</w:t>
            </w:r>
          </w:p>
        </w:tc>
      </w:tr>
      <w:tr>
        <w:trPr>
          <w:trHeight w:val="216"/>
        </w:trPr>
        <w:tc>
          <w:tcPr>
            <w:tcW w:w="4060" w:type="dxa"/>
            <w:vAlign w:val="bottom"/>
          </w:tcPr>
          <w:p>
            <w:pPr>
              <w:ind w:left="700"/>
              <w:spacing w:after="0"/>
              <w:rPr>
                <w:sz w:val="20"/>
                <w:szCs w:val="20"/>
                <w:color w:val="auto"/>
              </w:rPr>
            </w:pPr>
            <w:r>
              <w:rPr>
                <w:rFonts w:ascii="Arial" w:cs="Arial" w:eastAsia="Arial" w:hAnsi="Arial"/>
                <w:sz w:val="18"/>
                <w:szCs w:val="18"/>
                <w:color w:val="auto"/>
              </w:rPr>
              <w:t>Equipment</w:t>
            </w:r>
          </w:p>
        </w:tc>
        <w:tc>
          <w:tcPr>
            <w:tcW w:w="7380" w:type="dxa"/>
            <w:vAlign w:val="bottom"/>
          </w:tcPr>
          <w:p>
            <w:pPr>
              <w:ind w:left="2100"/>
              <w:spacing w:after="0"/>
              <w:rPr>
                <w:sz w:val="20"/>
                <w:szCs w:val="20"/>
                <w:color w:val="auto"/>
              </w:rPr>
            </w:pPr>
            <w:r>
              <w:rPr>
                <w:rFonts w:ascii="Arial" w:cs="Arial" w:eastAsia="Arial" w:hAnsi="Arial"/>
                <w:sz w:val="18"/>
                <w:szCs w:val="18"/>
                <w:color w:val="auto"/>
              </w:rPr>
              <w:t>Five to ten years</w:t>
            </w:r>
          </w:p>
        </w:tc>
      </w:tr>
      <w:tr>
        <w:trPr>
          <w:trHeight w:val="216"/>
        </w:trPr>
        <w:tc>
          <w:tcPr>
            <w:tcW w:w="4060" w:type="dxa"/>
            <w:vAlign w:val="bottom"/>
          </w:tcPr>
          <w:p>
            <w:pPr>
              <w:ind w:left="700"/>
              <w:spacing w:after="0"/>
              <w:rPr>
                <w:sz w:val="20"/>
                <w:szCs w:val="20"/>
                <w:color w:val="auto"/>
              </w:rPr>
            </w:pPr>
            <w:r>
              <w:rPr>
                <w:rFonts w:ascii="Arial" w:cs="Arial" w:eastAsia="Arial" w:hAnsi="Arial"/>
                <w:sz w:val="18"/>
                <w:szCs w:val="18"/>
                <w:color w:val="auto"/>
              </w:rPr>
              <w:t>Leasehold improvements</w:t>
            </w:r>
          </w:p>
        </w:tc>
        <w:tc>
          <w:tcPr>
            <w:tcW w:w="7380" w:type="dxa"/>
            <w:vAlign w:val="bottom"/>
          </w:tcPr>
          <w:p>
            <w:pPr>
              <w:ind w:left="2100"/>
              <w:spacing w:after="0"/>
              <w:rPr>
                <w:sz w:val="20"/>
                <w:szCs w:val="20"/>
                <w:color w:val="auto"/>
              </w:rPr>
            </w:pPr>
            <w:r>
              <w:rPr>
                <w:rFonts w:ascii="Arial" w:cs="Arial" w:eastAsia="Arial" w:hAnsi="Arial"/>
                <w:sz w:val="18"/>
                <w:szCs w:val="18"/>
                <w:color w:val="auto"/>
              </w:rPr>
              <w:t>Lesser of useful lives or related lease term</w:t>
            </w:r>
          </w:p>
        </w:tc>
      </w:tr>
      <w:tr>
        <w:trPr>
          <w:trHeight w:val="230"/>
        </w:trPr>
        <w:tc>
          <w:tcPr>
            <w:tcW w:w="4060" w:type="dxa"/>
            <w:vAlign w:val="bottom"/>
          </w:tcPr>
          <w:p>
            <w:pPr>
              <w:ind w:left="700"/>
              <w:spacing w:after="0"/>
              <w:rPr>
                <w:sz w:val="20"/>
                <w:szCs w:val="20"/>
                <w:color w:val="auto"/>
              </w:rPr>
            </w:pPr>
            <w:r>
              <w:rPr>
                <w:rFonts w:ascii="Arial" w:cs="Arial" w:eastAsia="Arial" w:hAnsi="Arial"/>
                <w:sz w:val="18"/>
                <w:szCs w:val="18"/>
                <w:color w:val="auto"/>
              </w:rPr>
              <w:t>Hardware and software</w:t>
            </w:r>
          </w:p>
        </w:tc>
        <w:tc>
          <w:tcPr>
            <w:tcW w:w="7380" w:type="dxa"/>
            <w:vAlign w:val="bottom"/>
          </w:tcPr>
          <w:p>
            <w:pPr>
              <w:ind w:left="2100"/>
              <w:spacing w:after="0"/>
              <w:rPr>
                <w:sz w:val="20"/>
                <w:szCs w:val="20"/>
                <w:color w:val="auto"/>
              </w:rPr>
            </w:pPr>
            <w:r>
              <w:rPr>
                <w:rFonts w:ascii="Arial" w:cs="Arial" w:eastAsia="Arial" w:hAnsi="Arial"/>
                <w:sz w:val="18"/>
                <w:szCs w:val="18"/>
                <w:color w:val="auto"/>
              </w:rPr>
              <w:t>Three to seven years</w:t>
            </w:r>
          </w:p>
        </w:tc>
      </w:tr>
      <w:tr>
        <w:trPr>
          <w:trHeight w:val="891"/>
        </w:trPr>
        <w:tc>
          <w:tcPr>
            <w:tcW w:w="4060" w:type="dxa"/>
            <w:vAlign w:val="bottom"/>
          </w:tcPr>
          <w:p>
            <w:pPr>
              <w:spacing w:after="0"/>
              <w:rPr>
                <w:sz w:val="24"/>
                <w:szCs w:val="24"/>
                <w:color w:val="auto"/>
              </w:rPr>
            </w:pPr>
          </w:p>
        </w:tc>
        <w:tc>
          <w:tcPr>
            <w:tcW w:w="7380" w:type="dxa"/>
            <w:vAlign w:val="bottom"/>
          </w:tcPr>
          <w:p>
            <w:pPr>
              <w:ind w:left="1560"/>
              <w:spacing w:after="0"/>
              <w:rPr>
                <w:sz w:val="20"/>
                <w:szCs w:val="20"/>
                <w:color w:val="auto"/>
              </w:rPr>
            </w:pPr>
            <w:r>
              <w:rPr>
                <w:rFonts w:ascii="Arial" w:cs="Arial" w:eastAsia="Arial" w:hAnsi="Arial"/>
                <w:sz w:val="18"/>
                <w:szCs w:val="18"/>
                <w:color w:val="auto"/>
              </w:rPr>
              <w:t>47</w:t>
            </w:r>
          </w:p>
        </w:tc>
      </w:tr>
      <w:tr>
        <w:trPr>
          <w:trHeight w:val="115"/>
        </w:trPr>
        <w:tc>
          <w:tcPr>
            <w:tcW w:w="4060" w:type="dxa"/>
            <w:vAlign w:val="bottom"/>
            <w:tcBorders>
              <w:bottom w:val="single" w:sz="8" w:color="9A9A9A"/>
            </w:tcBorders>
          </w:tcPr>
          <w:p>
            <w:pPr>
              <w:spacing w:after="0"/>
              <w:rPr>
                <w:sz w:val="10"/>
                <w:szCs w:val="10"/>
                <w:color w:val="auto"/>
              </w:rPr>
            </w:pPr>
          </w:p>
        </w:tc>
        <w:tc>
          <w:tcPr>
            <w:tcW w:w="7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47" w:name="page48"/>
    <w:bookmarkEnd w:id="47"/>
    <w:p>
      <w:pPr>
        <w:ind w:left="260"/>
        <w:spacing w:after="0"/>
        <w:rPr>
          <w:sz w:val="20"/>
          <w:szCs w:val="20"/>
          <w:color w:val="auto"/>
        </w:rPr>
      </w:pPr>
      <w:r>
        <w:rPr>
          <w:rFonts w:ascii="Arial" w:cs="Arial" w:eastAsia="Arial" w:hAnsi="Arial"/>
          <w:sz w:val="18"/>
          <w:szCs w:val="18"/>
          <w:b w:val="1"/>
          <w:bCs w:val="1"/>
          <w:i w:val="1"/>
          <w:iCs w:val="1"/>
          <w:color w:val="auto"/>
        </w:rPr>
        <w:t>Intangibles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requires that all business combinations be accounted for under the purchase method. The statement further requires separate recognition of intangible assets that meet one of two criteria set forth in the statement. Under ASC Topic 350, “</w:t>
      </w:r>
      <w:r>
        <w:rPr>
          <w:rFonts w:ascii="Arial" w:cs="Arial" w:eastAsia="Arial" w:hAnsi="Arial"/>
          <w:sz w:val="16"/>
          <w:szCs w:val="16"/>
          <w:i w:val="1"/>
          <w:iCs w:val="1"/>
          <w:color w:val="auto"/>
        </w:rPr>
        <w:t>Intangibles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w:t>
      </w:r>
      <w:r>
        <w:rPr>
          <w:rFonts w:ascii="Arial" w:cs="Arial" w:eastAsia="Arial" w:hAnsi="Arial"/>
          <w:sz w:val="16"/>
          <w:szCs w:val="16"/>
          <w:color w:val="auto"/>
        </w:rPr>
        <w:t>goodwill and intangible assets with indefinite lives are tested at least annually for impairment. At each reporting period, management analyzes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events and circumstances to determine whether the indefinite life classification for its “Rochester” trademark continues to be valid. If circumstances warrant a change to a finite life, the carrying value of the intangible asset would then be amortized prospectively over the estimated remaining useful life. The Company’s “Casual Male” trademark is considered a finite-lived asset. Other intangible assets with defined lives are amortized over their useful lives.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least annually, as of the Company’s December month-end, the Company evaluates its “Rochester” trademark. The Company performs an impairment analysis and records an impairment charge for any intangible assets with a carrying value in excess of its fair value.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fourth quarter of fiscal 2017, the “Rochester” trademark was tested for potential impairment, utilizing the relief from royalty method to determine the estimated fair value. The Company concluded that the “Rochester” trademark, with a carrying value of $1.5 million at February 3, 2018, was not impaired. Although some of the Rochester locations have closed as part of the DXL expansion, the Rochester Clothing stores that remain open as well as the Rochester brands that are sold in DXL stores and website are currently expected to generate more than sufficient cash flows to support the carrying value of $1.5 million for the “Rochester” trademark.</w:t>
      </w:r>
    </w:p>
    <w:p>
      <w:pPr>
        <w:spacing w:after="0" w:line="18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During the fiscal 2011 annual evaluation of intangibles, the Company determined that its “Casual Male” trademark could no longer be considered an indefinite-lived asset. As the Company opens DXL stores, it is closing the majority of its Casual Male XL stores in those respective markets. The carrying value of the trademark is being amortized on an accelerated basis against projected cash flows through fiscal 2018, its estimated remaining useful life.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Below is a table showing the changes in the carrying value of the Company’s intangible assets from January 28, 2017 to February 3,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w w:val="90"/>
              </w:rPr>
              <w:t>January 28, 2017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Impairment</w:t>
            </w:r>
          </w:p>
        </w:tc>
        <w:tc>
          <w:tcPr>
            <w:tcW w:w="12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Amortization</w:t>
            </w: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February 3, 2018</w:t>
            </w: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"Rochester" trademark</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"Casual Male" trademark</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Other intangibles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50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intangibles consist of customer lists, which have a finite life of 16 years based on its estimated economic useful life. At February 3, 2018, customer lists have a remaining life of 3 months.</w:t>
      </w:r>
    </w:p>
    <w:p>
      <w:pPr>
        <w:spacing w:after="0" w:line="18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gross carrying amount and accumulated amortization of the customer lists and “Casual Male” trademark, subject to amortization, were $7.7 million and $7.4 million, respectively, at February 3, 2018 and $7.7 million and $7.0 million, respectively, at January 28, 2017. Amortization expense for fiscal 2017, 2016 and 2015 was $0.4 million, $0.4 million and $0.6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Expected amortization expense for the Company’s “Casual Male” trademark and customer lists, for the next five fiscal years is as follows:</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580" w:type="dxa"/>
            <w:vAlign w:val="bottom"/>
          </w:tcPr>
          <w:p>
            <w:pPr>
              <w:jc w:val="right"/>
              <w:ind w:right="4573"/>
              <w:spacing w:after="0"/>
              <w:rPr>
                <w:sz w:val="20"/>
                <w:szCs w:val="20"/>
                <w:color w:val="auto"/>
              </w:rPr>
            </w:pPr>
            <w:r>
              <w:rPr>
                <w:rFonts w:ascii="Arial" w:cs="Arial" w:eastAsia="Arial" w:hAnsi="Arial"/>
                <w:sz w:val="14"/>
                <w:szCs w:val="14"/>
                <w:color w:val="auto"/>
                <w:w w:val="98"/>
              </w:rPr>
              <w:t>FISCAL YEAR</w:t>
            </w: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r>
      <w:tr>
        <w:trPr>
          <w:trHeight w:val="223"/>
        </w:trPr>
        <w:tc>
          <w:tcPr>
            <w:tcW w:w="5580" w:type="dxa"/>
            <w:vAlign w:val="bottom"/>
            <w:tcBorders>
              <w:top w:val="single" w:sz="8" w:color="CFF0FC"/>
            </w:tcBorders>
            <w:shd w:val="clear" w:color="auto" w:fill="CFF0FC"/>
          </w:tcPr>
          <w:p>
            <w:pPr>
              <w:jc w:val="right"/>
              <w:ind w:right="4893"/>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jc w:val="right"/>
              <w:ind w:right="4893"/>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FF0FC"/>
          </w:tcPr>
          <w:p>
            <w:pPr>
              <w:jc w:val="right"/>
              <w:ind w:right="4893"/>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tcPr>
          <w:p>
            <w:pPr>
              <w:jc w:val="right"/>
              <w:ind w:right="4893"/>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FF0FC"/>
          </w:tcPr>
          <w:p>
            <w:pPr>
              <w:jc w:val="right"/>
              <w:ind w:right="4893"/>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all pre-opening costs for its stores as incurred.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8" w:name="page49"/>
    <w:bookmarkEnd w:id="48"/>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expenses in-store advertising costs as incurred. Television advertising costs are expensed in the period in which the advertising is first aired. Direct response advertising costs, if any, are deferred and amortized over the period of expected direct marketing revenues, which is less than one year. There were no deferred direct response costs at February 3, 2018 and January 28, 2017. Advertising expense, which is included in selling, general and administrative expenses, was $29.5 million, $18.2 million and $23.6 million for fiscal 2017, 2016 and 2015, respectively.</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Revenue from the Company’s retail store operations is recorded upon purchase of merchandise by customers, net of an allowance for sales returns. Revenue from the Company’s e-commerce operations is recognized at the time a customer order is delivered, net of an allowance for sales returns. Revenue is recognized by the operating segment that initiates a customer’s order. Store sales are defined as sales that originate and are fulfilled directly at the store level. E-commerce sales are defined as sales that originate online, including those initiated online at the store level. Sales tax collected from customers is excluded from revenue and is included as part of accrued expenses on the Company’s Consolidated Balance Sheets.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 (loss) includes amounts related to foreign currency and pension plans and is reported in the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(Loss). Other comprehensive income and reclassifications from AOCI for fiscal 2017, fiscal 2016 and fiscal 2015 are as follows: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2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w w:val="94"/>
              </w:rPr>
              <w:t>Fiscal 2017</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Fiscal 2016</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w w:val="94"/>
              </w:rPr>
              <w:t>Fiscal 2015</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86"/>
              </w:rPr>
              <w:t>Pension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2"/>
              </w:rPr>
              <w:t>Foreign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86"/>
              </w:rPr>
              <w:t>Pension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92"/>
              </w:rPr>
              <w:t>Foreign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0"/>
              </w:rPr>
              <w:t>Pension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Foreign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Plans</w:t>
            </w:r>
          </w:p>
        </w:tc>
        <w:tc>
          <w:tcPr>
            <w:tcW w:w="1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Currency</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Plans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Plans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w w:val="91"/>
              </w:rPr>
              <w:t>Currency</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fiscal year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(5,237)</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(781)</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(6,018)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(6,113)</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(539)</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(6,652)</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(7,795)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(8,238)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(loss)</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before reclassifications, net of taxes</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(96)</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Amounts reclassified from accumulated</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 comprehensive income (loss),</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140"/>
              <w:spacing w:after="0" w:line="216" w:lineRule="exact"/>
              <w:rPr>
                <w:sz w:val="20"/>
                <w:szCs w:val="20"/>
                <w:color w:val="auto"/>
              </w:rPr>
            </w:pPr>
            <w:r>
              <w:rPr>
                <w:rFonts w:ascii="Arial" w:cs="Arial" w:eastAsia="Arial" w:hAnsi="Arial"/>
                <w:sz w:val="15"/>
                <w:szCs w:val="15"/>
                <w:color w:val="auto"/>
              </w:rPr>
              <w:t xml:space="preserve">net of taxes </w:t>
            </w:r>
            <w:r>
              <w:rPr>
                <w:rFonts w:ascii="Arial" w:cs="Arial" w:eastAsia="Arial" w:hAnsi="Arial"/>
                <w:sz w:val="25"/>
                <w:szCs w:val="25"/>
                <w:color w:val="auto"/>
                <w:vertAlign w:val="superscript"/>
              </w:rPr>
              <w:t>(1)</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(loss) for the period</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(96)</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Adjustment to reclassify intraperiod tax</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allocation to accumulated deficit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(Note D)</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(2,093)</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(2,108)</w:t>
            </w:r>
          </w:p>
        </w:tc>
        <w:tc>
          <w:tcPr>
            <w:tcW w:w="100" w:type="dxa"/>
            <w:vAlign w:val="bottom"/>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Balance at end of fiscal year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(5,840)</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(403)</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(6,243)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(5,237)</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(781)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(6,018)</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(6,113)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(539)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(6,652)</w:t>
            </w: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right="120" w:hanging="512"/>
        <w:spacing w:after="0" w:line="286"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$670,000, $705,000 and $647,000 for fiscal 2017, fiscal 2016 and fiscal 2015, respectively. There was no corresponding tax benefit.</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February 3, 2018, the Company had one Rochester Clothing store located in London, England and two stores located in Toronto, Canada. Assets and liabilities for these stores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Shipping and handling costs are included in cost of sales for all periods presented. Amounts related to shipping and handling that are billed to customers are recorded in net sales, and the related costs are recorded in Cost of Goods Sold, Including Occupancy Costs, in the Consolidated Statements of Operations.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which were material to its results of operations for fiscal 2017, fiscal 2016 and fiscal 2015.</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2002, with remaining fiscal years subject to income tax examination by federal tax authorities.</w:t>
      </w:r>
    </w:p>
    <w:p>
      <w:pPr>
        <w:spacing w:after="0" w:line="3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Basic earnings per share are computed by dividing net income (loss) by the weighted average number of shares of common stock outstanding during the respective period. Diluted earnings per share is determined by giving effect to unvested shares of restricted stock and the exercise of stock options using the treasury stock method. The following table provides a reconciliation of the number of shares outstanding for basic and diluted earnings per share:</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560" w:type="dxa"/>
            <w:vAlign w:val="bottom"/>
            <w:gridSpan w:val="5"/>
          </w:tcPr>
          <w:p>
            <w:pPr>
              <w:jc w:val="center"/>
              <w:ind w:left="937"/>
              <w:spacing w:after="0"/>
              <w:rPr>
                <w:sz w:val="20"/>
                <w:szCs w:val="20"/>
                <w:color w:val="auto"/>
              </w:rPr>
            </w:pPr>
            <w:r>
              <w:rPr>
                <w:rFonts w:ascii="Arial" w:cs="Arial" w:eastAsia="Arial" w:hAnsi="Arial"/>
                <w:sz w:val="14"/>
                <w:szCs w:val="14"/>
                <w:color w:val="auto"/>
              </w:rPr>
              <w:t>FISCAL YEARS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February 3, 2018</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January 28, 2017</w:t>
            </w:r>
          </w:p>
        </w:tc>
        <w:tc>
          <w:tcPr>
            <w:tcW w:w="1120" w:type="dxa"/>
            <w:vAlign w:val="bottom"/>
            <w:gridSpan w:val="2"/>
          </w:tcPr>
          <w:p>
            <w:pPr>
              <w:spacing w:after="0"/>
              <w:rPr>
                <w:sz w:val="20"/>
                <w:szCs w:val="20"/>
                <w:color w:val="auto"/>
              </w:rPr>
            </w:pPr>
            <w:r>
              <w:rPr>
                <w:rFonts w:ascii="Arial" w:cs="Arial" w:eastAsia="Arial" w:hAnsi="Arial"/>
                <w:sz w:val="14"/>
                <w:szCs w:val="14"/>
                <w:color w:val="auto"/>
              </w:rPr>
              <w:t>January 30, 2016</w:t>
            </w:r>
          </w:p>
        </w:tc>
        <w:tc>
          <w:tcPr>
            <w:tcW w:w="0" w:type="dxa"/>
            <w:vAlign w:val="bottom"/>
          </w:tcPr>
          <w:p>
            <w:pPr>
              <w:spacing w:after="0"/>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Basic weighted average common shares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48,888</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49,544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Common stock equivalents – stock options,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stock and restricted stock units (RSUs) </w:t>
            </w:r>
            <w:r>
              <w:rPr>
                <w:rFonts w:ascii="Arial" w:cs="Arial" w:eastAsia="Arial" w:hAnsi="Arial"/>
                <w:sz w:val="15"/>
                <w:szCs w:val="15"/>
                <w:color w:val="auto"/>
              </w:rPr>
              <w:t>(1)</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6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w:t>
            </w: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48,888</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49,544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42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Common stock equivalents, in thousands, of 134 shares, 439 shares and 583 shares for February 3, 2018, January 28, 2017 and January 30, 2016, respectively, were excluded due to the net loss.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50" w:name="page51"/>
    <w:bookmarkEnd w:id="50"/>
    <w:p>
      <w:pPr>
        <w:ind w:right="80"/>
        <w:spacing w:after="0" w:line="264"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either stock options, RSUs, restricted or deferred stock had an anti-dilutive effect.</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560" w:type="dxa"/>
            <w:vAlign w:val="bottom"/>
            <w:gridSpan w:val="5"/>
          </w:tcPr>
          <w:p>
            <w:pPr>
              <w:jc w:val="center"/>
              <w:ind w:left="936"/>
              <w:spacing w:after="0"/>
              <w:rPr>
                <w:sz w:val="20"/>
                <w:szCs w:val="20"/>
                <w:color w:val="auto"/>
              </w:rPr>
            </w:pPr>
            <w:r>
              <w:rPr>
                <w:rFonts w:ascii="Arial" w:cs="Arial" w:eastAsia="Arial" w:hAnsi="Arial"/>
                <w:sz w:val="14"/>
                <w:szCs w:val="14"/>
                <w:color w:val="auto"/>
              </w:rPr>
              <w:t>FISCAL YEARS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February 3, 2018</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January 28, 2017</w:t>
            </w:r>
          </w:p>
        </w:tc>
        <w:tc>
          <w:tcPr>
            <w:tcW w:w="1120" w:type="dxa"/>
            <w:vAlign w:val="bottom"/>
            <w:gridSpan w:val="2"/>
          </w:tcPr>
          <w:p>
            <w:pPr>
              <w:spacing w:after="0"/>
              <w:rPr>
                <w:sz w:val="20"/>
                <w:szCs w:val="20"/>
                <w:color w:val="auto"/>
              </w:rPr>
            </w:pPr>
            <w:r>
              <w:rPr>
                <w:rFonts w:ascii="Arial" w:cs="Arial" w:eastAsia="Arial" w:hAnsi="Arial"/>
                <w:sz w:val="14"/>
                <w:szCs w:val="14"/>
                <w:color w:val="auto"/>
              </w:rPr>
              <w:t>January 30, 2016</w:t>
            </w:r>
          </w:p>
        </w:tc>
        <w:tc>
          <w:tcPr>
            <w:tcW w:w="0" w:type="dxa"/>
            <w:vAlign w:val="bottom"/>
          </w:tcPr>
          <w:p>
            <w:pPr>
              <w:spacing w:after="0"/>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(time-vested)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RSUs (time-vested)</w:t>
            </w:r>
          </w:p>
        </w:tc>
        <w:tc>
          <w:tcPr>
            <w:tcW w:w="1060" w:type="dxa"/>
            <w:vAlign w:val="bottom"/>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Restricted and deferred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Range of exercise prices of such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$1.85-$7.52</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$4.49-$7.52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$4.96-$7.52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Excluded from the computation of basic earnings per shares in fiscal 2017 were 36,666 shares of unvested time-based restricted shares and 115,457 shares of deferred stock until such shares vest.</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Although the shares of restricted stock are not considered outstanding for basic earnings per share purposes until vested, all shares of restricted stock were considered issued and outstanding at February 3, 2018. Each share of restricted stock has all of the rights of a holder of the Company’s common stock, including, but not limited to, the right to vote and the right to receive dividends, which rights are forfeited if the restricted stock is forfeited. Outstanding shares of deferred stock are not considered issued and outstanding until the vesting date of the deferral period.</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judgment. Actual results, and future changes in estimates, may differ from the Company’s current estimates.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recognized total stock-based compensation expense, with no tax effect, of $1.6 million, $1.3 million and $2.2 million for fiscal 2017, fiscal 2016 and fiscal 2015, respectively.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stock-based compensation cost related to time-vested awards not yet recognized as of February 3, 2018 was approximately $1.8 million and will be expensed over a weighted average remaining life of approximately 20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grant-date fair value of awards vested was $1.8 million, $2.9 million and $1.0 million for fiscal 2017, 2016 and 2015, respectively.</w:t>
      </w:r>
    </w:p>
    <w:p>
      <w:pPr>
        <w:spacing w:after="0" w:line="225"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Any excess tax benefits resulting from the exercise of stock options or the release of restricted shares are recognized as a component of income tax expense. Prior to the adoption of ASU 2016-09 in fiscal 2017, any excess tax benefits were recognized as additional paid-in capital.</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2017, 2016 and 2015:</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i w:val="1"/>
                <w:iCs w:val="1"/>
                <w:color w:val="auto"/>
              </w:rPr>
              <w:t>Fiscal years ended:</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color w:val="auto"/>
              </w:rPr>
              <w:t>February 3, 2018</w:t>
            </w:r>
          </w:p>
        </w:tc>
        <w:tc>
          <w:tcPr>
            <w:tcW w:w="1580" w:type="dxa"/>
            <w:vAlign w:val="bottom"/>
            <w:gridSpan w:val="2"/>
          </w:tcPr>
          <w:p>
            <w:pPr>
              <w:ind w:left="180"/>
              <w:spacing w:after="0"/>
              <w:rPr>
                <w:sz w:val="20"/>
                <w:szCs w:val="20"/>
                <w:color w:val="auto"/>
              </w:rPr>
            </w:pPr>
            <w:r>
              <w:rPr>
                <w:rFonts w:ascii="Arial" w:cs="Arial" w:eastAsia="Arial" w:hAnsi="Arial"/>
                <w:sz w:val="14"/>
                <w:szCs w:val="14"/>
                <w:color w:val="auto"/>
              </w:rPr>
              <w:t>January 28, 2017</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January 30, 2016</w:t>
            </w: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4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ind w:right="133"/>
              <w:spacing w:after="0"/>
              <w:rPr>
                <w:sz w:val="20"/>
                <w:szCs w:val="20"/>
                <w:color w:val="auto"/>
              </w:rPr>
            </w:pPr>
            <w:r>
              <w:rPr>
                <w:rFonts w:ascii="Arial" w:cs="Arial" w:eastAsia="Arial" w:hAnsi="Arial"/>
                <w:sz w:val="18"/>
                <w:szCs w:val="18"/>
                <w:color w:val="auto"/>
                <w:w w:val="90"/>
              </w:rPr>
              <w:t>49.9%</w:t>
            </w: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39.3%-42.7%</w:t>
            </w:r>
          </w:p>
        </w:tc>
        <w:tc>
          <w:tcPr>
            <w:tcW w:w="2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37.0%-39.0%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133"/>
              <w:spacing w:after="0"/>
              <w:rPr>
                <w:sz w:val="20"/>
                <w:szCs w:val="20"/>
                <w:color w:val="auto"/>
              </w:rPr>
            </w:pPr>
            <w:r>
              <w:rPr>
                <w:rFonts w:ascii="Arial" w:cs="Arial" w:eastAsia="Arial" w:hAnsi="Arial"/>
                <w:sz w:val="18"/>
                <w:szCs w:val="18"/>
                <w:color w:val="auto"/>
                <w:w w:val="90"/>
              </w:rPr>
              <w:t>1.44%</w:t>
            </w:r>
          </w:p>
        </w:tc>
        <w:tc>
          <w:tcPr>
            <w:tcW w:w="2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0.78%-1.23%</w:t>
            </w: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0.75%-1.25%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center"/>
              <w:ind w:right="133"/>
              <w:spacing w:after="0"/>
              <w:rPr>
                <w:sz w:val="20"/>
                <w:szCs w:val="20"/>
                <w:color w:val="auto"/>
              </w:rPr>
            </w:pPr>
            <w:r>
              <w:rPr>
                <w:rFonts w:ascii="Arial" w:cs="Arial" w:eastAsia="Arial" w:hAnsi="Arial"/>
                <w:sz w:val="18"/>
                <w:szCs w:val="18"/>
                <w:color w:val="auto"/>
                <w:w w:val="87"/>
              </w:rPr>
              <w:t>3.0</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2.0</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1.8-4.0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Dividend rate</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fair value of options granted</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$1.02</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$1.44</w:t>
            </w:r>
          </w:p>
        </w:tc>
        <w:tc>
          <w:tcPr>
            <w:tcW w:w="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fiscal 2017 and fiscal 2016, the Company recorded impairment charges of $4.1 million and $0.4 million, respectively, for the write-down of property and equipment. Impairment charges related to stores where the carrying value exceeded fair value. The fair value of these assets, based on Level 3 inputs, was determined using estimated discounted cash flows. Also included in the charge for fiscal 2017 was the write-off of certain costs of $1.9 million associated with technology projects that were abandoned.</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impairment charge for fiscal 2016 was reclassified from “Depreciation and amortization” to “Impairment of assets” on the Consolidated Statement of Operations, for comparability with fiscal 2017. There was no material impairment of assets in fiscal 2015.</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Unredeemed Gift Cards, Gift Certificates, and Credit Vouchers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issuance of a gift card, gift certificate, or credit voucher, a liability is established for 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net sales in the Consolidated Statements of Operations. The gift card liability, net of breakage, was $2.2 million and $2.4 million at February 3, 2018 and January 28, 2017, respectively.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The Company adopted this pronouncement as of January 29, 2017. The adoption of this standard did not have a material impact on the Company’s </w:t>
      </w:r>
      <w:r>
        <w:rPr>
          <w:rFonts w:ascii="Arial" w:cs="Arial" w:eastAsia="Arial" w:hAnsi="Arial"/>
          <w:sz w:val="18"/>
          <w:szCs w:val="18"/>
          <w:color w:val="212121"/>
        </w:rPr>
        <w:t>Consolidated Financial Statements</w:t>
      </w:r>
      <w:r>
        <w:rPr>
          <w:rFonts w:ascii="Arial" w:cs="Arial" w:eastAsia="Arial" w:hAnsi="Arial"/>
          <w:sz w:val="18"/>
          <w:szCs w:val="18"/>
          <w:color w:val="auto"/>
        </w:rPr>
        <w:t>.</w:t>
      </w:r>
    </w:p>
    <w:p>
      <w:pPr>
        <w:spacing w:after="0" w:line="18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March 2016, the FASB issued ASU 2016-09, “</w:t>
      </w:r>
      <w:r>
        <w:rPr>
          <w:rFonts w:ascii="Arial" w:cs="Arial" w:eastAsia="Arial" w:hAnsi="Arial"/>
          <w:sz w:val="17"/>
          <w:szCs w:val="17"/>
          <w:i w:val="1"/>
          <w:iCs w:val="1"/>
          <w:color w:val="auto"/>
        </w:rPr>
        <w:t>Compensation - Stock Compensation (Topic 718) -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simplifies several aspects of the accounting for share-based payment transactions, including the income tax consequences, classification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awards, and classification on the statement of cash flows. The standard is effective for fiscal years beginning after December 15, 2016, including interim periods within those fiscal years. The Company adopted this standard during the first quarter of fiscal 2017. The adoption of this standard did not have a material impact on the Company’s provision for income taxes or diluted earnings per share. The Company has elected to adopt the guidance related to the presentation of excess tax benefits in its Consolidated Statements of Cash Flows on a prospective transition method. </w:t>
      </w:r>
      <w:r>
        <w:rPr>
          <w:rFonts w:ascii="Arial" w:cs="Arial" w:eastAsia="Arial" w:hAnsi="Arial"/>
          <w:sz w:val="17"/>
          <w:szCs w:val="17"/>
          <w:color w:val="212121"/>
        </w:rPr>
        <w:t>Since there were</w:t>
      </w:r>
      <w:r>
        <w:rPr>
          <w:rFonts w:ascii="Arial" w:cs="Arial" w:eastAsia="Arial" w:hAnsi="Arial"/>
          <w:sz w:val="17"/>
          <w:szCs w:val="17"/>
          <w:color w:val="auto"/>
        </w:rPr>
        <w:t xml:space="preserve"> no excess tax benefits </w:t>
      </w:r>
      <w:r>
        <w:rPr>
          <w:rFonts w:ascii="Arial" w:cs="Arial" w:eastAsia="Arial" w:hAnsi="Arial"/>
          <w:sz w:val="17"/>
          <w:szCs w:val="17"/>
          <w:color w:val="212121"/>
        </w:rPr>
        <w:t xml:space="preserve">for fiscal 2017, 2016 or 2015 this election did not result in a change in presentation on the Consolidated Statement of Cash Flows. </w:t>
      </w:r>
      <w:r>
        <w:rPr>
          <w:rFonts w:ascii="Arial" w:cs="Arial" w:eastAsia="Arial" w:hAnsi="Arial"/>
          <w:sz w:val="17"/>
          <w:szCs w:val="17"/>
          <w:color w:val="000000"/>
        </w:rPr>
        <w:t>In addition, the Company</w:t>
      </w:r>
      <w:r>
        <w:rPr>
          <w:rFonts w:ascii="Arial" w:cs="Arial" w:eastAsia="Arial" w:hAnsi="Arial"/>
          <w:sz w:val="17"/>
          <w:szCs w:val="17"/>
          <w:color w:val="212121"/>
        </w:rPr>
        <w:t xml:space="preserve"> </w:t>
      </w:r>
      <w:r>
        <w:rPr>
          <w:rFonts w:ascii="Arial" w:cs="Arial" w:eastAsia="Arial" w:hAnsi="Arial"/>
          <w:sz w:val="17"/>
          <w:szCs w:val="17"/>
          <w:color w:val="000000"/>
        </w:rPr>
        <w:t>has elected to continue to estimate forfeitures at each grant.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reviewed accounting pronouncements and interpretations thereof that have effective dates during the periods reported and in future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that the following impending standards may have an impact on its future filings.</w:t>
      </w:r>
    </w:p>
    <w:p>
      <w:pPr>
        <w:spacing w:after="0" w:line="25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606</w:t>
      </w:r>
      <w:r>
        <w:rPr>
          <w:rFonts w:ascii="Arial" w:cs="Arial" w:eastAsia="Arial" w:hAnsi="Arial"/>
          <w:sz w:val="17"/>
          <w:szCs w:val="17"/>
          <w:color w:val="auto"/>
        </w:rPr>
        <w:t>), which amends the accounting guidance on revenue recognition. The amendments in this ASU are intended to provide a framework for addressing revenue issues, improve comparability of revenue recognition practices, and improve disclosure requirements. This ASU sets forth a five-step model for determining when and how revenue is recognized. Under the model, an entity will be required to recognize revenue to depict the transfer of goods or services to a customer at an amount reflecting the consideration it expects to receive in exchange for those goods or services. The amendments in this accounting standard update are effective for interim and annual reporting periods beginning after December 15, 2017. The standard can be adopted either retrospectively to each reporting period presented or as a cumulative effect adjustment as of the date of adoption. To assess the impact of ASU 2014-09, the Company reviewed its current accounting policies and practices, identified all material revenue streams, assessed the impact of the ASU on its material revenue streams and identified potential differences with current policies and practices.</w:t>
      </w:r>
    </w:p>
    <w:p>
      <w:pPr>
        <w:spacing w:after="0" w:line="20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plans to adopt this standard in the first quarter of fiscal 2018, with no significant impact, using the modified retrospective approach. Generally, the Company’s performance obligations are satisfied the same day that contracts with customers are initiated. As such, the adoption of the new standard will not have a material impact on the Company’s Consolidated Financial Statements, business processes, controls or systems</w:t>
      </w:r>
      <w:r>
        <w:rPr>
          <w:rFonts w:ascii="Arial" w:cs="Arial" w:eastAsia="Arial" w:hAnsi="Arial"/>
          <w:sz w:val="17"/>
          <w:szCs w:val="17"/>
          <w:color w:val="212121"/>
        </w:rPr>
        <w:t>, but the Company expects to have</w:t>
      </w:r>
      <w:r>
        <w:rPr>
          <w:rFonts w:ascii="Arial" w:cs="Arial" w:eastAsia="Arial" w:hAnsi="Arial"/>
          <w:sz w:val="17"/>
          <w:szCs w:val="17"/>
          <w:color w:val="auto"/>
        </w:rPr>
        <w:t xml:space="preserve"> </w:t>
      </w:r>
      <w:r>
        <w:rPr>
          <w:rFonts w:ascii="Arial" w:cs="Arial" w:eastAsia="Arial" w:hAnsi="Arial"/>
          <w:sz w:val="17"/>
          <w:szCs w:val="17"/>
          <w:color w:val="212121"/>
        </w:rPr>
        <w:t>enhanced disclosures related to disaggregation of revenue sources and accounting policies.</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is a comprehensive new leases standard that amends various aspects of existing guidance for leases and requires additional disclosures about leasing arrangements. It will require lessees to recognize lease assets and lease liabilities for most leases, including those leases previously classified as operating leases under current GAAP. The ASU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ASU is effective for annual periods beginning after December 15, 2018, including interim periods within those years; earlier adoption is permitted. While there is an exposure draft to amend Topic 842 to provide entities with an additional transition method, presently the Company would be required to adopt this ASU using the modified retrospective approach.</w:t>
      </w:r>
    </w:p>
    <w:p>
      <w:pPr>
        <w:spacing w:after="0" w:line="2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selected its leasing software solution and is in the process of identifying changes to its business processes, systems and controls to support adoption of the new standard in fiscal 2019. The Company is evaluating the impact that the new standard will have on the consolidated financial statements. While the Company is still in the process of quantifying the impact, it expects the adoption of the new standard to result in a material gross-up of its Consolidated Balance Sheets as a result of recognizing lease liabilities and right of use assets.</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In March 2016, the FASB issued </w:t>
      </w:r>
      <w:r>
        <w:rPr>
          <w:rFonts w:ascii="Arial" w:cs="Arial" w:eastAsia="Arial" w:hAnsi="Arial"/>
          <w:sz w:val="16"/>
          <w:szCs w:val="16"/>
          <w:color w:val="252525"/>
        </w:rPr>
        <w:t>ASU 2016</w:t>
      </w:r>
      <w:r>
        <w:rPr>
          <w:rFonts w:ascii="Arial" w:cs="Arial" w:eastAsia="Arial" w:hAnsi="Arial"/>
          <w:sz w:val="16"/>
          <w:szCs w:val="16"/>
          <w:color w:val="auto"/>
        </w:rPr>
        <w:t>-</w:t>
      </w:r>
      <w:r>
        <w:rPr>
          <w:rFonts w:ascii="Arial" w:cs="Arial" w:eastAsia="Arial" w:hAnsi="Arial"/>
          <w:sz w:val="16"/>
          <w:szCs w:val="16"/>
          <w:color w:val="252525"/>
        </w:rPr>
        <w:t>04</w:t>
      </w:r>
      <w:r>
        <w:rPr>
          <w:rFonts w:ascii="Arial" w:cs="Arial" w:eastAsia="Arial" w:hAnsi="Arial"/>
          <w:sz w:val="16"/>
          <w:szCs w:val="16"/>
          <w:color w:val="auto"/>
        </w:rPr>
        <w:t>, “</w:t>
      </w:r>
      <w:r>
        <w:rPr>
          <w:rFonts w:ascii="Arial" w:cs="Arial" w:eastAsia="Arial" w:hAnsi="Arial"/>
          <w:sz w:val="16"/>
          <w:szCs w:val="16"/>
          <w:i w:val="1"/>
          <w:iCs w:val="1"/>
          <w:color w:val="auto"/>
        </w:rPr>
        <w:t>Liabilities—Extinguishments of Liabilities: Recognition of Breakage for Certain Prepaid Stored-Value</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w:t>
      </w:r>
      <w:r>
        <w:rPr>
          <w:rFonts w:ascii="Arial" w:cs="Arial" w:eastAsia="Arial" w:hAnsi="Arial"/>
          <w:sz w:val="16"/>
          <w:szCs w:val="16"/>
          <w:color w:val="auto"/>
        </w:rPr>
        <w:t>” which amends exempting gift cards and other prepaid stored-value products from the guidance on extinguishing financial liabilities. Rather, they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will be subject to breakage accounting consistent with the new revenue guidance in Topic 606. However, the exemption only applies to breakage liabilities that are not subject to unclaimed property laws or that are attached to segregated bank accounts (e.g., consumer debit cards). The ASU is effective for fiscal years beginning after December 15, 2017, and interim periods within those fiscal years. Early adoption is permitted. The Company will adopt ASU 2016-04 in the first quarter of fiscal 2018 and does not expect the adoption of this pronouncement to have a material impact on its </w:t>
      </w:r>
      <w:r>
        <w:rPr>
          <w:rFonts w:ascii="Arial" w:cs="Arial" w:eastAsia="Arial" w:hAnsi="Arial"/>
          <w:sz w:val="16"/>
          <w:szCs w:val="16"/>
          <w:color w:val="212121"/>
        </w:rPr>
        <w:t>Consolidated Financial Statements</w:t>
      </w:r>
      <w:r>
        <w:rPr>
          <w:rFonts w:ascii="Arial" w:cs="Arial" w:eastAsia="Arial" w:hAnsi="Arial"/>
          <w:sz w:val="16"/>
          <w:szCs w:val="16"/>
          <w:color w:val="auto"/>
        </w:rPr>
        <w:t>.</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w:t>
      </w:r>
      <w:r>
        <w:rPr>
          <w:rFonts w:ascii="Arial" w:cs="Arial" w:eastAsia="Arial" w:hAnsi="Arial"/>
          <w:sz w:val="18"/>
          <w:szCs w:val="18"/>
          <w:color w:val="212121"/>
        </w:rPr>
        <w:t>which</w:t>
      </w:r>
      <w:r>
        <w:rPr>
          <w:rFonts w:ascii="Arial" w:cs="Arial" w:eastAsia="Arial" w:hAnsi="Arial"/>
          <w:sz w:val="18"/>
          <w:szCs w:val="18"/>
          <w:color w:val="auto"/>
        </w:rPr>
        <w:t xml:space="preserve"> </w:t>
      </w:r>
      <w:r>
        <w:rPr>
          <w:rFonts w:ascii="Arial" w:cs="Arial" w:eastAsia="Arial" w:hAnsi="Arial"/>
          <w:sz w:val="18"/>
          <w:szCs w:val="18"/>
          <w:color w:val="212121"/>
        </w:rPr>
        <w:t>reduces the existing diversity in practice in how certain cash receipts and cash payments are presented and classified in the statement of cash flows under Topic 230</w:t>
      </w:r>
      <w:r>
        <w:rPr>
          <w:rFonts w:ascii="Arial" w:cs="Arial" w:eastAsia="Arial" w:hAnsi="Arial"/>
          <w:sz w:val="18"/>
          <w:szCs w:val="18"/>
          <w:color w:val="000000"/>
        </w:rPr>
        <w:t>. The ASU is effective for fiscal years beginning after December 15, 2017, and interim periods within those fiscal years. The Company will adopt</w:t>
      </w:r>
      <w:r>
        <w:rPr>
          <w:rFonts w:ascii="Arial" w:cs="Arial" w:eastAsia="Arial" w:hAnsi="Arial"/>
          <w:sz w:val="18"/>
          <w:szCs w:val="18"/>
          <w:color w:val="212121"/>
        </w:rPr>
        <w:t xml:space="preserve"> </w:t>
      </w:r>
      <w:r>
        <w:rPr>
          <w:rFonts w:ascii="Arial" w:cs="Arial" w:eastAsia="Arial" w:hAnsi="Arial"/>
          <w:sz w:val="18"/>
          <w:szCs w:val="18"/>
          <w:color w:val="000000"/>
        </w:rPr>
        <w:t xml:space="preserve">ASU 2016-15 in the first quarter of fiscal 2018 and does not expect the adoption of this pronouncement to have a material impact on its </w:t>
      </w:r>
      <w:r>
        <w:rPr>
          <w:rFonts w:ascii="Arial" w:cs="Arial" w:eastAsia="Arial" w:hAnsi="Arial"/>
          <w:sz w:val="18"/>
          <w:szCs w:val="18"/>
          <w:color w:val="212121"/>
        </w:rPr>
        <w:t>Consolidated</w:t>
      </w:r>
      <w:r>
        <w:rPr>
          <w:rFonts w:ascii="Arial" w:cs="Arial" w:eastAsia="Arial" w:hAnsi="Arial"/>
          <w:sz w:val="18"/>
          <w:szCs w:val="18"/>
          <w:color w:val="000000"/>
        </w:rPr>
        <w:t xml:space="preserve"> </w:t>
      </w:r>
      <w:r>
        <w:rPr>
          <w:rFonts w:ascii="Arial" w:cs="Arial" w:eastAsia="Arial" w:hAnsi="Arial"/>
          <w:sz w:val="18"/>
          <w:szCs w:val="18"/>
          <w:color w:val="212121"/>
        </w:rPr>
        <w:t>Financial Statements</w:t>
      </w:r>
      <w:r>
        <w:rPr>
          <w:rFonts w:ascii="Arial" w:cs="Arial" w:eastAsia="Arial" w:hAnsi="Arial"/>
          <w:sz w:val="18"/>
          <w:szCs w:val="18"/>
          <w:color w:val="000000"/>
        </w:rPr>
        <w:t>.</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October 2016, the FASB issued ASU 2016-16, “</w:t>
      </w:r>
      <w:r>
        <w:rPr>
          <w:rFonts w:ascii="Arial" w:cs="Arial" w:eastAsia="Arial" w:hAnsi="Arial"/>
          <w:sz w:val="16"/>
          <w:szCs w:val="16"/>
          <w:i w:val="1"/>
          <w:iCs w:val="1"/>
          <w:color w:val="auto"/>
        </w:rPr>
        <w:t>Income Taxes (Topic 740): Intra-Entity Transfer of Assets Other Than Inventory</w:t>
      </w:r>
      <w:r>
        <w:rPr>
          <w:rFonts w:ascii="Arial" w:cs="Arial" w:eastAsia="Arial" w:hAnsi="Arial"/>
          <w:sz w:val="16"/>
          <w:szCs w:val="16"/>
          <w:color w:val="auto"/>
        </w:rPr>
        <w:t xml:space="preserve">,” which </w:t>
      </w:r>
      <w:r>
        <w:rPr>
          <w:rFonts w:ascii="Arial" w:cs="Arial" w:eastAsia="Arial" w:hAnsi="Arial"/>
          <w:sz w:val="16"/>
          <w:szCs w:val="16"/>
          <w:color w:val="212121"/>
        </w:rPr>
        <w:t>reduces the</w:t>
      </w:r>
      <w:r>
        <w:rPr>
          <w:rFonts w:ascii="Arial" w:cs="Arial" w:eastAsia="Arial" w:hAnsi="Arial"/>
          <w:sz w:val="16"/>
          <w:szCs w:val="16"/>
          <w:color w:val="auto"/>
        </w:rPr>
        <w:t xml:space="preserve"> </w:t>
      </w:r>
      <w:r>
        <w:rPr>
          <w:rFonts w:ascii="Arial" w:cs="Arial" w:eastAsia="Arial" w:hAnsi="Arial"/>
          <w:sz w:val="16"/>
          <w:szCs w:val="16"/>
          <w:color w:val="212121"/>
        </w:rPr>
        <w:t xml:space="preserve">existing diversity in practice in how income tax consequences of an intra-entity transfer of an asset other than inventory should be recognized. The amendments in </w:t>
      </w:r>
      <w:r>
        <w:rPr>
          <w:rFonts w:ascii="Arial" w:cs="Arial" w:eastAsia="Arial" w:hAnsi="Arial"/>
          <w:sz w:val="16"/>
          <w:szCs w:val="16"/>
          <w:color w:val="252525"/>
        </w:rPr>
        <w:t>ASU 2016</w:t>
      </w:r>
      <w:r>
        <w:rPr>
          <w:rFonts w:ascii="Arial" w:cs="Arial" w:eastAsia="Arial" w:hAnsi="Arial"/>
          <w:sz w:val="16"/>
          <w:szCs w:val="16"/>
          <w:color w:val="212121"/>
        </w:rPr>
        <w:t>-</w:t>
      </w:r>
      <w:r>
        <w:rPr>
          <w:rFonts w:ascii="Arial" w:cs="Arial" w:eastAsia="Arial" w:hAnsi="Arial"/>
          <w:sz w:val="16"/>
          <w:szCs w:val="16"/>
          <w:color w:val="252525"/>
        </w:rPr>
        <w:t>16</w:t>
      </w:r>
      <w:r>
        <w:rPr>
          <w:rFonts w:ascii="Arial" w:cs="Arial" w:eastAsia="Arial" w:hAnsi="Arial"/>
          <w:sz w:val="16"/>
          <w:szCs w:val="16"/>
          <w:color w:val="212121"/>
        </w:rPr>
        <w:t xml:space="preserve"> require an entity to recognize such income tax consequences when the intra-entity transfer occurs rather than waiting until such time as the asset has been sold to an outside party</w:t>
      </w:r>
      <w:r>
        <w:rPr>
          <w:rFonts w:ascii="Arial" w:cs="Arial" w:eastAsia="Arial" w:hAnsi="Arial"/>
          <w:sz w:val="16"/>
          <w:szCs w:val="16"/>
          <w:color w:val="000000"/>
        </w:rPr>
        <w:t>. The ASU is effective for fiscal years beginning after December 15, 2017, and interim periods within those</w:t>
      </w:r>
      <w:r>
        <w:rPr>
          <w:rFonts w:ascii="Arial" w:cs="Arial" w:eastAsia="Arial" w:hAnsi="Arial"/>
          <w:sz w:val="16"/>
          <w:szCs w:val="16"/>
          <w:color w:val="212121"/>
        </w:rPr>
        <w:t xml:space="preserve"> </w:t>
      </w:r>
      <w:r>
        <w:rPr>
          <w:rFonts w:ascii="Arial" w:cs="Arial" w:eastAsia="Arial" w:hAnsi="Arial"/>
          <w:sz w:val="16"/>
          <w:szCs w:val="16"/>
          <w:color w:val="000000"/>
        </w:rPr>
        <w:t xml:space="preserve">fiscal years. The Company does not expect the adoption of this pronouncement to have a material impact on its </w:t>
      </w:r>
      <w:r>
        <w:rPr>
          <w:rFonts w:ascii="Arial" w:cs="Arial" w:eastAsia="Arial" w:hAnsi="Arial"/>
          <w:sz w:val="16"/>
          <w:szCs w:val="16"/>
          <w:color w:val="212121"/>
        </w:rPr>
        <w:t>Consolidated Financial Statements</w:t>
      </w:r>
      <w:r>
        <w:rPr>
          <w:rFonts w:ascii="Arial" w:cs="Arial" w:eastAsia="Arial" w:hAnsi="Arial"/>
          <w:sz w:val="16"/>
          <w:szCs w:val="16"/>
          <w:color w:val="000000"/>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53" w:name="page54"/>
    <w:bookmarkEnd w:id="53"/>
    <w:p>
      <w:pPr>
        <w:spacing w:after="0" w:line="293" w:lineRule="auto"/>
        <w:rPr>
          <w:sz w:val="20"/>
          <w:szCs w:val="20"/>
          <w:color w:val="auto"/>
        </w:rPr>
      </w:pPr>
      <w:r>
        <w:rPr>
          <w:rFonts w:ascii="Arial" w:cs="Arial" w:eastAsia="Arial" w:hAnsi="Arial"/>
          <w:sz w:val="16"/>
          <w:szCs w:val="16"/>
          <w:color w:val="212121"/>
        </w:rPr>
        <w:t xml:space="preserve">In May 2017, the FASB issued ASU </w:t>
      </w:r>
      <w:r>
        <w:rPr>
          <w:rFonts w:ascii="Arial" w:cs="Arial" w:eastAsia="Arial" w:hAnsi="Arial"/>
          <w:sz w:val="16"/>
          <w:szCs w:val="16"/>
          <w:color w:val="000000"/>
        </w:rPr>
        <w:t>2017-09</w:t>
      </w:r>
      <w:r>
        <w:rPr>
          <w:rFonts w:ascii="Arial" w:cs="Arial" w:eastAsia="Arial" w:hAnsi="Arial"/>
          <w:sz w:val="16"/>
          <w:szCs w:val="16"/>
          <w:color w:val="212121"/>
        </w:rPr>
        <w:t>, “</w:t>
      </w:r>
      <w:r>
        <w:rPr>
          <w:rFonts w:ascii="Arial" w:cs="Arial" w:eastAsia="Arial" w:hAnsi="Arial"/>
          <w:sz w:val="16"/>
          <w:szCs w:val="16"/>
          <w:i w:val="1"/>
          <w:iCs w:val="1"/>
          <w:color w:val="212121"/>
        </w:rPr>
        <w:t>Compensation—Stock Compensation (Topic 718)”</w:t>
      </w:r>
      <w:r>
        <w:rPr>
          <w:rFonts w:ascii="Arial" w:cs="Arial" w:eastAsia="Arial" w:hAnsi="Arial"/>
          <w:sz w:val="16"/>
          <w:szCs w:val="16"/>
          <w:color w:val="212121"/>
        </w:rPr>
        <w:t xml:space="preserve">which provides clarity in order to reduce both (1) diversity in practice and (2) cost and complexity when applying the guidance in Topic 718, Compensation—Stock Compensation, to a change to the terms or conditions of a share-based payment award. Under the new guidance, modification accounting is required only if the fair value, the vesting conditions, or the classification of the award (as equity or liability) changes as a result of the change in terms or conditions. </w:t>
      </w:r>
      <w:r>
        <w:rPr>
          <w:rFonts w:ascii="Arial" w:cs="Arial" w:eastAsia="Arial" w:hAnsi="Arial"/>
          <w:sz w:val="16"/>
          <w:szCs w:val="16"/>
          <w:color w:val="000000"/>
        </w:rPr>
        <w:t>The ASU is effective for fiscal years beginning after</w:t>
      </w:r>
      <w:r>
        <w:rPr>
          <w:rFonts w:ascii="Arial" w:cs="Arial" w:eastAsia="Arial" w:hAnsi="Arial"/>
          <w:sz w:val="16"/>
          <w:szCs w:val="16"/>
          <w:color w:val="212121"/>
        </w:rPr>
        <w:t xml:space="preserve"> </w:t>
      </w:r>
      <w:r>
        <w:rPr>
          <w:rFonts w:ascii="Arial" w:cs="Arial" w:eastAsia="Arial" w:hAnsi="Arial"/>
          <w:sz w:val="16"/>
          <w:szCs w:val="16"/>
          <w:color w:val="000000"/>
        </w:rPr>
        <w:t xml:space="preserve">December 15, 2017, and interim periods within those fiscal years. Early adoption is permitted. The Company will adopt ASU 2017-09 in the first quarter of fiscal 2018 and does not expect the adoption of this pronouncement to have a material impact on its </w:t>
      </w:r>
      <w:r>
        <w:rPr>
          <w:rFonts w:ascii="Arial" w:cs="Arial" w:eastAsia="Arial" w:hAnsi="Arial"/>
          <w:sz w:val="16"/>
          <w:szCs w:val="16"/>
          <w:color w:val="212121"/>
        </w:rPr>
        <w:t>Consolidated Financial Statements</w:t>
      </w:r>
      <w:r>
        <w:rPr>
          <w:rFonts w:ascii="Arial" w:cs="Arial" w:eastAsia="Arial" w:hAnsi="Arial"/>
          <w:sz w:val="16"/>
          <w:szCs w:val="16"/>
          <w:color w:val="000000"/>
        </w:rPr>
        <w:t>.</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 other new accounting pronouncements, issued or effective during fiscal 2017, have had or are expected to have a significant impact on the Company’s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gridSpan w:val="3"/>
          </w:tcPr>
          <w:p>
            <w:pPr>
              <w:ind w:left="60"/>
              <w:spacing w:after="0"/>
              <w:rPr>
                <w:sz w:val="20"/>
                <w:szCs w:val="20"/>
                <w:color w:val="auto"/>
              </w:rPr>
            </w:pPr>
            <w:r>
              <w:rPr>
                <w:rFonts w:ascii="Arial" w:cs="Arial" w:eastAsia="Arial" w:hAnsi="Arial"/>
                <w:sz w:val="14"/>
                <w:szCs w:val="14"/>
                <w:color w:val="auto"/>
              </w:rPr>
              <w:t>February 3, 2018</w:t>
            </w:r>
          </w:p>
        </w:tc>
        <w:tc>
          <w:tcPr>
            <w:tcW w:w="2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color w:val="auto"/>
              </w:rPr>
              <w:t>January 28, 2017</w:t>
            </w:r>
          </w:p>
        </w:tc>
      </w:tr>
      <w:tr>
        <w:trPr>
          <w:trHeight w:val="223"/>
        </w:trPr>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75,895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72,440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20,453</w:t>
            </w:r>
          </w:p>
        </w:tc>
        <w:tc>
          <w:tcPr>
            <w:tcW w:w="60" w:type="dxa"/>
            <w:vAlign w:val="bottom"/>
          </w:tcPr>
          <w:p>
            <w:pPr>
              <w:spacing w:after="0"/>
              <w:rPr>
                <w:sz w:val="19"/>
                <w:szCs w:val="19"/>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117,274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107,470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Hardware and software</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84,532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76,923</w:t>
            </w:r>
          </w:p>
        </w:tc>
        <w:tc>
          <w:tcPr>
            <w:tcW w:w="60" w:type="dxa"/>
            <w:vAlign w:val="bottom"/>
          </w:tcPr>
          <w:p>
            <w:pPr>
              <w:spacing w:after="0"/>
              <w:rPr>
                <w:sz w:val="19"/>
                <w:szCs w:val="19"/>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9,892</w:t>
            </w:r>
          </w:p>
        </w:tc>
        <w:tc>
          <w:tcPr>
            <w:tcW w:w="6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304,294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287,178</w:t>
            </w:r>
          </w:p>
        </w:tc>
        <w:tc>
          <w:tcPr>
            <w:tcW w:w="60" w:type="dxa"/>
            <w:vAlign w:val="bottom"/>
          </w:tcPr>
          <w:p>
            <w:pPr>
              <w:spacing w:after="0"/>
              <w:rPr>
                <w:sz w:val="19"/>
                <w:szCs w:val="19"/>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193,262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162,831</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 property and equipment</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111,032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124,347</w:t>
            </w:r>
          </w:p>
        </w:tc>
        <w:tc>
          <w:tcPr>
            <w:tcW w:w="6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fiscal 2017, 2016 and 2015 was $30.7 million, $29.8 million and $27.7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Credit Facility provides for $125 million in committed borrowings.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letters of credit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as described below, on certain equipment of the Company and (ii) intellectual property.</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February 3, 2018, the Company had outstanding borrowings under the Credit Facility of $47.6 million, before unamortized debt issuance costs of $0.2 million. Outstanding standby letters of credit were $3.3 million and documentary letters of credit were $1.3 million. Unused excess availability at February 3, 2018 was $37.5 million. Average monthly borrowings outstanding under the Credit Facility during fiscal 2017 were $59.7 million, resulting in an average unused excess availability of approximately $42.5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8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February 3, 2018, the Company’s prime-based interest rate was 5.00%.</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4" w:name="page55"/>
    <w:bookmarkEnd w:id="54"/>
    <w:p>
      <w:pPr>
        <w:ind w:right="140"/>
        <w:spacing w:after="0" w:line="264" w:lineRule="auto"/>
        <w:rPr>
          <w:sz w:val="20"/>
          <w:szCs w:val="20"/>
          <w:color w:val="auto"/>
        </w:rPr>
      </w:pPr>
      <w:r>
        <w:rPr>
          <w:rFonts w:ascii="Arial" w:cs="Arial" w:eastAsia="Arial" w:hAnsi="Arial"/>
          <w:sz w:val="18"/>
          <w:szCs w:val="18"/>
          <w:color w:val="auto"/>
        </w:rPr>
        <w:t>At February 3, 2018, the Company had approximately $40.0 million of its outstanding borrowings in a LIBOR-based contract with an interest rate of approximately 2.97%. The LIBOR-based contract expired February 6, 2018. When a LIBOR-based borrowing expires, the borrowings revert back to prime-based borrowings unless the Company enters into a new LIBOR-based borrowing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February 3, 2018 approximated the carrying value.</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gridSpan w:val="3"/>
          </w:tcPr>
          <w:p>
            <w:pPr>
              <w:jc w:val="right"/>
              <w:ind w:right="280"/>
              <w:spacing w:after="0"/>
              <w:rPr>
                <w:sz w:val="20"/>
                <w:szCs w:val="20"/>
                <w:color w:val="auto"/>
              </w:rPr>
            </w:pPr>
            <w:r>
              <w:rPr>
                <w:rFonts w:ascii="Arial" w:cs="Arial" w:eastAsia="Arial" w:hAnsi="Arial"/>
                <w:sz w:val="14"/>
                <w:szCs w:val="14"/>
                <w:color w:val="auto"/>
                <w:w w:val="95"/>
              </w:rPr>
              <w:t>February 3, 2018</w:t>
            </w:r>
          </w:p>
        </w:tc>
        <w:tc>
          <w:tcPr>
            <w:tcW w:w="12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January 28, 2017</w:t>
            </w: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Term loan, due 2019</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11,750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12,750</w:t>
            </w:r>
          </w:p>
        </w:tc>
        <w:tc>
          <w:tcPr>
            <w:tcW w:w="80" w:type="dxa"/>
            <w:vAlign w:val="bottom"/>
          </w:tcPr>
          <w:p>
            <w:pPr>
              <w:spacing w:after="0"/>
              <w:rPr>
                <w:sz w:val="19"/>
                <w:szCs w:val="19"/>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12,061</w:t>
            </w: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19,002</w:t>
            </w:r>
          </w:p>
        </w:tc>
        <w:tc>
          <w:tcPr>
            <w:tcW w:w="80" w:type="dxa"/>
            <w:vAlign w:val="bottom"/>
          </w:tcPr>
          <w:p>
            <w:pPr>
              <w:spacing w:after="0"/>
              <w:rPr>
                <w:sz w:val="19"/>
                <w:szCs w:val="19"/>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6,941</w:t>
            </w:r>
          </w:p>
        </w:tc>
        <w:tc>
          <w:tcPr>
            <w:tcW w:w="80" w:type="dxa"/>
            <w:vAlign w:val="bottom"/>
            <w:shd w:val="clear" w:color="auto" w:fill="CFF0FC"/>
          </w:tcPr>
          <w:p>
            <w:pPr>
              <w:spacing w:after="0"/>
              <w:rPr>
                <w:sz w:val="19"/>
                <w:szCs w:val="19"/>
                <w:color w:val="auto"/>
              </w:rPr>
            </w:pPr>
          </w:p>
        </w:tc>
      </w:tr>
      <w:tr>
        <w:trPr>
          <w:trHeight w:val="224"/>
        </w:trPr>
        <w:tc>
          <w:tcPr>
            <w:tcW w:w="544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10,669</w:t>
            </w:r>
          </w:p>
        </w:tc>
        <w:tc>
          <w:tcPr>
            <w:tcW w:w="2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12,061</w:t>
            </w:r>
          </w:p>
        </w:tc>
        <w:tc>
          <w:tcPr>
            <w:tcW w:w="80" w:type="dxa"/>
            <w:vAlign w:val="bottom"/>
          </w:tcPr>
          <w:p>
            <w:pPr>
              <w:spacing w:after="0"/>
              <w:rPr>
                <w:sz w:val="19"/>
                <w:szCs w:val="19"/>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September 30, 2013 (the “Master Agreement”), the Company has entered into twelve equipment security notes (in aggregate, the “Notes”). The Company borrowed an aggregate of $26.4 million between September 2013 and June 2014. The Notes are for a term of 48 months and accrue interest at fixed rates ranging from 3.07% to 3.50%. Principal and interest are paid monthly, in arrears.</w:t>
      </w:r>
    </w:p>
    <w:p>
      <w:pPr>
        <w:spacing w:after="0" w:line="18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Notes are secured by a security interest in all of the Company’s rights, title and interest in and to certain equipment. The Company was subject to prepayment penalties through the second anniversary of each of the Notes. The Company is no longer subject to any prepayment penalties. The Master Agreement includes default provisions that are customary for financings of this type and are similar and no more restrictive than the Company’s existing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was October 29, 2014 (the “Effective Date”). The proceeds from the Term Loan Facility were used to repay borrowings under the Credit Facility.</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The Company is no longer subject to any prepayment penalties.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i w:val="1"/>
          <w:iCs w:val="1"/>
          <w:color w:val="auto"/>
        </w:rPr>
        <w:t>Long-term debt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long-term debt for the next five fiscal years are as follows:</w:t>
      </w:r>
    </w:p>
    <w:p>
      <w:pPr>
        <w:spacing w:after="0" w:line="302"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2018</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Fiscal 2019</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Fiscal 2020</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Fiscal 2021</w:t>
            </w: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Fiscal 2022</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and fees totaling $3.2 million, $2.8 million and $2.8 million for fiscal 2017, 2016 and 2015,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regulation requires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the fourth quarter of fiscal 2013, the Company has maintained a valuation allowance against its deferred tax assets. While the Company has projected it will return to profitability, generate taxable income and ultimately emerge from a three-year cumulative loss, based on operating results for fiscal 2017 and the Company’s forecast for fiscal 2018, the Company believes that a full allowance remains appropriate at this time. Realization of the Company’s deferred tax assets is dependent on generating sufficient taxable income in the near term.</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Tax Cuts and Jobs Act (the “2017 Tax Act”) was enacted on December 22, 2017. The 2017 Tax Act reduced the U.S. federal corporate tax rate from 35% to 21%, eliminated the 20-year limit on the carryforward of losses, and resulted in the Company remeasuring its existing deferred tax balances. In addition, the 2017 Tax Act limits the future deductibility of certain items, such as certain compensation and interest expenses, and allows qualifying capital expenditures to be deducted fully in the year of purchase. The Company remeasured deferred tax assets and liabilities based on the rates at which they are expected to reverse in the future, which is generally 21%. Because the Company’s valuation allowance against these deferred assets was also remeasured, there was no impact to the Company’s income tax provision, see the reconciliation table between the statutory and effective income tax rates. The Tax Act will allow for the indefinite carryforward of future net operating losses and will impose an annual limitation on the utilization of future losses, based on 80% of taxable income.</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February 3, 2018, for federal income tax purposes, the Company has net operating loss carryforwards of $141.4 million, which will expire from 2022 through 2036 and net operating loss carryforwards of $16.1 million that are not subject to expiration. For state income tax purposes, the Company has $88.6 million of net operating losses that are available to offset future taxable income. Additionally, the Company has $2.8 million of net operating loss carryforwards related to the Company’s operations in Canada.</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As part of the 2017 Tax Act, the corporate alternative minimum tax (“AMT”) was repealed and the Company’s AMT credit of $2.1 million became refundable. Accordingly, the Company reversed its valuation allowance against the AMT credit, recognized an income tax benefit for $2.1 million and established a non-current receivable of $2.1 million, which will be realized over the next four years.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2017, the Company reclassified approximately $2.1 million to accumulated deficit from accumulated other comprehensive income (loss) due to intraperiod tax allocations. Approximately $1.4 million of this pertained to years prior to FY 2017.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components of the net deferred tax assets as of February 3, 2018 and January 28, 2017 were as follows (in thousands):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color w:val="auto"/>
              </w:rPr>
              <w:t>February 3, 2018</w:t>
            </w:r>
          </w:p>
        </w:tc>
        <w:tc>
          <w:tcPr>
            <w:tcW w:w="1220" w:type="dxa"/>
            <w:vAlign w:val="bottom"/>
            <w:gridSpan w:val="3"/>
          </w:tcPr>
          <w:p>
            <w:pPr>
              <w:ind w:left="80"/>
              <w:spacing w:after="0"/>
              <w:rPr>
                <w:sz w:val="20"/>
                <w:szCs w:val="20"/>
                <w:color w:val="auto"/>
              </w:rPr>
            </w:pPr>
            <w:r>
              <w:rPr>
                <w:rFonts w:ascii="Arial" w:cs="Arial" w:eastAsia="Arial" w:hAnsi="Arial"/>
                <w:sz w:val="14"/>
                <w:szCs w:val="14"/>
                <w:color w:val="auto"/>
              </w:rPr>
              <w:t>January 28, 2017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Net operating loss carryforward</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38,801</w:t>
            </w:r>
          </w:p>
        </w:tc>
        <w:tc>
          <w:tcPr>
            <w:tcW w:w="2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50,399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Gain on sale-leaseback</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Lease accruals</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Goodwill and intangibles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Unrecognized loss on pension and pension expense</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Capital loss carryforward</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Inventory reserves</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Alternative minimum tax credit carryforward</w:t>
            </w:r>
          </w:p>
        </w:tc>
        <w:tc>
          <w:tcPr>
            <w:tcW w:w="3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tax credit carryforward</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Federal wage tax credit carryforward</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Unrecognized loss on foreign exchange</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State tax credits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Excess of tax over book depreciation/amortization</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(6,144)</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47,663</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(47,663)</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(63,931)</w:t>
            </w: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Goodwill and intangibles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fiscal 2017, the Company had total deferred tax assets of $53.8 million, total deferred tax liabilities of $6.1 million and a valuation allowance of $47.7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consisted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7"/>
          </w:tcPr>
          <w:p>
            <w:pPr>
              <w:jc w:val="right"/>
              <w:ind w:right="367"/>
              <w:spacing w:after="0"/>
              <w:rPr>
                <w:sz w:val="20"/>
                <w:szCs w:val="20"/>
                <w:color w:val="auto"/>
              </w:rPr>
            </w:pPr>
            <w:r>
              <w:rPr>
                <w:rFonts w:ascii="Arial" w:cs="Arial" w:eastAsia="Arial" w:hAnsi="Arial"/>
                <w:sz w:val="14"/>
                <w:szCs w:val="14"/>
                <w:color w:val="auto"/>
              </w:rPr>
              <w:t>FISCAL YEARS ENDED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w w:val="93"/>
              </w:rPr>
              <w:t>February 3, 2018</w:t>
            </w:r>
          </w:p>
        </w:tc>
        <w:tc>
          <w:tcPr>
            <w:tcW w:w="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w w:val="92"/>
              </w:rPr>
              <w:t>January 28, 2017</w:t>
            </w:r>
          </w:p>
        </w:tc>
        <w:tc>
          <w:tcPr>
            <w:tcW w:w="22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color w:val="auto"/>
              </w:rPr>
              <w:t>January 30, 2016</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4260" w:type="dxa"/>
            <w:vAlign w:val="bottom"/>
            <w:gridSpan w:val="2"/>
          </w:tcPr>
          <w:p>
            <w:pPr>
              <w:ind w:left="1140"/>
              <w:spacing w:after="0"/>
              <w:rPr>
                <w:sz w:val="20"/>
                <w:szCs w:val="20"/>
                <w:color w:val="auto"/>
              </w:rPr>
            </w:pPr>
            <w:r>
              <w:rPr>
                <w:rFonts w:ascii="Arial" w:cs="Arial" w:eastAsia="Arial" w:hAnsi="Arial"/>
                <w:sz w:val="18"/>
                <w:szCs w:val="18"/>
                <w:i w:val="1"/>
                <w:iCs w:val="1"/>
                <w:color w:val="auto"/>
              </w:rPr>
              <w:t>(in thousands)</w:t>
            </w:r>
          </w:p>
        </w:tc>
        <w:tc>
          <w:tcPr>
            <w:tcW w:w="2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00" w:type="dxa"/>
            <w:vAlign w:val="bottom"/>
          </w:tcPr>
          <w:p>
            <w:pPr>
              <w:ind w:left="120"/>
              <w:spacing w:after="0"/>
              <w:rPr>
                <w:sz w:val="20"/>
                <w:szCs w:val="20"/>
                <w:color w:val="auto"/>
              </w:rPr>
            </w:pPr>
            <w:r>
              <w:rPr>
                <w:rFonts w:ascii="Arial" w:cs="Arial" w:eastAsia="Arial" w:hAnsi="Arial"/>
                <w:sz w:val="18"/>
                <w:szCs w:val="18"/>
                <w:color w:val="auto"/>
              </w:rPr>
              <w:t>Federal and state</w:t>
            </w:r>
          </w:p>
        </w:tc>
        <w:tc>
          <w:tcPr>
            <w:tcW w:w="26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52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6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2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Federal and state</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(2,363)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Total provision (benefit)</w:t>
            </w:r>
          </w:p>
        </w:tc>
        <w:tc>
          <w:tcPr>
            <w:tcW w:w="228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80" w:type="dxa"/>
            <w:vAlign w:val="bottom"/>
            <w:vMerge w:val="restart"/>
          </w:tcPr>
          <w:p>
            <w:pPr>
              <w:jc w:val="right"/>
              <w:ind w:right="650"/>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following is a reconciliation between the statutory and effective income tax rates in dollars for the provision (benefit) for income tax:</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8"/>
          </w:tcPr>
          <w:p>
            <w:pPr>
              <w:jc w:val="right"/>
              <w:ind w:right="267"/>
              <w:spacing w:after="0"/>
              <w:rPr>
                <w:sz w:val="20"/>
                <w:szCs w:val="20"/>
                <w:color w:val="auto"/>
              </w:rPr>
            </w:pPr>
            <w:r>
              <w:rPr>
                <w:rFonts w:ascii="Arial" w:cs="Arial" w:eastAsia="Arial" w:hAnsi="Arial"/>
                <w:sz w:val="14"/>
                <w:szCs w:val="14"/>
                <w:color w:val="auto"/>
              </w:rPr>
              <w:t>FISCAL YEARS ENDED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w w:val="93"/>
              </w:rPr>
              <w:t>February 3, 2018</w:t>
            </w:r>
          </w:p>
        </w:tc>
        <w:tc>
          <w:tcPr>
            <w:tcW w:w="80" w:type="dxa"/>
            <w:vAlign w:val="bottom"/>
          </w:tcPr>
          <w:p>
            <w:pPr>
              <w:spacing w:after="0"/>
              <w:rPr>
                <w:sz w:val="14"/>
                <w:szCs w:val="14"/>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w w:val="92"/>
              </w:rPr>
              <w:t>January 28, 2017</w:t>
            </w:r>
          </w:p>
        </w:tc>
        <w:tc>
          <w:tcPr>
            <w:tcW w:w="2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2"/>
              </w:rPr>
              <w:t>January 30, 2016</w:t>
            </w:r>
          </w:p>
        </w:tc>
      </w:tr>
      <w:tr>
        <w:trPr>
          <w:trHeight w:val="385"/>
        </w:trPr>
        <w:tc>
          <w:tcPr>
            <w:tcW w:w="4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7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Federal income tax at the statutory rate </w:t>
            </w:r>
            <w:r>
              <w:rPr>
                <w:rFonts w:ascii="Arial" w:cs="Arial" w:eastAsia="Arial" w:hAnsi="Arial"/>
                <w:sz w:val="15"/>
                <w:szCs w:val="15"/>
                <w:color w:val="auto"/>
              </w:rPr>
              <w:t>(1)</w:t>
            </w:r>
          </w:p>
        </w:tc>
        <w:tc>
          <w:tcPr>
            <w:tcW w:w="104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(7,215)</w:t>
            </w:r>
          </w:p>
        </w:tc>
        <w:tc>
          <w:tcPr>
            <w:tcW w:w="50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(732)</w:t>
            </w: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(2,852)</w:t>
            </w: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Federal rate change on deferred assets </w:t>
            </w:r>
            <w:r>
              <w:rPr>
                <w:rFonts w:ascii="Arial" w:cs="Arial" w:eastAsia="Arial" w:hAnsi="Arial"/>
                <w:sz w:val="15"/>
                <w:szCs w:val="15"/>
                <w:color w:val="auto"/>
              </w:rPr>
              <w:t>(2)</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 xml:space="preserve">Federal rate change on valuation allowance </w:t>
            </w:r>
            <w:r>
              <w:rPr>
                <w:rFonts w:ascii="Arial" w:cs="Arial" w:eastAsia="Arial" w:hAnsi="Arial"/>
                <w:sz w:val="15"/>
                <w:szCs w:val="15"/>
                <w:color w:val="auto"/>
              </w:rPr>
              <w:t>(2)</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(22,796)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Change in uncertain tax provisions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Charge for valuation allowance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Refundable AMT credit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(2,141)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 provision (benefit)</w:t>
            </w:r>
          </w:p>
        </w:tc>
        <w:tc>
          <w:tcPr>
            <w:tcW w:w="7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right="6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income tax at the statutory rate for fiscal 2017 reflects a blended rate of 33.72%, based on the statutory rate decreasing from 35% to 21% on January 1, 2018.</w:t>
      </w:r>
    </w:p>
    <w:p>
      <w:pPr>
        <w:spacing w:after="0" w:line="62" w:lineRule="exact"/>
        <w:rPr>
          <w:rFonts w:ascii="Arial" w:cs="Arial" w:eastAsia="Arial" w:hAnsi="Arial"/>
          <w:sz w:val="18"/>
          <w:szCs w:val="18"/>
          <w:color w:val="auto"/>
        </w:rPr>
      </w:pPr>
    </w:p>
    <w:p>
      <w:pPr>
        <w:ind w:left="520" w:right="24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represents the federal rate change impact as of the end of fiscal 2017. The rate change impact on deferred assets and valuation allowance as a result of the 2017 Tax Act was $22.8 million.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in Note A, the Company’s financial statements reflect the expected future tax consequences of uncertain tax positions that the Company has taken or expects to take on a tax return, based solely on the technical merits of the tax position. The liability for unrecognized tax benefits at February 3, 2018 and January 28, 2017 was approximately $2.0 million and $3.1 million, respectively, and was associated with a prior tax position related to exiting the Company’s direct business in Europe during fiscal 2013. The amount of unrecognized tax benefits has been presented as a reduction in the 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tax payments of $0.1 million, $0.1 million and $0.1 million for fiscal 2017, 2016 and 2015,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At February 3, 2018, the Company was obligated under operating leases covering store and office space, automobiles and certain equipment for future minimum rentals, merchandise purchase obligations and a non-merchandise purchase agreement as follows:</w:t>
      </w:r>
    </w:p>
    <w:p>
      <w:pPr>
        <w:sectPr>
          <w:pgSz w:w="11900" w:h="16838" w:orient="portrait"/>
          <w:cols w:equalWidth="0" w:num="1">
            <w:col w:w="11320"/>
          </w:cols>
          <w:pgMar w:left="240" w:top="287"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FISCAL YEAR</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2018</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2019</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2020</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2021</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2022</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ind w:right="22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543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 w:lineRule="exact"/>
        <w:rPr>
          <w:sz w:val="20"/>
          <w:szCs w:val="20"/>
          <w:color w:val="auto"/>
        </w:rPr>
      </w:pPr>
    </w:p>
    <w:p>
      <w:pPr>
        <w:jc w:val="center"/>
        <w:ind w:right="226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0</wp:posOffset>
            </wp:positionV>
            <wp:extent cx="434784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ind w:left="860" w:hanging="858"/>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70.1</w:t>
      </w:r>
    </w:p>
    <w:p>
      <w:pPr>
        <w:spacing w:after="0" w:line="30"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63.6</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59.8</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47.5</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43.5</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-553720</wp:posOffset>
            </wp:positionV>
            <wp:extent cx="434784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-262255</wp:posOffset>
            </wp:positionV>
            <wp:extent cx="434784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29210</wp:posOffset>
            </wp:positionV>
            <wp:extent cx="434784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38" w:lineRule="exact"/>
        <w:rPr>
          <w:sz w:val="20"/>
          <w:szCs w:val="20"/>
          <w:color w:val="auto"/>
        </w:rPr>
      </w:pPr>
    </w:p>
    <w:p>
      <w:pPr>
        <w:ind w:left="780" w:hanging="778"/>
        <w:spacing w:after="0"/>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374.5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7543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440"/>
          </w:cols>
          <w:pgMar w:left="240" w:top="287" w:right="339" w:bottom="1440" w:gutter="0" w:footer="0" w:header="0"/>
          <w:type w:val="continuous"/>
        </w:sectPr>
      </w:pPr>
    </w:p>
    <w:p>
      <w:pPr>
        <w:spacing w:after="0" w:line="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 The store leases are generally 5 to 10 years in length and contain renewal options extending their terms by 5 to 10 years.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$66.0 million, $63.9 million and $62.0 million for fiscal 2017, fiscal 2016 and fiscal 2015, respectively.</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287" w:right="339" w:bottom="1440" w:gutter="0" w:footer="0" w:header="0"/>
          <w:type w:val="continuous"/>
        </w:sectPr>
      </w:pPr>
    </w:p>
    <w:bookmarkStart w:id="58" w:name="page59"/>
    <w:bookmarkEnd w:id="58"/>
    <w:p>
      <w:pPr>
        <w:ind w:right="40"/>
        <w:spacing w:after="0" w:line="290" w:lineRule="auto"/>
        <w:rPr>
          <w:sz w:val="20"/>
          <w:szCs w:val="20"/>
          <w:color w:val="auto"/>
        </w:rPr>
      </w:pPr>
      <w:r>
        <w:rPr>
          <w:rFonts w:ascii="Arial" w:cs="Arial" w:eastAsia="Arial" w:hAnsi="Arial"/>
          <w:sz w:val="16"/>
          <w:szCs w:val="16"/>
          <w:color w:val="auto"/>
        </w:rPr>
        <w:t>In fiscal 2006, as part of a sale-leaseback transaction with a subsidiary of Spirit Finance Corp. (“Spirit”), the Company entered into a 20-year lease agreement (the “Lease Agreement”) for its corporate headquarters and distribution center whereby the Company agreed to lease the property it sold to Spirit back for an annual rent of $4.6 million. The Company realized a gain of approximately $29.3 million on the sale of this property, which has been deferred and is being amortized over the initial 20 years of the related lease agreement. 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The Company’s current annual rent of $5.2 million will be offset each lease year by $1.5 million related to the amortization of this deferred gain. This lease commitment, excluding the impact of the gain, is included in the above table of expected future minimum rentals obligations.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Included in the table above, is a merchandise purchase obligation for which the Company is contractually committed to meet minimum purchases of $11.5 million in fiscal 2018, $10.0 million in fiscal 2019 and $10.0 million in fiscal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LONG-TERM INCENTIVE PLANS</w:t>
      </w:r>
    </w:p>
    <w:p>
      <w:pPr>
        <w:spacing w:after="0" w:line="12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following is a summary of the Company’s long-term incentive plans. All equity awards granted under these long-term incentive plans were issued from the Company’s 2006 Incentive Compensation Plan until July 31, 2016 when the 2006 Incentive Compensation Plan expired. As of August 4, 2016, all grants of equity awards are issued under the Company’s stockholder-approved 2016 Incentive Compensation Plan. See Note G, “Stock Compensation Plans.”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Long-Term Incentive Wrap-Around Plan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2016 Long-Term Incentive Wrap-Around Plan (the “2016 Wrap”), which was approved in the fourth quarter of fiscal 2014, was a supplemental performance-based incentive plan that was only effective if there was no vesting of the performance-based awards under the 2013-2016 LTIP and, as a result, all performance-based awards under that plan are forfeited. The performance targets under the 2013-2016 LTIP were not achieved at the end of fiscal 2016 and accordingly, the Wrap-Around Plan became effective.</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performance target under the 2016 Wrap consisted of two metrics, Sales and EBITDA, with threshold (50%), target (80%) and maximum (100%) payout levels. Each metric was weighted as 50% of the total performance target. However, in order for there to be any payout under either metric, EBITDA for fiscal 2016 must be equal to or greater than the minimum threshold.</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2016 Wrap also provided for an opportunity to receive additional shares of restricted stock if the performance targets were achieved and the Company’s closing stock price was $6.75 or higher on the day earnings for fiscal 2016 are publicly released, which was March 20, 2017. The stock did not achieve a minimum of $6.75, therefore, no additional award was earned.</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the operating results for fiscal 2016, the Company achieved 50.6% of its EBITDA target. The minimum threshold for the Sales target was not achieved. Accordingly, in the first quarter of fiscal 2017, the Compensation Committee of the Board of Directors approved awards totaling $2.3 million, with a grant date of March 20, 2017. On that date, the Company granted shares of restricted stock, with a fair value of approximately $1.0 million and cash awards totaling approximately $1.3 million. All outstanding awards vested on July 28, 2017.</w:t>
      </w:r>
    </w:p>
    <w:p>
      <w:pPr>
        <w:spacing w:after="0" w:line="18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 March 20, 2017, in conjunction with the grant of these restricted stock awards, the Company reclassified $0.9 million of the liability accrual from “Accrued Expenses and Other Current Liabilities” to “Additional Paid-in Capital.” See the Consolidated Statements of Changes in Stockholders’ Equity.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Plan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March 15, 2016, the Compensation Committee approved the Destination XL Group, Inc. Long-Term Incentive Plan, as amended February 1, 2017 (the “LTIP”).</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terms of the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Chief Executive Officer, 70% for its senior executives and 25% for other participants in the plan. The Target Cash Value for any award is based on one year of annual salary.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9" w:name="page60"/>
    <w:bookmarkEnd w:id="59"/>
    <w:p>
      <w:pPr>
        <w:spacing w:after="0" w:line="257"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The time-vested portion of the award vests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vests on August 31 following the end of the applicable Performance Period.</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 the 2016-2017 Performance Period, the Compensation Committee established two performance targets under the LTIP (the “2016-2017 LTIP”), each weighted 50%. The first target was EBITDA for fiscal 2017, defined as earnings before interest, taxes, depreciation and amortization, and the second target was “DXL Comparable Store Marginal Cash-Over-Cash Return,” defined as the aggregate of each comparable DXL store’s four-wall cash flow for fiscal 2017 divided by the aggregate capital investment, net of any tenant allowance, for each comparable DXL store.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2017-2018 Performance Period, the Compensation Committee established two performance targets under the LTIP (the “2017-2018 LTIP”), each weighted 50%. The first target is Total Company Comparable Sales and will be measured based on a two-year stack, which is the sum of the Total Company Comparable Sales for fiscal 2017 and fiscal 2018. The second target is a Modified ROIC, which is defined as Operating Income divided by Invested Capital (Total Debt plus Stockholders’ Equity).</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All time-based awards granted under both the 2016-2017 LTIP and 2017-2018 LTIP were in restricted stock units (RSUs). As of February 3, 2018, the stock-based compensation associated with the time-based awards of $1.9 million and $2.0 million, respectively, for the 2016-2017 LTIP and the 2017-2018 LTIP, is being expensed over thirty-six months, based on the respective vesting dates. With respect to the performance-based component, based on operating results for fiscal 2017, the Company achieved 54.4% payout of its DXL Comparable Store Marginal Cash-Over-Over-Cash Return target under the 2016-2017 LTIP. The minimum threshold for the EBITDA target was not achieved. Accordingly, subsequent to year-end, on March 21, 2018 the Compensation Committee approved the grant of restricted stock unit awards totaling $0.5 million, with a grant date of April 2, 2018. The awards are subject to further vesting through August 31, 2018. At February 3, 2018, $0.4 million of the $0.5 million performance-based component was accrued</w:t>
      </w:r>
      <w:r>
        <w:rPr>
          <w:rFonts w:ascii="Arial" w:cs="Arial" w:eastAsia="Arial" w:hAnsi="Arial"/>
          <w:sz w:val="17"/>
          <w:szCs w:val="17"/>
          <w:color w:val="FF0000"/>
        </w:rPr>
        <w:t>.</w:t>
      </w:r>
    </w:p>
    <w:p>
      <w:pPr>
        <w:spacing w:after="0" w:line="178" w:lineRule="exact"/>
        <w:rPr>
          <w:sz w:val="20"/>
          <w:szCs w:val="20"/>
          <w:color w:val="auto"/>
        </w:rPr>
      </w:pPr>
    </w:p>
    <w:p>
      <w:pPr>
        <w:ind w:right="740"/>
        <w:spacing w:after="0" w:line="312" w:lineRule="auto"/>
        <w:rPr>
          <w:sz w:val="20"/>
          <w:szCs w:val="20"/>
          <w:color w:val="auto"/>
        </w:rPr>
      </w:pPr>
      <w:r>
        <w:rPr>
          <w:rFonts w:ascii="Arial" w:cs="Arial" w:eastAsia="Arial" w:hAnsi="Arial"/>
          <w:sz w:val="16"/>
          <w:szCs w:val="16"/>
          <w:color w:val="auto"/>
        </w:rPr>
        <w:t>Assuming that the Company achieves, at target, the performance targets under the 2017-2018 LTIP, the compensation expense is estimated to be approximately $2.0 million. Through the end of the fiscal 2017, because the performance targets were not deemed probable at February 3, 2018, no compensation expense for the performance-based compensation under the 2017-2018 LTIP has been recognized through fiscal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COMPENSATION PLANS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Through the end of the second quarter of fiscal 2016, the Company’s 2006 Incentive Compensation Plan (as amended and restated effective as of August 1, 2013, the “2006 Plan”) was the only stockholder approved plan. The 2006 Plan expired on July 31, 2016. In the third quarter of fiscal 2016, at the Company’s 2016 Annual Meeting of Stockholders held August 4, 2016, the Company’s stockholders approved the adoption of the 2016 Incentive Compensation Plan (the “2016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Plan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initial share reserve under the 2016 Plan is 5,200,000 shares of the Company’s common stock. A grant of a stock option award or stock appreciation right reduces the outstanding reserve on a one-for-one basis. A grant of a full-value award, including, but not limited to, restricted stock, restricted stock units and deferred stock, reduces the outstanding reserve by a fixed ratio of 1.9 shares for every share granted.</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to the initial share reserve of 5,200,000 shares, the 525,538 shares that remained available under the 2006 Plan were added and became available for issuance under the 2016 Plan on August 4, 2016. In accordance with the terms of the 2016 Plan, any shares outstanding under the 2006 Plan at August 4, 2016 that subsequently terminate, expire or are canceled for any reason without having been exercised or paid are added back and become available for issuance under the 2016 Plan, with options and stock appreciation rights being added back on a one-for-one basis and full-value awards being added back on a 1 to1.9 basis. Accordingly, an additional 3,610,963 shares have been added to share availability under the 2016 Plan since August 2016. At February 3, 2018, the Company had 6,536,551 shares available under the 2016 Plan.</w:t>
      </w:r>
    </w:p>
    <w:p>
      <w:pPr>
        <w:spacing w:after="0" w:line="178"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60" w:name="page61"/>
    <w:bookmarkEnd w:id="60"/>
    <w:p>
      <w:pPr>
        <w:ind w:right="220"/>
        <w:spacing w:after="0" w:line="277" w:lineRule="auto"/>
        <w:rPr>
          <w:sz w:val="20"/>
          <w:szCs w:val="20"/>
          <w:color w:val="auto"/>
        </w:rPr>
      </w:pPr>
      <w:r>
        <w:rPr>
          <w:rFonts w:ascii="Arial" w:cs="Arial" w:eastAsia="Arial" w:hAnsi="Arial"/>
          <w:sz w:val="18"/>
          <w:szCs w:val="18"/>
          <w:color w:val="auto"/>
        </w:rPr>
        <w:t>The following tables summarize the stock option activity and share activity for the Company’s 2006 Plan and 2016 Plan, on a combined basis, during fiscal 2017:</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plans for fiscal 2017:</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Weighted-average</w:t>
            </w: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Weighted-average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4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2"/>
              </w:rPr>
              <w:t>exercise price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357"/>
              <w:spacing w:after="0" w:line="149" w:lineRule="exact"/>
              <w:rPr>
                <w:sz w:val="20"/>
                <w:szCs w:val="20"/>
                <w:color w:val="auto"/>
              </w:rPr>
            </w:pPr>
            <w:r>
              <w:rPr>
                <w:rFonts w:ascii="Arial" w:cs="Arial" w:eastAsia="Arial" w:hAnsi="Arial"/>
                <w:sz w:val="14"/>
                <w:szCs w:val="14"/>
                <w:color w:val="auto"/>
              </w:rPr>
              <w:t>Aggregate</w:t>
            </w:r>
          </w:p>
        </w:tc>
      </w:tr>
      <w:tr>
        <w:trPr>
          <w:trHeight w:val="167"/>
        </w:trPr>
        <w:tc>
          <w:tcPr>
            <w:tcW w:w="466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900" w:type="dxa"/>
            <w:vAlign w:val="bottom"/>
          </w:tcPr>
          <w:p>
            <w:pPr>
              <w:jc w:val="center"/>
              <w:ind w:left="228"/>
              <w:spacing w:after="0"/>
              <w:rPr>
                <w:sz w:val="20"/>
                <w:szCs w:val="20"/>
                <w:color w:val="auto"/>
              </w:rPr>
            </w:pPr>
            <w:r>
              <w:rPr>
                <w:rFonts w:ascii="Arial" w:cs="Arial" w:eastAsia="Arial" w:hAnsi="Arial"/>
                <w:sz w:val="14"/>
                <w:szCs w:val="14"/>
                <w:color w:val="auto"/>
                <w:w w:val="96"/>
              </w:rPr>
              <w:t>per option</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contractual term</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257"/>
              <w:spacing w:after="0"/>
              <w:rPr>
                <w:sz w:val="20"/>
                <w:szCs w:val="20"/>
                <w:color w:val="auto"/>
              </w:rPr>
            </w:pPr>
            <w:r>
              <w:rPr>
                <w:rFonts w:ascii="Arial" w:cs="Arial" w:eastAsia="Arial" w:hAnsi="Arial"/>
                <w:sz w:val="14"/>
                <w:szCs w:val="14"/>
                <w:color w:val="auto"/>
                <w:w w:val="99"/>
              </w:rPr>
              <w:t>intrinsic value</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Outstanding options at beginning of year</w:t>
            </w:r>
          </w:p>
        </w:tc>
        <w:tc>
          <w:tcPr>
            <w:tcW w:w="1200" w:type="dxa"/>
            <w:vAlign w:val="bottom"/>
          </w:tcPr>
          <w:p>
            <w:pPr>
              <w:jc w:val="right"/>
              <w:spacing w:after="0"/>
              <w:rPr>
                <w:sz w:val="20"/>
                <w:szCs w:val="20"/>
                <w:color w:val="auto"/>
              </w:rPr>
            </w:pPr>
            <w:r>
              <w:rPr>
                <w:rFonts w:ascii="Arial" w:cs="Arial" w:eastAsia="Arial" w:hAnsi="Arial"/>
                <w:sz w:val="18"/>
                <w:szCs w:val="18"/>
                <w:color w:val="auto"/>
              </w:rPr>
              <w:t>2,524,546</w:t>
            </w:r>
          </w:p>
        </w:tc>
        <w:tc>
          <w:tcPr>
            <w:tcW w:w="120" w:type="dxa"/>
            <w:vAlign w:val="bottom"/>
          </w:tcPr>
          <w:p>
            <w:pPr>
              <w:spacing w:after="0"/>
              <w:rPr>
                <w:sz w:val="19"/>
                <w:szCs w:val="19"/>
                <w:color w:val="auto"/>
              </w:rPr>
            </w:pPr>
          </w:p>
        </w:tc>
        <w:tc>
          <w:tcPr>
            <w:tcW w:w="9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4.98</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granted</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1.85</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(1,358,636)</w:t>
            </w:r>
          </w:p>
        </w:tc>
        <w:tc>
          <w:tcPr>
            <w:tcW w:w="9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5.04</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3"/>
        </w:trPr>
        <w:tc>
          <w:tcPr>
            <w:tcW w:w="46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options at end of year</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1,195,910</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4.80</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6"/>
              </w:rPr>
              <w:t>4.4 years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21,750</w:t>
            </w: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Options exercisable at end of year</w:t>
            </w:r>
          </w:p>
        </w:tc>
        <w:tc>
          <w:tcPr>
            <w:tcW w:w="1200" w:type="dxa"/>
            <w:vAlign w:val="bottom"/>
          </w:tcPr>
          <w:p>
            <w:pPr>
              <w:jc w:val="right"/>
              <w:spacing w:after="0"/>
              <w:rPr>
                <w:sz w:val="20"/>
                <w:szCs w:val="20"/>
                <w:color w:val="auto"/>
              </w:rPr>
            </w:pPr>
            <w:r>
              <w:rPr>
                <w:rFonts w:ascii="Arial" w:cs="Arial" w:eastAsia="Arial" w:hAnsi="Arial"/>
                <w:sz w:val="18"/>
                <w:szCs w:val="18"/>
                <w:color w:val="auto"/>
              </w:rPr>
              <w:t>1,175,910</w:t>
            </w:r>
          </w:p>
        </w:tc>
        <w:tc>
          <w:tcPr>
            <w:tcW w:w="120" w:type="dxa"/>
            <w:vAlign w:val="bottom"/>
          </w:tcPr>
          <w:p>
            <w:pPr>
              <w:spacing w:after="0"/>
              <w:rPr>
                <w:sz w:val="19"/>
                <w:szCs w:val="19"/>
                <w:color w:val="auto"/>
              </w:rPr>
            </w:pPr>
          </w:p>
        </w:tc>
        <w:tc>
          <w:tcPr>
            <w:tcW w:w="9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4.85</w:t>
            </w:r>
          </w:p>
        </w:tc>
        <w:tc>
          <w:tcPr>
            <w:tcW w:w="220" w:type="dxa"/>
            <w:vAlign w:val="bottom"/>
          </w:tcPr>
          <w:p>
            <w:pPr>
              <w:spacing w:after="0"/>
              <w:rPr>
                <w:sz w:val="19"/>
                <w:szCs w:val="19"/>
                <w:color w:val="auto"/>
              </w:rPr>
            </w:pPr>
          </w:p>
        </w:tc>
        <w:tc>
          <w:tcPr>
            <w:tcW w:w="1320" w:type="dxa"/>
            <w:vAlign w:val="bottom"/>
          </w:tcPr>
          <w:p>
            <w:pPr>
              <w:ind w:left="660"/>
              <w:spacing w:after="0"/>
              <w:rPr>
                <w:sz w:val="20"/>
                <w:szCs w:val="20"/>
                <w:color w:val="auto"/>
              </w:rPr>
            </w:pPr>
            <w:r>
              <w:rPr>
                <w:rFonts w:ascii="Arial" w:cs="Arial" w:eastAsia="Arial" w:hAnsi="Arial"/>
                <w:sz w:val="18"/>
                <w:szCs w:val="18"/>
                <w:color w:val="auto"/>
                <w:w w:val="86"/>
              </w:rPr>
              <w:t>4.4 years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7,250</w:t>
            </w: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 and expected to vest at end of year</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1,195,910</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4.80</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6"/>
              </w:rPr>
              <w:t>4.4 years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21,750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exercises of options during fiscal 2017 or fiscal 2016.</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Non-Vested Share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non-vested shares under the plans for fiscal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Weighted-</w:t>
            </w:r>
          </w:p>
        </w:tc>
      </w:tr>
      <w:tr>
        <w:trPr>
          <w:trHeight w:val="149"/>
        </w:trPr>
        <w:tc>
          <w:tcPr>
            <w:tcW w:w="4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482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Restricted</w:t>
            </w: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Restricted</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Deferred</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Fully-vested</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Total number</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grant-date</w:t>
            </w:r>
          </w:p>
        </w:tc>
      </w:tr>
      <w:tr>
        <w:trPr>
          <w:trHeight w:val="167"/>
        </w:trPr>
        <w:tc>
          <w:tcPr>
            <w:tcW w:w="482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shares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 xml:space="preserve">Stock Units </w:t>
            </w:r>
            <w:r>
              <w:rPr>
                <w:rFonts w:ascii="Arial" w:cs="Arial" w:eastAsia="Arial" w:hAnsi="Arial"/>
                <w:sz w:val="12"/>
                <w:szCs w:val="12"/>
                <w:color w:val="auto"/>
                <w:w w:val="93"/>
              </w:rPr>
              <w:t>(1)</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(2)</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(3)</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of shares</w:t>
            </w: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 xml:space="preserve">fair value </w:t>
            </w:r>
            <w:r>
              <w:rPr>
                <w:rFonts w:ascii="Arial" w:cs="Arial" w:eastAsia="Arial" w:hAnsi="Arial"/>
                <w:sz w:val="12"/>
                <w:szCs w:val="12"/>
                <w:color w:val="auto"/>
                <w:w w:val="95"/>
              </w:rPr>
              <w:t>(4)</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Shares</w:t>
            </w: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4820" w:type="dxa"/>
            <w:vAlign w:val="bottom"/>
          </w:tcPr>
          <w:p>
            <w:pPr>
              <w:ind w:left="260"/>
              <w:spacing w:after="0"/>
              <w:rPr>
                <w:sz w:val="20"/>
                <w:szCs w:val="20"/>
                <w:color w:val="auto"/>
              </w:rPr>
            </w:pPr>
            <w:r>
              <w:rPr>
                <w:rFonts w:ascii="Arial" w:cs="Arial" w:eastAsia="Arial" w:hAnsi="Arial"/>
                <w:sz w:val="18"/>
                <w:szCs w:val="18"/>
                <w:color w:val="auto"/>
              </w:rPr>
              <w:t>Outstanding non-vested shares at beginning of</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tcPr>
          <w:p>
            <w:pPr>
              <w:ind w:left="380"/>
              <w:spacing w:after="0"/>
              <w:rPr>
                <w:sz w:val="20"/>
                <w:szCs w:val="20"/>
                <w:color w:val="auto"/>
              </w:rPr>
            </w:pPr>
            <w:r>
              <w:rPr>
                <w:rFonts w:ascii="Arial" w:cs="Arial" w:eastAsia="Arial" w:hAnsi="Arial"/>
                <w:sz w:val="18"/>
                <w:szCs w:val="18"/>
                <w:color w:val="auto"/>
              </w:rPr>
              <w:t>year</w:t>
            </w:r>
          </w:p>
        </w:tc>
        <w:tc>
          <w:tcPr>
            <w:tcW w:w="900" w:type="dxa"/>
            <w:vAlign w:val="bottom"/>
          </w:tcPr>
          <w:p>
            <w:pPr>
              <w:jc w:val="right"/>
              <w:spacing w:after="0"/>
              <w:rPr>
                <w:sz w:val="20"/>
                <w:szCs w:val="20"/>
                <w:color w:val="auto"/>
              </w:rPr>
            </w:pPr>
            <w:r>
              <w:rPr>
                <w:rFonts w:ascii="Arial" w:cs="Arial" w:eastAsia="Arial" w:hAnsi="Arial"/>
                <w:sz w:val="18"/>
                <w:szCs w:val="18"/>
                <w:color w:val="auto"/>
              </w:rPr>
              <w:t>856,332</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369,828</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64,876</w:t>
            </w: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1,291,036</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granted</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484,558</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838,546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100,554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86,503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1,510,161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Shares vested/issued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(447,003)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(42,453)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(49,973)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(86,503)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(625,932)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canceled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(857,221)</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(117,369)</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(974,590)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ind w:left="260"/>
              <w:spacing w:after="0"/>
              <w:rPr>
                <w:sz w:val="20"/>
                <w:szCs w:val="20"/>
                <w:color w:val="auto"/>
              </w:rPr>
            </w:pPr>
            <w:r>
              <w:rPr>
                <w:rFonts w:ascii="Arial" w:cs="Arial" w:eastAsia="Arial" w:hAnsi="Arial"/>
                <w:sz w:val="18"/>
                <w:szCs w:val="18"/>
                <w:color w:val="auto"/>
              </w:rPr>
              <w:t>Outstanding non-vested shares at end of year</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36,666</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1,048,552</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115,457</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1,200,675</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expected to vest at end of year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36,666</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891,269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115,457</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1,043,392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right="360" w:hanging="512"/>
        <w:spacing w:after="0" w:line="258"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Stock Units (“RSU”s) were primarily granted in connection with the time-vested portion of the 2017-2018 LTIP. The RSUs vest in two tranches with the first 50% vesting on April 1, 2019 and the remaining vesting 50% on April 1, 2020.</w:t>
      </w:r>
    </w:p>
    <w:p>
      <w:pPr>
        <w:spacing w:after="0" w:line="1" w:lineRule="exact"/>
        <w:rPr>
          <w:rFonts w:ascii="Arial" w:cs="Arial" w:eastAsia="Arial" w:hAnsi="Arial"/>
          <w:sz w:val="18"/>
          <w:szCs w:val="18"/>
          <w:color w:val="auto"/>
        </w:rPr>
      </w:pPr>
    </w:p>
    <w:p>
      <w:pPr>
        <w:ind w:left="520" w:right="240" w:hanging="512"/>
        <w:spacing w:after="0" w:line="255"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100,554 shares of deferred stock, with a fair value of approximately $232,064, represent compensation to certain directors in lieu of cash, in accordance with their irrevocable elections. The shares of deferred stock vest three years from the date of grant or at separation of service, based on the irrevocable election of each director.</w:t>
      </w:r>
    </w:p>
    <w:p>
      <w:pPr>
        <w:spacing w:after="0" w:line="1"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fiscal 2017, the Company granted 86,503 shares of stock, with a fair value of approximately $204,477 to certain directors as compensation in lieu of cash, in accordance with their irrevocable elections. Directors are required to elect 50% of their quarterly retainer in equity. Any shares in excess of the minimum required election are issued from the Third Amended and Restated Non-Employee Director Stock Purchase Plan (the “Non-Employee Director Compensation Plan”).</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fair value of a restricted share, deferred share and fully-vested share is equal to the Company’s closing stock price on the date of grant.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Total unrecognized stock compensation of $1.8 million at February 3, 2018 is expected to be recognized over a weighted-average period of 20 months.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1" w:name="page62"/>
    <w:bookmarkEnd w:id="61"/>
    <w:p>
      <w:pPr>
        <w:ind w:left="520"/>
        <w:spacing w:after="0"/>
        <w:rPr>
          <w:sz w:val="20"/>
          <w:szCs w:val="20"/>
          <w:color w:val="auto"/>
        </w:rPr>
      </w:pPr>
      <w:r>
        <w:rPr>
          <w:rFonts w:ascii="Arial" w:cs="Arial" w:eastAsia="Arial" w:hAnsi="Arial"/>
          <w:sz w:val="18"/>
          <w:szCs w:val="18"/>
          <w:u w:val="single" w:color="auto"/>
          <w:color w:val="auto"/>
        </w:rPr>
        <w:t>Non-Employee Director Compensation Plan</w:t>
      </w:r>
    </w:p>
    <w:p>
      <w:pPr>
        <w:spacing w:after="0" w:line="11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Third Amended and Restated Non-Employee Director Compensation Plan.</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Beginning in fiscal 2015, the non-employee directors are required to take 50% of their annual retainer, which is paid quarterly, in equity. Any shares of stock, deferred stock or stock options issued to a director as part of this 50% requirement are issued from the 2016 Plan. Only discretionary elections of equity will be issued from the Non-Employee Director Compensation Plan.</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shares of common stock, with the respective fair value, were issued to its non-employee directors as compensation for fiscal 2017, fiscal 2016 and fiscal 2015:</w:t>
      </w:r>
    </w:p>
    <w:p>
      <w:pPr>
        <w:spacing w:after="0" w:line="16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Number of shares of</w:t>
            </w:r>
          </w:p>
        </w:tc>
        <w:tc>
          <w:tcPr>
            <w:tcW w:w="1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Fair value of</w:t>
            </w:r>
          </w:p>
        </w:tc>
      </w:tr>
      <w:tr>
        <w:trPr>
          <w:trHeight w:val="167"/>
        </w:trPr>
        <w:tc>
          <w:tcPr>
            <w:tcW w:w="5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common stock issued</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common stock issued</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2017</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96,856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Fiscal 2016</w:t>
            </w:r>
          </w:p>
        </w:tc>
        <w:tc>
          <w:tcPr>
            <w:tcW w:w="1280" w:type="dxa"/>
            <w:vAlign w:val="bottom"/>
          </w:tcPr>
          <w:p>
            <w:pPr>
              <w:jc w:val="right"/>
              <w:spacing w:after="0"/>
              <w:rPr>
                <w:sz w:val="20"/>
                <w:szCs w:val="20"/>
                <w:color w:val="auto"/>
              </w:rPr>
            </w:pPr>
            <w:r>
              <w:rPr>
                <w:rFonts w:ascii="Arial" w:cs="Arial" w:eastAsia="Arial" w:hAnsi="Arial"/>
                <w:sz w:val="18"/>
                <w:szCs w:val="18"/>
                <w:color w:val="auto"/>
              </w:rPr>
              <w:t>14,509</w:t>
            </w:r>
          </w:p>
        </w:tc>
        <w:tc>
          <w:tcPr>
            <w:tcW w:w="20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68,456</w:t>
            </w:r>
          </w:p>
        </w:tc>
        <w:tc>
          <w:tcPr>
            <w:tcW w:w="6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Fiscal 2015</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127,734</w:t>
            </w:r>
          </w:p>
        </w:tc>
        <w:tc>
          <w:tcPr>
            <w:tcW w:w="6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RELATED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11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Seymour Holtzman, the Executive Chairman of the Company’s Board of Directors (the “Board”), is the chairman, chief executive officer and president and, together with his wife, indirectly, the majority shareholder of Jewelcor Management, Inc. (“JMI”). Mr. Holtzman, who was initially appointed Chairman of the Board in April 2000, is the beneficial holder of approximately 9.2% of the outstanding common stock of the Company at February 3,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August 7, 2014, the Company entered into an Employment and Chairman Compensation Agreement (the “Compensation Agreement”) with</w:t>
      </w:r>
    </w:p>
    <w:p>
      <w:pPr>
        <w:spacing w:after="0" w:line="2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Mr. Holtzman. Pursuant to the terms of the agreement, Mr. Holtzman serves as both an employee of the Company, reporting to the Board, and, in his capacity as Chairman of the Board, as Executive Chairman, with the duties of the Chairman of the Board as set forth in the Company’s Fourth Amended and Restated By-Laws. The initial term of the agreement was for two years. Commencing August 7, 2015, on each anniversary date, the agreement automatically extends for an additional one-year term. Accordingly, the current expiration date of the agreement is August 7, 2019.</w:t>
      </w:r>
    </w:p>
    <w:p>
      <w:pPr>
        <w:spacing w:after="0" w:line="17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Effective May 4, 2017, the Compensation Agreement was amended to reduce Mr. Holtzman’s annual compensation for his services as Executive Chairman from $372,750 to $200,000. Mr. Holtzman continues to receive an annual base salary of $24,000 for his service as an employee of the Company, reporting to the Board. No other </w:t>
      </w:r>
      <w:r>
        <w:rPr>
          <w:rFonts w:ascii="Arial" w:cs="Arial" w:eastAsia="Arial" w:hAnsi="Arial"/>
          <w:sz w:val="18"/>
          <w:szCs w:val="18"/>
          <w:color w:val="212121"/>
        </w:rPr>
        <w:t>changes to the Employment and Chairman Compensation Agreement were made.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Oliver Walsh</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Oliver Walsh was elected as a director at the Company’s Annual Meeting of Stockholders on August 3, 2017. On August 17, 2017, Mr. Walsh entered into a temporary consulting agreement with the Company to serve as the Interim Chief Marketing Officer through the Fall and Holiday selling seasons, while the Company searched for a Chief Marketing Officer. Pursuant to the terms of the temporary consulting agreement, Mr. Walsh was entitled to receive compensation at a rate of $7,000 per week plus reimbursement for all business and travel expenses. Because of the related party relationship, the temporary consulting agreement was approved by the Company’s Audit Committee. The temporary consulting agreement ended on December 18, 2017. For fiscal 2017, Mr. Walsh received total compensation pursuant to the temporary consulting agreement, excluding reimbursement of expenses, of $130,400.</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12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 xml:space="preserve">The Company accounts for its employee benefit plans in accordance with ASC Topic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ASC Topic 715 requires an employer to: (a) recognize in its statement of financial position an asset for a plan’s over-funded status or a liability for a plan’s under-funded status;</w:t>
      </w: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measure a plan’s assets and its obligations that determine its funded status as of the end of the employer’s fiscal year (with limited exceptions); and</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recognize changes in the funded status of a defined benefit postretirement plan in the year in which the changes occur.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2" w:name="page63"/>
    <w:bookmarkEnd w:id="62"/>
    <w:p>
      <w:pPr>
        <w:ind w:right="300"/>
        <w:spacing w:after="0" w:line="302" w:lineRule="auto"/>
        <w:rPr>
          <w:sz w:val="20"/>
          <w:szCs w:val="20"/>
          <w:color w:val="auto"/>
        </w:rPr>
      </w:pPr>
      <w:r>
        <w:rPr>
          <w:rFonts w:ascii="Arial" w:cs="Arial" w:eastAsia="Arial" w:hAnsi="Arial"/>
          <w:sz w:val="16"/>
          <w:szCs w:val="16"/>
          <w:color w:val="auto"/>
        </w:rPr>
        <w:t>These amounts will be subsequently recognized as net periodic pension cost pursuant to the Company’s historical accounting policy for amortizing such amounts. Further, actuarial gains and losses that arise in subsequent periods and are not recognized as net periodic pension cost in the same periods will be recognized as a component of accumulated other comprehensive income (loss). The amortization of the unrecognized loss included in accumulated other comprehensive income (loss) and expected to be recognized in net periodic pension cost in fiscal 2018 is approximately $699,000.</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Casual Male acquisition in May 2002,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Pension Plan’s funded status at February 3, 2018 and January 28, 2017:</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w w:val="97"/>
              </w:rPr>
              <w:t>February 3, 2018</w:t>
            </w:r>
          </w:p>
        </w:tc>
        <w:tc>
          <w:tcPr>
            <w:tcW w:w="12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January 28, 2017</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right"/>
              <w:ind w:right="92"/>
              <w:spacing w:after="0" w:line="155" w:lineRule="exact"/>
              <w:rPr>
                <w:sz w:val="20"/>
                <w:szCs w:val="20"/>
                <w:color w:val="auto"/>
              </w:rPr>
            </w:pPr>
            <w:r>
              <w:rPr>
                <w:rFonts w:ascii="Arial" w:cs="Arial" w:eastAsia="Arial" w:hAnsi="Arial"/>
                <w:sz w:val="14"/>
                <w:szCs w:val="14"/>
                <w:i w:val="1"/>
                <w:iCs w:val="1"/>
                <w:color w:val="auto"/>
              </w:rPr>
              <w:t>in thousands</w:t>
            </w: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322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color w:val="auto"/>
              </w:rPr>
              <w:t>Change in benefit obligation:</w:t>
            </w:r>
          </w:p>
        </w:tc>
        <w:tc>
          <w:tcPr>
            <w:tcW w:w="2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20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Balance at beginning of period</w:t>
            </w:r>
          </w:p>
        </w:tc>
        <w:tc>
          <w:tcPr>
            <w:tcW w:w="2580" w:type="dxa"/>
            <w:vAlign w:val="bottom"/>
            <w:gridSpan w:val="2"/>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16,456</w:t>
            </w:r>
          </w:p>
        </w:tc>
        <w:tc>
          <w:tcPr>
            <w:tcW w:w="18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16,845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(775)</w:t>
            </w:r>
          </w:p>
        </w:tc>
        <w:tc>
          <w:tcPr>
            <w:tcW w:w="4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Interest costs</w:t>
            </w:r>
          </w:p>
        </w:tc>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Settlements</w:t>
            </w: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(410)</w:t>
            </w:r>
          </w:p>
        </w:tc>
        <w:tc>
          <w:tcPr>
            <w:tcW w:w="4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tcBorders>
              <w:bottom w:val="single" w:sz="8" w:color="CFF0FC"/>
            </w:tcBorders>
            <w:gridSpan w:val="5"/>
          </w:tcPr>
          <w:p>
            <w:pPr>
              <w:spacing w:after="0"/>
              <w:rPr>
                <w:sz w:val="20"/>
                <w:szCs w:val="20"/>
                <w:color w:val="auto"/>
              </w:rPr>
            </w:pPr>
            <w:r>
              <w:rPr>
                <w:rFonts w:ascii="Arial" w:cs="Arial" w:eastAsia="Arial" w:hAnsi="Arial"/>
                <w:sz w:val="18"/>
                <w:szCs w:val="18"/>
                <w:color w:val="auto"/>
              </w:rPr>
              <w:t>Actuarial loss</w:t>
            </w:r>
          </w:p>
        </w:tc>
        <w:tc>
          <w:tcPr>
            <w:tcW w:w="2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2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2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16,284</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16,456</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540" w:type="dxa"/>
            <w:vAlign w:val="bottom"/>
            <w:tcBorders>
              <w:bottom w:val="single" w:sz="8" w:color="auto"/>
            </w:tcBorders>
            <w:gridSpan w:val="4"/>
            <w:shd w:val="clear" w:color="auto" w:fill="CFF0FC"/>
          </w:tcPr>
          <w:p>
            <w:pPr>
              <w:spacing w:after="0" w:line="189" w:lineRule="exact"/>
              <w:rPr>
                <w:sz w:val="20"/>
                <w:szCs w:val="20"/>
                <w:color w:val="auto"/>
              </w:rPr>
            </w:pPr>
            <w:r>
              <w:rPr>
                <w:rFonts w:ascii="Arial" w:cs="Arial" w:eastAsia="Arial" w:hAnsi="Arial"/>
                <w:sz w:val="18"/>
                <w:szCs w:val="18"/>
                <w:color w:val="auto"/>
                <w:w w:val="89"/>
              </w:rPr>
              <w:t>Change in fair value of plan assets:</w:t>
            </w:r>
          </w:p>
        </w:tc>
        <w:tc>
          <w:tcPr>
            <w:tcW w:w="680" w:type="dxa"/>
            <w:vAlign w:val="bottom"/>
            <w:tcBorders>
              <w:bottom w:val="single" w:sz="8" w:color="CFF0FC"/>
            </w:tcBorders>
            <w:shd w:val="clear" w:color="auto" w:fill="CFF0FC"/>
          </w:tcPr>
          <w:p>
            <w:pPr>
              <w:spacing w:after="0"/>
              <w:rPr>
                <w:sz w:val="18"/>
                <w:szCs w:val="18"/>
                <w:color w:val="auto"/>
              </w:rPr>
            </w:pPr>
          </w:p>
        </w:tc>
        <w:tc>
          <w:tcPr>
            <w:tcW w:w="2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Balance at beginning of period</w:t>
            </w:r>
          </w:p>
        </w:tc>
        <w:tc>
          <w:tcPr>
            <w:tcW w:w="2580" w:type="dxa"/>
            <w:vAlign w:val="bottom"/>
            <w:gridSpan w:val="2"/>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11,734</w:t>
            </w:r>
          </w:p>
        </w:tc>
        <w:tc>
          <w:tcPr>
            <w:tcW w:w="18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11,969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Actual return on plan assets</w:t>
            </w: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Employer contributions</w:t>
            </w:r>
          </w:p>
        </w:tc>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Settlements</w:t>
            </w: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(410)</w:t>
            </w:r>
          </w:p>
        </w:tc>
        <w:tc>
          <w:tcPr>
            <w:tcW w:w="4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Benefits and expenses paid</w:t>
            </w:r>
          </w:p>
        </w:tc>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4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(733)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2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320" w:type="dxa"/>
            <w:vAlign w:val="bottom"/>
            <w:tcBorders>
              <w:bottom w:val="single" w:sz="8" w:color="auto"/>
            </w:tcBorders>
            <w:gridSpan w:val="3"/>
            <w:shd w:val="clear" w:color="auto" w:fill="CFF0FC"/>
          </w:tcPr>
          <w:p>
            <w:pPr>
              <w:spacing w:after="0" w:line="189" w:lineRule="exact"/>
              <w:rPr>
                <w:sz w:val="20"/>
                <w:szCs w:val="20"/>
                <w:color w:val="auto"/>
              </w:rPr>
            </w:pPr>
            <w:r>
              <w:rPr>
                <w:rFonts w:ascii="Arial" w:cs="Arial" w:eastAsia="Arial" w:hAnsi="Arial"/>
                <w:sz w:val="18"/>
                <w:szCs w:val="18"/>
                <w:color w:val="auto"/>
                <w:w w:val="90"/>
              </w:rPr>
              <w:t>Reconciliation of Funded Status</w:t>
            </w:r>
          </w:p>
        </w:tc>
        <w:tc>
          <w:tcPr>
            <w:tcW w:w="900" w:type="dxa"/>
            <w:vAlign w:val="bottom"/>
            <w:tcBorders>
              <w:bottom w:val="single" w:sz="8" w:color="CFF0FC"/>
            </w:tcBorders>
            <w:gridSpan w:val="2"/>
            <w:shd w:val="clear" w:color="auto" w:fill="CFF0FC"/>
          </w:tcPr>
          <w:p>
            <w:pPr>
              <w:spacing w:after="0"/>
              <w:rPr>
                <w:sz w:val="18"/>
                <w:szCs w:val="18"/>
                <w:color w:val="auto"/>
              </w:rPr>
            </w:pPr>
          </w:p>
        </w:tc>
        <w:tc>
          <w:tcPr>
            <w:tcW w:w="2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auto"/>
              </w:rPr>
              <w:t>Projected benefit obligation</w:t>
            </w:r>
          </w:p>
        </w:tc>
        <w:tc>
          <w:tcPr>
            <w:tcW w:w="2580" w:type="dxa"/>
            <w:vAlign w:val="bottom"/>
            <w:gridSpan w:val="2"/>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16,284</w:t>
            </w:r>
          </w:p>
        </w:tc>
        <w:tc>
          <w:tcPr>
            <w:tcW w:w="18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16,456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2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12,855</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6"/>
          </w:tcPr>
          <w:p>
            <w:pPr>
              <w:ind w:left="1720"/>
              <w:spacing w:after="0"/>
              <w:rPr>
                <w:sz w:val="20"/>
                <w:szCs w:val="20"/>
                <w:color w:val="auto"/>
              </w:rPr>
            </w:pPr>
            <w:r>
              <w:rPr>
                <w:rFonts w:ascii="Arial" w:cs="Arial" w:eastAsia="Arial" w:hAnsi="Arial"/>
                <w:sz w:val="18"/>
                <w:szCs w:val="18"/>
                <w:color w:val="auto"/>
              </w:rPr>
              <w:t>Unfunded Status</w:t>
            </w:r>
          </w:p>
        </w:tc>
        <w:tc>
          <w:tcPr>
            <w:tcW w:w="22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(3,429)</w:t>
            </w:r>
          </w:p>
        </w:tc>
        <w:tc>
          <w:tcPr>
            <w:tcW w:w="18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(4,722)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20" w:type="dxa"/>
            <w:vAlign w:val="bottom"/>
            <w:vMerge w:val="continue"/>
          </w:tcPr>
          <w:p>
            <w:pPr>
              <w:spacing w:after="0"/>
              <w:rPr>
                <w:sz w:val="16"/>
                <w:szCs w:val="16"/>
                <w:color w:val="auto"/>
              </w:rPr>
            </w:pPr>
          </w:p>
        </w:tc>
        <w:tc>
          <w:tcPr>
            <w:tcW w:w="3220" w:type="dxa"/>
            <w:vAlign w:val="bottom"/>
            <w:gridSpan w:val="5"/>
          </w:tcPr>
          <w:p>
            <w:pPr>
              <w:spacing w:after="0" w:line="189" w:lineRule="exact"/>
              <w:rPr>
                <w:sz w:val="20"/>
                <w:szCs w:val="20"/>
                <w:color w:val="auto"/>
              </w:rPr>
            </w:pPr>
            <w:r>
              <w:rPr>
                <w:rFonts w:ascii="Arial" w:cs="Arial" w:eastAsia="Arial" w:hAnsi="Arial"/>
                <w:sz w:val="18"/>
                <w:szCs w:val="18"/>
                <w:color w:val="auto"/>
              </w:rPr>
              <w:t>Balance Sheet Classification</w:t>
            </w: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22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580" w:type="dxa"/>
            <w:vAlign w:val="bottom"/>
            <w:gridSpan w:val="2"/>
            <w:shd w:val="clear" w:color="auto" w:fill="CFF0FC"/>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20" w:type="dxa"/>
            <w:vAlign w:val="bottom"/>
          </w:tcPr>
          <w:p>
            <w:pPr>
              <w:jc w:val="right"/>
              <w:ind w:right="1270"/>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63" w:name="page64"/>
    <w:bookmarkEnd w:id="63"/>
    <w:p>
      <w:pPr>
        <w:ind w:right="840"/>
        <w:spacing w:after="0" w:line="277" w:lineRule="auto"/>
        <w:rPr>
          <w:sz w:val="20"/>
          <w:szCs w:val="20"/>
          <w:color w:val="auto"/>
        </w:rPr>
      </w:pPr>
      <w:r>
        <w:rPr>
          <w:rFonts w:ascii="Arial" w:cs="Arial" w:eastAsia="Arial" w:hAnsi="Arial"/>
          <w:sz w:val="18"/>
          <w:szCs w:val="18"/>
          <w:color w:val="auto"/>
        </w:rPr>
        <w:t>Total plan expense and other amounts recognized in accumulated other comprehensive loss for the years ended February 3, 2018, January 28, 2017 and January 30, 2016 include the following components: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auto"/>
                <w:w w:val="87"/>
              </w:rPr>
              <w:t>Net pension cost:</w:t>
            </w:r>
          </w:p>
        </w:tc>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4"/>
                <w:szCs w:val="14"/>
                <w:color w:val="auto"/>
                <w:w w:val="93"/>
              </w:rPr>
              <w:t>February 3, 2018</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w w:val="92"/>
              </w:rPr>
              <w:t>January 28, 2017</w:t>
            </w:r>
          </w:p>
        </w:tc>
        <w:tc>
          <w:tcPr>
            <w:tcW w:w="10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2"/>
              </w:rPr>
              <w:t>January 30, 2016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2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020" w:type="dxa"/>
            <w:vAlign w:val="bottom"/>
            <w:gridSpan w:val="2"/>
            <w:shd w:val="clear" w:color="auto" w:fill="CFF0FC"/>
          </w:tcPr>
          <w:p>
            <w:pPr>
              <w:jc w:val="right"/>
              <w:ind w:right="186"/>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6"/>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Expected return on plan assets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Amortization of unrecognized loss</w:t>
            </w:r>
          </w:p>
        </w:tc>
        <w:tc>
          <w:tcPr>
            <w:tcW w:w="6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60" w:type="dxa"/>
            <w:vAlign w:val="bottom"/>
            <w:gridSpan w:val="6"/>
          </w:tcPr>
          <w:p>
            <w:pPr>
              <w:spacing w:after="0"/>
              <w:rPr>
                <w:sz w:val="20"/>
                <w:szCs w:val="20"/>
                <w:color w:val="auto"/>
              </w:rPr>
            </w:pPr>
            <w:r>
              <w:rPr>
                <w:rFonts w:ascii="Arial" w:cs="Arial" w:eastAsia="Arial" w:hAnsi="Arial"/>
                <w:sz w:val="18"/>
                <w:szCs w:val="18"/>
                <w:color w:val="auto"/>
              </w:rPr>
              <w:t>Net pension cost</w:t>
            </w:r>
          </w:p>
        </w:tc>
        <w:tc>
          <w:tcPr>
            <w:tcW w:w="680" w:type="dxa"/>
            <w:vAlign w:val="bottom"/>
          </w:tcPr>
          <w:p>
            <w:pPr>
              <w:spacing w:after="0"/>
              <w:rPr>
                <w:sz w:val="22"/>
                <w:szCs w:val="22"/>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7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620" w:type="dxa"/>
            <w:vAlign w:val="bottom"/>
            <w:gridSpan w:val="4"/>
          </w:tcPr>
          <w:p>
            <w:pPr>
              <w:spacing w:after="0" w:line="189" w:lineRule="exact"/>
              <w:rPr>
                <w:sz w:val="20"/>
                <w:szCs w:val="20"/>
                <w:color w:val="auto"/>
              </w:rPr>
            </w:pPr>
            <w:r>
              <w:rPr>
                <w:rFonts w:ascii="Arial" w:cs="Arial" w:eastAsia="Arial" w:hAnsi="Arial"/>
                <w:sz w:val="18"/>
                <w:szCs w:val="18"/>
                <w:color w:val="auto"/>
              </w:rPr>
              <w:t>Other changes recognized in other comprehensive loss,</w:t>
            </w: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gridSpan w:val="3"/>
          </w:tcPr>
          <w:p>
            <w:pPr>
              <w:ind w:left="100"/>
              <w:spacing w:after="0" w:line="196" w:lineRule="exact"/>
              <w:rPr>
                <w:sz w:val="20"/>
                <w:szCs w:val="20"/>
                <w:color w:val="auto"/>
              </w:rPr>
            </w:pPr>
            <w:r>
              <w:rPr>
                <w:rFonts w:ascii="Arial" w:cs="Arial" w:eastAsia="Arial" w:hAnsi="Arial"/>
                <w:sz w:val="18"/>
                <w:szCs w:val="18"/>
                <w:color w:val="auto"/>
              </w:rPr>
              <w:t>before taxes:</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Unrecognized losses at the beginning of the year</w:t>
            </w:r>
          </w:p>
        </w:tc>
        <w:tc>
          <w:tcPr>
            <w:tcW w:w="1020" w:type="dxa"/>
            <w:vAlign w:val="bottom"/>
            <w:gridSpan w:val="2"/>
            <w:shd w:val="clear" w:color="auto" w:fill="CFF0FC"/>
          </w:tcPr>
          <w:p>
            <w:pPr>
              <w:jc w:val="right"/>
              <w:ind w:right="186"/>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6"/>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Net periodic pension cost</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Employer contribution</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Change in plan assets and benefit obligations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Unrecognized losses at the end of year</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contribution for fiscal 2018 is estimated to be approximately $628,000.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Assumptions used to determine the benefit obligations as of February 3, 2018 and January 28, 2017 include a discount rate of 3.68% for fiscal 2017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4.00% for fiscal 2016. Assumptions used to determine the net periodic benefit cost for the years ended February 3, 2018, January 28, 2017 and January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 included a discount rate of 3.68% for fiscal 2017, 4.00% for fiscal 2016 and 4.16% for fiscal 2015.</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expected long-term rate of return for plan assets was assumed to be 7.00% for fiscal 2017 and 8.00% for fiscal 2016. The expected long-term rate of return assumption was developed considering historical and future expectations for returns for each asset class.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c>
          <w:tcPr>
            <w:tcW w:w="2300" w:type="dxa"/>
            <w:vAlign w:val="bottom"/>
          </w:tcPr>
          <w:p>
            <w:pPr>
              <w:spacing w:after="0"/>
              <w:rPr>
                <w:sz w:val="14"/>
                <w:szCs w:val="14"/>
                <w:color w:val="auto"/>
              </w:rPr>
            </w:pPr>
          </w:p>
        </w:tc>
      </w:tr>
      <w:tr>
        <w:trPr>
          <w:trHeight w:val="169"/>
        </w:trPr>
        <w:tc>
          <w:tcPr>
            <w:tcW w:w="4420" w:type="dxa"/>
            <w:vAlign w:val="bottom"/>
            <w:gridSpan w:val="2"/>
          </w:tcPr>
          <w:p>
            <w:pPr>
              <w:ind w:left="2300"/>
              <w:spacing w:after="0"/>
              <w:rPr>
                <w:sz w:val="20"/>
                <w:szCs w:val="20"/>
                <w:color w:val="auto"/>
              </w:rPr>
            </w:pPr>
            <w:r>
              <w:rPr>
                <w:rFonts w:ascii="Arial" w:cs="Arial" w:eastAsia="Arial" w:hAnsi="Arial"/>
                <w:sz w:val="14"/>
                <w:szCs w:val="14"/>
                <w:color w:val="auto"/>
              </w:rPr>
              <w:t>FISCAL YEAR</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74"/>
              <w:spacing w:after="0"/>
              <w:rPr>
                <w:sz w:val="20"/>
                <w:szCs w:val="20"/>
                <w:color w:val="auto"/>
              </w:rPr>
            </w:pPr>
            <w:r>
              <w:rPr>
                <w:rFonts w:ascii="Arial" w:cs="Arial" w:eastAsia="Arial" w:hAnsi="Arial"/>
                <w:sz w:val="14"/>
                <w:szCs w:val="14"/>
                <w:i w:val="1"/>
                <w:iCs w:val="1"/>
                <w:color w:val="auto"/>
                <w:w w:val="94"/>
              </w:rPr>
              <w:t>(in thousands)</w:t>
            </w:r>
          </w:p>
        </w:tc>
        <w:tc>
          <w:tcPr>
            <w:tcW w:w="2300" w:type="dxa"/>
            <w:vAlign w:val="bottom"/>
          </w:tcPr>
          <w:p>
            <w:pPr>
              <w:spacing w:after="0"/>
              <w:rPr>
                <w:sz w:val="14"/>
                <w:szCs w:val="14"/>
                <w:color w:val="auto"/>
              </w:rPr>
            </w:pPr>
          </w:p>
        </w:tc>
      </w:tr>
      <w:tr>
        <w:trPr>
          <w:trHeight w:val="230"/>
        </w:trPr>
        <w:tc>
          <w:tcPr>
            <w:tcW w:w="230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2019</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878</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2021</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2023-2027</w:t>
            </w:r>
          </w:p>
        </w:tc>
        <w:tc>
          <w:tcPr>
            <w:tcW w:w="34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3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9,660</w:t>
            </w:r>
          </w:p>
        </w:tc>
        <w:tc>
          <w:tcPr>
            <w:tcW w:w="2300" w:type="dxa"/>
            <w:vAlign w:val="bottom"/>
          </w:tcPr>
          <w:p>
            <w:pPr>
              <w:spacing w:after="0"/>
              <w:rPr>
                <w:sz w:val="19"/>
                <w:szCs w:val="19"/>
                <w:color w:val="auto"/>
              </w:rPr>
            </w:pPr>
          </w:p>
        </w:tc>
      </w:tr>
      <w:tr>
        <w:trPr>
          <w:trHeight w:val="669"/>
        </w:trPr>
        <w:tc>
          <w:tcPr>
            <w:tcW w:w="2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80" w:type="dxa"/>
            <w:vAlign w:val="bottom"/>
          </w:tcPr>
          <w:p>
            <w:pPr>
              <w:jc w:val="right"/>
              <w:ind w:right="20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64" w:name="page65"/>
    <w:bookmarkEnd w:id="64"/>
    <w:p>
      <w:pPr>
        <w:ind w:left="520"/>
        <w:spacing w:after="0"/>
        <w:rPr>
          <w:sz w:val="20"/>
          <w:szCs w:val="20"/>
          <w:color w:val="auto"/>
        </w:rPr>
      </w:pPr>
      <w:r>
        <w:rPr>
          <w:rFonts w:ascii="Arial" w:cs="Arial" w:eastAsia="Arial" w:hAnsi="Arial"/>
          <w:sz w:val="18"/>
          <w:szCs w:val="18"/>
          <w:u w:val="single" w:color="auto"/>
          <w:color w:val="auto"/>
        </w:rPr>
        <w:t>Plan Assets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values of the Company’s noncontributory defined benefit retirement plan assets at the end of fiscal 2017 and fiscal 2016, by asset category,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color w:val="auto"/>
                <w:w w:val="91"/>
              </w:rPr>
              <w:t>Fair Value Measurement</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2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240"/>
              <w:spacing w:after="0" w:line="155" w:lineRule="exact"/>
              <w:rPr>
                <w:sz w:val="20"/>
                <w:szCs w:val="20"/>
                <w:color w:val="auto"/>
              </w:rPr>
            </w:pPr>
            <w:r>
              <w:rPr>
                <w:rFonts w:ascii="Arial" w:cs="Arial" w:eastAsia="Arial" w:hAnsi="Arial"/>
                <w:sz w:val="14"/>
                <w:szCs w:val="14"/>
                <w:color w:val="auto"/>
              </w:rPr>
              <w:t>February 3, 2018</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220"/>
              <w:spacing w:after="0" w:line="155" w:lineRule="exact"/>
              <w:rPr>
                <w:sz w:val="20"/>
                <w:szCs w:val="20"/>
                <w:color w:val="auto"/>
              </w:rPr>
            </w:pPr>
            <w:r>
              <w:rPr>
                <w:rFonts w:ascii="Arial" w:cs="Arial" w:eastAsia="Arial" w:hAnsi="Arial"/>
                <w:sz w:val="14"/>
                <w:szCs w:val="14"/>
                <w:color w:val="auto"/>
              </w:rPr>
              <w:t>January 28, 2017</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7"/>
        </w:trPr>
        <w:tc>
          <w:tcPr>
            <w:tcW w:w="2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3"/>
          </w:tcPr>
          <w:p>
            <w:pPr>
              <w:jc w:val="center"/>
              <w:ind w:right="220"/>
              <w:spacing w:after="0" w:line="137" w:lineRule="exact"/>
              <w:rPr>
                <w:sz w:val="20"/>
                <w:szCs w:val="20"/>
                <w:color w:val="auto"/>
              </w:rPr>
            </w:pPr>
            <w:r>
              <w:rPr>
                <w:rFonts w:ascii="Arial" w:cs="Arial" w:eastAsia="Arial" w:hAnsi="Arial"/>
                <w:sz w:val="14"/>
                <w:szCs w:val="14"/>
                <w:color w:val="auto"/>
                <w:w w:val="92"/>
              </w:rPr>
              <w:t>Quoted Prices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2"/>
              </w:rPr>
              <w:t>Quoted Prices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in Active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2"/>
              <w:spacing w:after="0" w:line="149" w:lineRule="exact"/>
              <w:rPr>
                <w:sz w:val="20"/>
                <w:szCs w:val="20"/>
                <w:color w:val="auto"/>
              </w:rPr>
            </w:pPr>
            <w:r>
              <w:rPr>
                <w:rFonts w:ascii="Arial" w:cs="Arial" w:eastAsia="Arial" w:hAnsi="Arial"/>
                <w:sz w:val="14"/>
                <w:szCs w:val="14"/>
                <w:color w:val="auto"/>
              </w:rPr>
              <w:t>in Active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7"/>
              </w:rPr>
              <w:t>Markets for</w:t>
            </w: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5"/>
              </w:rPr>
              <w:t>Significant</w:t>
            </w: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Significant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92"/>
              </w:rPr>
              <w:t>Markets</w:t>
            </w:r>
          </w:p>
        </w:tc>
        <w:tc>
          <w:tcPr>
            <w:tcW w:w="22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9"/>
              </w:rPr>
              <w:t>Significant</w:t>
            </w: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Significant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Identical</w:t>
            </w: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2"/>
              </w:rPr>
              <w:t>Observable</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0"/>
              </w:rPr>
              <w:t>Unobservable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for Identical</w:t>
            </w:r>
          </w:p>
        </w:tc>
        <w:tc>
          <w:tcPr>
            <w:tcW w:w="22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2"/>
              </w:rPr>
              <w:t>Observable</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0"/>
              </w:rPr>
              <w:t>Unobservable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Assets</w:t>
            </w: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Inputs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90"/>
              </w:rPr>
              <w:t>Assets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8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(Level 1)</w:t>
            </w:r>
          </w:p>
        </w:tc>
        <w:tc>
          <w:tcPr>
            <w:tcW w:w="1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2)</w:t>
            </w:r>
          </w:p>
        </w:tc>
        <w:tc>
          <w:tcPr>
            <w:tcW w:w="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3)</w:t>
            </w:r>
          </w:p>
        </w:tc>
        <w:tc>
          <w:tcPr>
            <w:tcW w:w="1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700" w:type="dxa"/>
            <w:vAlign w:val="bottom"/>
          </w:tcPr>
          <w:p>
            <w:pPr>
              <w:jc w:val="center"/>
              <w:ind w:right="42"/>
              <w:spacing w:after="0"/>
              <w:rPr>
                <w:sz w:val="20"/>
                <w:szCs w:val="20"/>
                <w:color w:val="auto"/>
              </w:rPr>
            </w:pPr>
            <w:r>
              <w:rPr>
                <w:rFonts w:ascii="Arial" w:cs="Arial" w:eastAsia="Arial" w:hAnsi="Arial"/>
                <w:sz w:val="14"/>
                <w:szCs w:val="14"/>
                <w:color w:val="auto"/>
                <w:w w:val="99"/>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(Level 2)</w:t>
            </w:r>
          </w:p>
        </w:tc>
        <w:tc>
          <w:tcPr>
            <w:tcW w:w="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3)</w:t>
            </w:r>
          </w:p>
        </w:tc>
        <w:tc>
          <w:tcPr>
            <w:tcW w:w="1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color w:val="auto"/>
              </w:rPr>
              <w:t>Total</w:t>
            </w:r>
          </w:p>
        </w:tc>
      </w:tr>
      <w:tr>
        <w:trPr>
          <w:trHeight w:val="210"/>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Asset category:</w:t>
            </w:r>
          </w:p>
        </w:tc>
        <w:tc>
          <w:tcPr>
            <w:tcW w:w="9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6"/>
                <w:szCs w:val="16"/>
                <w:color w:val="auto"/>
              </w:rPr>
              <w:t>Common Stock :</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800" w:type="dxa"/>
            <w:vAlign w:val="bottom"/>
            <w:shd w:val="clear" w:color="auto" w:fill="CFF0FC"/>
          </w:tcPr>
          <w:p>
            <w:pPr>
              <w:ind w:left="80"/>
              <w:spacing w:after="0"/>
              <w:rPr>
                <w:sz w:val="20"/>
                <w:szCs w:val="20"/>
                <w:color w:val="auto"/>
              </w:rPr>
            </w:pPr>
            <w:r>
              <w:rPr>
                <w:rFonts w:ascii="Arial" w:cs="Arial" w:eastAsia="Arial" w:hAnsi="Arial"/>
                <w:sz w:val="16"/>
                <w:szCs w:val="16"/>
                <w:color w:val="auto"/>
              </w:rPr>
              <w:t>U.S.</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w:t>
            </w:r>
          </w:p>
        </w:tc>
        <w:tc>
          <w:tcPr>
            <w:tcW w:w="60" w:type="dxa"/>
            <w:vAlign w:val="bottom"/>
            <w:shd w:val="clear" w:color="auto" w:fill="CFF0FC"/>
          </w:tcPr>
          <w:p>
            <w:pPr>
              <w:spacing w:after="0"/>
              <w:rPr>
                <w:sz w:val="19"/>
                <w:szCs w:val="19"/>
                <w:color w:val="auto"/>
              </w:rPr>
            </w:pPr>
          </w:p>
        </w:tc>
      </w:tr>
      <w:tr>
        <w:trPr>
          <w:trHeight w:val="213"/>
        </w:trPr>
        <w:tc>
          <w:tcPr>
            <w:tcW w:w="2800" w:type="dxa"/>
            <w:vAlign w:val="bottom"/>
          </w:tcPr>
          <w:p>
            <w:pPr>
              <w:ind w:left="80"/>
              <w:spacing w:after="0"/>
              <w:rPr>
                <w:sz w:val="20"/>
                <w:szCs w:val="20"/>
                <w:color w:val="auto"/>
              </w:rPr>
            </w:pPr>
            <w:r>
              <w:rPr>
                <w:rFonts w:ascii="Arial" w:cs="Arial" w:eastAsia="Arial" w:hAnsi="Arial"/>
                <w:sz w:val="16"/>
                <w:szCs w:val="16"/>
                <w:color w:val="auto"/>
              </w:rPr>
              <w:t>Foreign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210</w:t>
            </w:r>
          </w:p>
        </w:tc>
        <w:tc>
          <w:tcPr>
            <w:tcW w:w="60" w:type="dxa"/>
            <w:vAlign w:val="bottom"/>
          </w:tcPr>
          <w:p>
            <w:pPr>
              <w:spacing w:after="0"/>
              <w:rPr>
                <w:sz w:val="18"/>
                <w:szCs w:val="18"/>
                <w:color w:val="auto"/>
              </w:rPr>
            </w:pPr>
          </w:p>
        </w:tc>
      </w:tr>
      <w:tr>
        <w:trPr>
          <w:trHeight w:val="219"/>
        </w:trPr>
        <w:tc>
          <w:tcPr>
            <w:tcW w:w="2800" w:type="dxa"/>
            <w:vAlign w:val="bottom"/>
            <w:shd w:val="clear" w:color="auto" w:fill="CFF0FC"/>
          </w:tcPr>
          <w:p>
            <w:pPr>
              <w:spacing w:after="0"/>
              <w:rPr>
                <w:sz w:val="20"/>
                <w:szCs w:val="20"/>
                <w:color w:val="auto"/>
              </w:rPr>
            </w:pPr>
            <w:r>
              <w:rPr>
                <w:rFonts w:ascii="Arial" w:cs="Arial" w:eastAsia="Arial" w:hAnsi="Arial"/>
                <w:sz w:val="16"/>
                <w:szCs w:val="16"/>
                <w:color w:val="auto"/>
              </w:rPr>
              <w:t>Mutual Funds: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3"/>
        </w:trPr>
        <w:tc>
          <w:tcPr>
            <w:tcW w:w="2800" w:type="dxa"/>
            <w:vAlign w:val="bottom"/>
          </w:tcPr>
          <w:p>
            <w:pPr>
              <w:ind w:left="80"/>
              <w:spacing w:after="0"/>
              <w:rPr>
                <w:sz w:val="20"/>
                <w:szCs w:val="20"/>
                <w:color w:val="auto"/>
              </w:rPr>
            </w:pPr>
            <w:r>
              <w:rPr>
                <w:rFonts w:ascii="Arial" w:cs="Arial" w:eastAsia="Arial" w:hAnsi="Arial"/>
                <w:sz w:val="16"/>
                <w:szCs w:val="16"/>
                <w:color w:val="auto"/>
              </w:rPr>
              <w:t>U.S. Equity</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2,153</w:t>
            </w:r>
          </w:p>
        </w:tc>
        <w:tc>
          <w:tcPr>
            <w:tcW w:w="60" w:type="dxa"/>
            <w:vAlign w:val="bottom"/>
          </w:tcPr>
          <w:p>
            <w:pPr>
              <w:spacing w:after="0"/>
              <w:rPr>
                <w:sz w:val="18"/>
                <w:szCs w:val="18"/>
                <w:color w:val="auto"/>
              </w:rPr>
            </w:pPr>
          </w:p>
        </w:tc>
      </w:tr>
      <w:tr>
        <w:trPr>
          <w:trHeight w:val="219"/>
        </w:trPr>
        <w:tc>
          <w:tcPr>
            <w:tcW w:w="2800" w:type="dxa"/>
            <w:vAlign w:val="bottom"/>
            <w:shd w:val="clear" w:color="auto" w:fill="CFF0FC"/>
          </w:tcPr>
          <w:p>
            <w:pPr>
              <w:ind w:left="80"/>
              <w:spacing w:after="0"/>
              <w:rPr>
                <w:sz w:val="20"/>
                <w:szCs w:val="20"/>
                <w:color w:val="auto"/>
              </w:rPr>
            </w:pPr>
            <w:r>
              <w:rPr>
                <w:rFonts w:ascii="Arial" w:cs="Arial" w:eastAsia="Arial" w:hAnsi="Arial"/>
                <w:sz w:val="16"/>
                <w:szCs w:val="16"/>
                <w:color w:val="auto"/>
              </w:rPr>
              <w:t>International Equity</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2,039</w:t>
            </w:r>
          </w:p>
        </w:tc>
        <w:tc>
          <w:tcPr>
            <w:tcW w:w="60" w:type="dxa"/>
            <w:vAlign w:val="bottom"/>
            <w:shd w:val="clear" w:color="auto" w:fill="CFF0FC"/>
          </w:tcPr>
          <w:p>
            <w:pPr>
              <w:spacing w:after="0"/>
              <w:rPr>
                <w:sz w:val="19"/>
                <w:szCs w:val="19"/>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6"/>
                <w:szCs w:val="16"/>
                <w:color w:val="auto"/>
              </w:rPr>
              <w:t>Bond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4,418</w:t>
            </w:r>
          </w:p>
        </w:tc>
        <w:tc>
          <w:tcPr>
            <w:tcW w:w="60" w:type="dxa"/>
            <w:vAlign w:val="bottom"/>
          </w:tcPr>
          <w:p>
            <w:pPr>
              <w:spacing w:after="0"/>
              <w:rPr>
                <w:sz w:val="18"/>
                <w:szCs w:val="18"/>
                <w:color w:val="auto"/>
              </w:rPr>
            </w:pPr>
          </w:p>
        </w:tc>
      </w:tr>
      <w:tr>
        <w:trPr>
          <w:trHeight w:val="219"/>
        </w:trPr>
        <w:tc>
          <w:tcPr>
            <w:tcW w:w="2800" w:type="dxa"/>
            <w:vAlign w:val="bottom"/>
            <w:shd w:val="clear" w:color="auto" w:fill="CFF0FC"/>
          </w:tcPr>
          <w:p>
            <w:pPr>
              <w:spacing w:after="0"/>
              <w:rPr>
                <w:sz w:val="20"/>
                <w:szCs w:val="20"/>
                <w:color w:val="auto"/>
              </w:rPr>
            </w:pPr>
            <w:r>
              <w:rPr>
                <w:rFonts w:ascii="Arial" w:cs="Arial" w:eastAsia="Arial" w:hAnsi="Arial"/>
                <w:sz w:val="16"/>
                <w:szCs w:val="16"/>
                <w:color w:val="auto"/>
              </w:rPr>
              <w:t>Real Estate Investment Trust</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60" w:type="dxa"/>
            <w:vAlign w:val="bottom"/>
            <w:shd w:val="clear" w:color="auto" w:fill="CFF0FC"/>
          </w:tcPr>
          <w:p>
            <w:pPr>
              <w:spacing w:after="0"/>
              <w:rPr>
                <w:sz w:val="19"/>
                <w:szCs w:val="19"/>
                <w:color w:val="auto"/>
              </w:rPr>
            </w:pPr>
          </w:p>
        </w:tc>
      </w:tr>
      <w:tr>
        <w:trPr>
          <w:trHeight w:val="213"/>
        </w:trPr>
        <w:tc>
          <w:tcPr>
            <w:tcW w:w="2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w:t>
            </w:r>
          </w:p>
        </w:tc>
        <w:tc>
          <w:tcPr>
            <w:tcW w:w="9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60" w:type="dxa"/>
            <w:vAlign w:val="bottom"/>
            <w:tcBorders>
              <w:bottom w:val="single" w:sz="8" w:color="CFF0FC"/>
            </w:tcBorders>
          </w:tcPr>
          <w:p>
            <w:pPr>
              <w:spacing w:after="0"/>
              <w:rPr>
                <w:sz w:val="18"/>
                <w:szCs w:val="18"/>
                <w:color w:val="auto"/>
              </w:rPr>
            </w:pPr>
          </w:p>
        </w:tc>
      </w:tr>
      <w:tr>
        <w:trPr>
          <w:trHeight w:val="210"/>
        </w:trPr>
        <w:tc>
          <w:tcPr>
            <w:tcW w:w="280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9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12,855</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12,855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11,734</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11,734</w:t>
            </w:r>
          </w:p>
        </w:tc>
        <w:tc>
          <w:tcPr>
            <w:tcW w:w="6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 asset allocation for fiscal 2018 and its asset allocation at February 3, 2018 and January 28, 2017 were as follows, by asset category:</w:t>
      </w:r>
    </w:p>
    <w:p>
      <w:pPr>
        <w:spacing w:after="0" w:line="29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4"/>
                <w:szCs w:val="14"/>
                <w:color w:val="auto"/>
              </w:rPr>
              <w:t>Target Allocation</w:t>
            </w:r>
          </w:p>
        </w:tc>
        <w:tc>
          <w:tcPr>
            <w:tcW w:w="2860" w:type="dxa"/>
            <w:vAlign w:val="bottom"/>
            <w:gridSpan w:val="4"/>
          </w:tcPr>
          <w:p>
            <w:pPr>
              <w:jc w:val="right"/>
              <w:ind w:right="720"/>
              <w:spacing w:after="0"/>
              <w:rPr>
                <w:sz w:val="20"/>
                <w:szCs w:val="20"/>
                <w:color w:val="auto"/>
              </w:rPr>
            </w:pPr>
            <w:r>
              <w:rPr>
                <w:rFonts w:ascii="Arial" w:cs="Arial" w:eastAsia="Arial" w:hAnsi="Arial"/>
                <w:sz w:val="14"/>
                <w:szCs w:val="14"/>
                <w:color w:val="auto"/>
              </w:rPr>
              <w:t>Percentage of plan assets at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color w:val="auto"/>
              </w:rPr>
              <w:t>Fiscal 2018</w:t>
            </w:r>
          </w:p>
        </w:tc>
        <w:tc>
          <w:tcPr>
            <w:tcW w:w="150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February 3, 2018</w:t>
            </w: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January 28, 2017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top w:val="single" w:sz="8" w:color="CFF0FC"/>
            </w:tcBorders>
            <w:gridSpan w:val="2"/>
            <w:shd w:val="clear" w:color="auto" w:fill="CFF0FC"/>
          </w:tcPr>
          <w:p>
            <w:pPr>
              <w:spacing w:after="0" w:line="170" w:lineRule="exact"/>
              <w:rPr>
                <w:sz w:val="20"/>
                <w:szCs w:val="20"/>
                <w:color w:val="auto"/>
              </w:rPr>
            </w:pPr>
            <w:r>
              <w:rPr>
                <w:rFonts w:ascii="Arial" w:cs="Arial" w:eastAsia="Arial" w:hAnsi="Arial"/>
                <w:sz w:val="18"/>
                <w:szCs w:val="18"/>
                <w:color w:val="auto"/>
              </w:rPr>
              <w:t>Asset category:</w:t>
            </w:r>
          </w:p>
        </w:tc>
        <w:tc>
          <w:tcPr>
            <w:tcW w:w="15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CFF0FC"/>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65.7%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Debt securities</w:t>
            </w:r>
          </w:p>
        </w:tc>
        <w:tc>
          <w:tcPr>
            <w:tcW w:w="1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38.0%</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31.7%</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Cash</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vMerge w:val="continue"/>
            <w:shd w:val="clear" w:color="auto" w:fill="CFF0FC"/>
          </w:tcPr>
          <w:p>
            <w:pPr>
              <w:spacing w:after="0"/>
              <w:rPr>
                <w:sz w:val="18"/>
                <w:szCs w:val="18"/>
                <w:color w:val="auto"/>
              </w:rPr>
            </w:pPr>
          </w:p>
        </w:tc>
        <w:tc>
          <w:tcPr>
            <w:tcW w:w="1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4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Supplemental Executive Retirement Plan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Casual Male acquisition, the Company also assumed the liability of the Casual Male Supplemental Retirement Plan (the “SERP”).</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following table sets forth the SERP’s funded status at February 3, 2018 and January 28, 2017:</w:t>
      </w:r>
    </w:p>
    <w:p>
      <w:pPr>
        <w:spacing w:after="0" w:line="302"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5"/>
          </w:tcPr>
          <w:p>
            <w:pPr>
              <w:jc w:val="right"/>
              <w:ind w:right="280"/>
              <w:spacing w:after="0"/>
              <w:rPr>
                <w:sz w:val="20"/>
                <w:szCs w:val="20"/>
                <w:color w:val="auto"/>
              </w:rPr>
            </w:pPr>
            <w:r>
              <w:rPr>
                <w:rFonts w:ascii="Arial" w:cs="Arial" w:eastAsia="Arial" w:hAnsi="Arial"/>
                <w:sz w:val="14"/>
                <w:szCs w:val="14"/>
                <w:color w:val="auto"/>
                <w:w w:val="95"/>
              </w:rPr>
              <w:t>February 3, 2018</w:t>
            </w:r>
          </w:p>
        </w:tc>
        <w:tc>
          <w:tcPr>
            <w:tcW w:w="1220" w:type="dxa"/>
            <w:vAlign w:val="bottom"/>
            <w:gridSpan w:val="5"/>
          </w:tcPr>
          <w:p>
            <w:pPr>
              <w:jc w:val="right"/>
              <w:ind w:right="160"/>
              <w:spacing w:after="0"/>
              <w:rPr>
                <w:sz w:val="20"/>
                <w:szCs w:val="20"/>
                <w:color w:val="auto"/>
              </w:rPr>
            </w:pPr>
            <w:r>
              <w:rPr>
                <w:rFonts w:ascii="Arial" w:cs="Arial" w:eastAsia="Arial" w:hAnsi="Arial"/>
                <w:sz w:val="14"/>
                <w:szCs w:val="14"/>
                <w:color w:val="auto"/>
                <w:w w:val="96"/>
              </w:rPr>
              <w:t>January 28, 2017</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right"/>
              <w:ind w:right="300"/>
              <w:spacing w:after="0" w:line="155" w:lineRule="exact"/>
              <w:rPr>
                <w:sz w:val="20"/>
                <w:szCs w:val="20"/>
                <w:color w:val="auto"/>
              </w:rPr>
            </w:pPr>
            <w:r>
              <w:rPr>
                <w:rFonts w:ascii="Arial" w:cs="Arial" w:eastAsia="Arial" w:hAnsi="Arial"/>
                <w:sz w:val="14"/>
                <w:szCs w:val="14"/>
                <w:i w:val="1"/>
                <w:iCs w:val="1"/>
                <w:color w:val="auto"/>
              </w:rPr>
              <w:t>in thousands</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auto"/>
              </w:rPr>
              <w:t>Change in benefit obligation:</w:t>
            </w: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Balance at beginning of period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Interest costs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Actuarial gain</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(115)</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60" w:type="dxa"/>
            <w:vAlign w:val="bottom"/>
            <w:gridSpan w:val="8"/>
          </w:tcPr>
          <w:p>
            <w:pPr>
              <w:ind w:left="440"/>
              <w:spacing w:after="0"/>
              <w:rPr>
                <w:sz w:val="20"/>
                <w:szCs w:val="20"/>
                <w:color w:val="auto"/>
              </w:rPr>
            </w:pPr>
            <w:r>
              <w:rPr>
                <w:rFonts w:ascii="Arial" w:cs="Arial" w:eastAsia="Arial" w:hAnsi="Arial"/>
                <w:sz w:val="18"/>
                <w:szCs w:val="18"/>
                <w:color w:val="auto"/>
              </w:rPr>
              <w:t>Balance at end of year</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440" w:type="dxa"/>
            <w:vAlign w:val="bottom"/>
            <w:vMerge w:val="restart"/>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120" w:type="dxa"/>
            <w:vAlign w:val="bottom"/>
            <w:gridSpan w:val="7"/>
          </w:tcPr>
          <w:p>
            <w:pPr>
              <w:spacing w:after="0" w:line="189" w:lineRule="exact"/>
              <w:rPr>
                <w:sz w:val="20"/>
                <w:szCs w:val="20"/>
                <w:color w:val="auto"/>
              </w:rPr>
            </w:pPr>
            <w:r>
              <w:rPr>
                <w:rFonts w:ascii="Arial" w:cs="Arial" w:eastAsia="Arial" w:hAnsi="Arial"/>
                <w:sz w:val="18"/>
                <w:szCs w:val="18"/>
                <w:color w:val="auto"/>
              </w:rPr>
              <w:t>Change in fair value of plan assets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Employer contributions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60" w:type="dxa"/>
            <w:vAlign w:val="bottom"/>
            <w:gridSpan w:val="8"/>
          </w:tcPr>
          <w:p>
            <w:pPr>
              <w:ind w:left="440"/>
              <w:spacing w:after="0"/>
              <w:rPr>
                <w:sz w:val="20"/>
                <w:szCs w:val="20"/>
                <w:color w:val="auto"/>
              </w:rPr>
            </w:pPr>
            <w:r>
              <w:rPr>
                <w:rFonts w:ascii="Arial" w:cs="Arial" w:eastAsia="Arial" w:hAnsi="Arial"/>
                <w:sz w:val="18"/>
                <w:szCs w:val="18"/>
                <w:color w:val="auto"/>
              </w:rPr>
              <w:t>Balance at end of period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440" w:type="dxa"/>
            <w:vAlign w:val="bottom"/>
            <w:vMerge w:val="restart"/>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Projected benefit obligation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120" w:type="dxa"/>
            <w:vAlign w:val="bottom"/>
            <w:gridSpan w:val="7"/>
          </w:tcPr>
          <w:p>
            <w:pPr>
              <w:spacing w:after="0" w:line="189" w:lineRule="exact"/>
              <w:rPr>
                <w:sz w:val="20"/>
                <w:szCs w:val="20"/>
                <w:color w:val="auto"/>
              </w:rPr>
            </w:pPr>
            <w:r>
              <w:rPr>
                <w:rFonts w:ascii="Arial" w:cs="Arial" w:eastAsia="Arial" w:hAnsi="Arial"/>
                <w:sz w:val="18"/>
                <w:szCs w:val="18"/>
                <w:color w:val="auto"/>
              </w:rPr>
              <w:t>Reconciliation of Funded Status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Fair value of plan assets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tcBorders>
              <w:top w:val="single" w:sz="8" w:color="CFF0FC"/>
            </w:tcBorders>
            <w:gridSpan w:val="7"/>
            <w:shd w:val="clear" w:color="auto" w:fill="CFF0FC"/>
          </w:tcPr>
          <w:p>
            <w:pPr>
              <w:spacing w:after="0"/>
              <w:rPr>
                <w:sz w:val="20"/>
                <w:szCs w:val="20"/>
                <w:color w:val="auto"/>
              </w:rPr>
            </w:pPr>
            <w:r>
              <w:rPr>
                <w:rFonts w:ascii="Arial" w:cs="Arial" w:eastAsia="Arial" w:hAnsi="Arial"/>
                <w:sz w:val="18"/>
                <w:szCs w:val="18"/>
                <w:color w:val="auto"/>
              </w:rPr>
              <w:t>Unfunded Status</w:t>
            </w:r>
          </w:p>
        </w:tc>
        <w:tc>
          <w:tcPr>
            <w:tcW w:w="7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1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auto"/>
              </w:rPr>
              <w:t>Balance Sheet Classification</w:t>
            </w: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2060" w:type="dxa"/>
            <w:vAlign w:val="bottom"/>
            <w:tcBorders>
              <w:top w:val="single" w:sz="8" w:color="CFF0FC"/>
            </w:tcBorders>
            <w:gridSpan w:val="5"/>
          </w:tcPr>
          <w:p>
            <w:pPr>
              <w:spacing w:after="0"/>
              <w:rPr>
                <w:sz w:val="20"/>
                <w:szCs w:val="20"/>
                <w:color w:val="auto"/>
              </w:rPr>
            </w:pPr>
          </w:p>
        </w:tc>
        <w:tc>
          <w:tcPr>
            <w:tcW w:w="70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600" w:type="dxa"/>
            <w:vAlign w:val="bottom"/>
            <w:tcBorders>
              <w:top w:val="single" w:sz="8" w:color="CFF0FC"/>
            </w:tcBorders>
          </w:tcPr>
          <w:p>
            <w:pPr>
              <w:spacing w:after="0"/>
              <w:rPr>
                <w:sz w:val="20"/>
                <w:szCs w:val="20"/>
                <w:color w:val="auto"/>
              </w:rPr>
            </w:pPr>
          </w:p>
        </w:tc>
        <w:tc>
          <w:tcPr>
            <w:tcW w:w="460" w:type="dxa"/>
            <w:vAlign w:val="bottom"/>
            <w:tcBorders>
              <w:top w:val="single" w:sz="8" w:color="CFF0FC"/>
            </w:tcBorders>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FF0FC"/>
            </w:tcBorders>
          </w:tcPr>
          <w:p>
            <w:pPr>
              <w:spacing w:after="0"/>
              <w:rPr>
                <w:sz w:val="20"/>
                <w:szCs w:val="20"/>
                <w:color w:val="auto"/>
              </w:rPr>
            </w:pPr>
          </w:p>
        </w:tc>
        <w:tc>
          <w:tcPr>
            <w:tcW w:w="5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CFF0FC"/>
            </w:tcBorders>
          </w:tcPr>
          <w:p>
            <w:pPr>
              <w:spacing w:after="0"/>
              <w:rPr>
                <w:sz w:val="20"/>
                <w:szCs w:val="20"/>
                <w:color w:val="auto"/>
              </w:rPr>
            </w:pPr>
          </w:p>
        </w:tc>
        <w:tc>
          <w:tcPr>
            <w:tcW w:w="5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652</w:t>
            </w:r>
          </w:p>
        </w:tc>
        <w:tc>
          <w:tcPr>
            <w:tcW w:w="80" w:type="dxa"/>
            <w:vAlign w:val="bottom"/>
            <w:tcBorders>
              <w:top w:val="single" w:sz="8" w:color="CFF0FC"/>
            </w:tcBorders>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6640" w:type="dxa"/>
            <w:vAlign w:val="bottom"/>
            <w:gridSpan w:val="14"/>
          </w:tcPr>
          <w:p>
            <w:pPr>
              <w:jc w:val="right"/>
              <w:ind w:right="548"/>
              <w:spacing w:after="0"/>
              <w:rPr>
                <w:sz w:val="20"/>
                <w:szCs w:val="20"/>
                <w:color w:val="auto"/>
              </w:rPr>
            </w:pPr>
            <w:r>
              <w:rPr>
                <w:rFonts w:ascii="Arial" w:cs="Arial" w:eastAsia="Arial" w:hAnsi="Arial"/>
                <w:sz w:val="18"/>
                <w:szCs w:val="18"/>
                <w:color w:val="auto"/>
                <w:w w:val="89"/>
              </w:rPr>
              <w:t>Other changes recognized in other comprehensive loss, before taxes (</w:t>
            </w:r>
            <w:r>
              <w:rPr>
                <w:rFonts w:ascii="Arial" w:cs="Arial" w:eastAsia="Arial" w:hAnsi="Arial"/>
                <w:sz w:val="18"/>
                <w:szCs w:val="18"/>
                <w:i w:val="1"/>
                <w:iCs w:val="1"/>
                <w:color w:val="auto"/>
                <w:w w:val="89"/>
              </w:rPr>
              <w:t>in thousands</w:t>
            </w:r>
            <w:r>
              <w:rPr>
                <w:rFonts w:ascii="Arial" w:cs="Arial" w:eastAsia="Arial" w:hAnsi="Arial"/>
                <w:sz w:val="18"/>
                <w:szCs w:val="18"/>
                <w:color w:val="auto"/>
                <w:w w:val="89"/>
              </w:rPr>
              <w: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auto"/>
            </w:tcBorders>
            <w:vMerge w:val="restart"/>
          </w:tcPr>
          <w:p>
            <w:pPr>
              <w:spacing w:after="0"/>
              <w:rPr>
                <w:sz w:val="24"/>
                <w:szCs w:val="24"/>
                <w:color w:val="auto"/>
              </w:rPr>
            </w:pPr>
          </w:p>
        </w:tc>
        <w:tc>
          <w:tcPr>
            <w:tcW w:w="4700" w:type="dxa"/>
            <w:vAlign w:val="bottom"/>
            <w:tcBorders>
              <w:top w:val="single" w:sz="8" w:color="auto"/>
            </w:tcBorders>
            <w:gridSpan w:val="10"/>
            <w:vMerge w:val="restart"/>
          </w:tcPr>
          <w:p>
            <w:pPr>
              <w:spacing w:after="0"/>
              <w:rPr>
                <w:sz w:val="20"/>
                <w:szCs w:val="20"/>
                <w:color w:val="auto"/>
              </w:rPr>
            </w:pPr>
            <w:r>
              <w:rPr>
                <w:rFonts w:ascii="Arial" w:cs="Arial" w:eastAsia="Arial" w:hAnsi="Arial"/>
                <w:sz w:val="18"/>
                <w:szCs w:val="18"/>
                <w:color w:val="auto"/>
              </w:rPr>
              <w:t>Other changes recognized in other comprehensive loss,</w:t>
            </w: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w w:val="91"/>
              </w:rPr>
              <w:t>February 3, 2018</w:t>
            </w:r>
          </w:p>
        </w:tc>
        <w:tc>
          <w:tcPr>
            <w:tcW w:w="80" w:type="dxa"/>
            <w:vAlign w:val="bottom"/>
          </w:tcPr>
          <w:p>
            <w:pPr>
              <w:spacing w:after="0"/>
              <w:rPr>
                <w:sz w:val="24"/>
                <w:szCs w:val="24"/>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4"/>
                <w:szCs w:val="14"/>
                <w:color w:val="auto"/>
                <w:w w:val="92"/>
              </w:rPr>
              <w:t>January 28, 2017</w:t>
            </w:r>
          </w:p>
        </w:tc>
        <w:tc>
          <w:tcPr>
            <w:tcW w:w="80" w:type="dxa"/>
            <w:vAlign w:val="bottom"/>
          </w:tcPr>
          <w:p>
            <w:pPr>
              <w:spacing w:after="0"/>
              <w:rPr>
                <w:sz w:val="24"/>
                <w:szCs w:val="24"/>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4"/>
                <w:szCs w:val="14"/>
                <w:color w:val="auto"/>
                <w:w w:val="92"/>
              </w:rPr>
              <w:t>January 30, 2016</w:t>
            </w:r>
          </w:p>
        </w:tc>
        <w:tc>
          <w:tcPr>
            <w:tcW w:w="0" w:type="dxa"/>
            <w:vAlign w:val="bottom"/>
          </w:tcPr>
          <w:p>
            <w:pPr>
              <w:spacing w:after="0"/>
              <w:rPr>
                <w:sz w:val="1"/>
                <w:szCs w:val="1"/>
                <w:color w:val="auto"/>
              </w:rPr>
            </w:pPr>
          </w:p>
        </w:tc>
      </w:tr>
      <w:tr>
        <w:trPr>
          <w:trHeight w:val="183"/>
        </w:trPr>
        <w:tc>
          <w:tcPr>
            <w:tcW w:w="620" w:type="dxa"/>
            <w:vAlign w:val="bottom"/>
            <w:tcBorders>
              <w:top w:val="single" w:sz="8" w:color="auto"/>
            </w:tcBorders>
            <w:vMerge w:val="continue"/>
          </w:tcPr>
          <w:p>
            <w:pPr>
              <w:spacing w:after="0"/>
              <w:rPr>
                <w:sz w:val="15"/>
                <w:szCs w:val="15"/>
                <w:color w:val="auto"/>
              </w:rPr>
            </w:pPr>
          </w:p>
        </w:tc>
        <w:tc>
          <w:tcPr>
            <w:tcW w:w="4700" w:type="dxa"/>
            <w:vAlign w:val="bottom"/>
            <w:tcBorders>
              <w:top w:val="single" w:sz="8" w:color="auto"/>
            </w:tcBorders>
            <w:gridSpan w:val="10"/>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4"/>
          </w:tcPr>
          <w:p>
            <w:pPr>
              <w:jc w:val="right"/>
              <w:ind w:right="3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960" w:type="dxa"/>
            <w:vAlign w:val="bottom"/>
            <w:tcBorders>
              <w:top w:val="single" w:sz="8" w:color="auto"/>
            </w:tcBorders>
            <w:gridSpan w:val="8"/>
          </w:tcPr>
          <w:p>
            <w:pPr>
              <w:ind w:left="120"/>
              <w:spacing w:after="0" w:line="196" w:lineRule="exact"/>
              <w:rPr>
                <w:sz w:val="20"/>
                <w:szCs w:val="20"/>
                <w:color w:val="auto"/>
              </w:rPr>
            </w:pPr>
            <w:r>
              <w:rPr>
                <w:rFonts w:ascii="Arial" w:cs="Arial" w:eastAsia="Arial" w:hAnsi="Arial"/>
                <w:sz w:val="18"/>
                <w:szCs w:val="18"/>
                <w:color w:val="auto"/>
              </w:rPr>
              <w:t>before taxes:</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680" w:type="dxa"/>
            <w:vAlign w:val="bottom"/>
            <w:gridSpan w:val="9"/>
            <w:shd w:val="clear" w:color="auto" w:fill="CFF0FC"/>
          </w:tcPr>
          <w:p>
            <w:pPr>
              <w:spacing w:after="0"/>
              <w:rPr>
                <w:sz w:val="20"/>
                <w:szCs w:val="20"/>
                <w:color w:val="auto"/>
              </w:rPr>
            </w:pPr>
            <w:r>
              <w:rPr>
                <w:rFonts w:ascii="Arial" w:cs="Arial" w:eastAsia="Arial" w:hAnsi="Arial"/>
                <w:sz w:val="18"/>
                <w:szCs w:val="18"/>
                <w:color w:val="auto"/>
              </w:rPr>
              <w:t>Unrecognized losses at the beginning of the year</w:t>
            </w:r>
          </w:p>
        </w:tc>
        <w:tc>
          <w:tcPr>
            <w:tcW w:w="1320" w:type="dxa"/>
            <w:vAlign w:val="bottom"/>
            <w:gridSpan w:val="3"/>
            <w:shd w:val="clear" w:color="auto" w:fill="CFF0FC"/>
          </w:tcPr>
          <w:p>
            <w:pPr>
              <w:jc w:val="right"/>
              <w:ind w:right="46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7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3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9"/>
          </w:tcPr>
          <w:p>
            <w:pPr>
              <w:spacing w:after="0"/>
              <w:rPr>
                <w:sz w:val="20"/>
                <w:szCs w:val="20"/>
                <w:color w:val="auto"/>
              </w:rPr>
            </w:pPr>
            <w:r>
              <w:rPr>
                <w:rFonts w:ascii="Arial" w:cs="Arial" w:eastAsia="Arial" w:hAnsi="Arial"/>
                <w:sz w:val="18"/>
                <w:szCs w:val="18"/>
                <w:color w:val="auto"/>
              </w:rPr>
              <w:t>Net periodic pension cost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9"/>
            <w:shd w:val="clear" w:color="auto" w:fill="CFF0FC"/>
          </w:tcPr>
          <w:p>
            <w:pPr>
              <w:spacing w:after="0"/>
              <w:rPr>
                <w:sz w:val="20"/>
                <w:szCs w:val="20"/>
                <w:color w:val="auto"/>
              </w:rPr>
            </w:pPr>
            <w:r>
              <w:rPr>
                <w:rFonts w:ascii="Arial" w:cs="Arial" w:eastAsia="Arial" w:hAnsi="Arial"/>
                <w:sz w:val="18"/>
                <w:szCs w:val="18"/>
                <w:color w:val="auto"/>
              </w:rPr>
              <w:t>Employer contribution</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9"/>
          </w:tcPr>
          <w:p>
            <w:pPr>
              <w:spacing w:after="0"/>
              <w:rPr>
                <w:sz w:val="20"/>
                <w:szCs w:val="20"/>
                <w:color w:val="auto"/>
              </w:rPr>
            </w:pPr>
            <w:r>
              <w:rPr>
                <w:rFonts w:ascii="Arial" w:cs="Arial" w:eastAsia="Arial" w:hAnsi="Arial"/>
                <w:sz w:val="18"/>
                <w:szCs w:val="18"/>
                <w:color w:val="auto"/>
              </w:rPr>
              <w:t>Change in benefit obligations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top w:val="single" w:sz="8" w:color="CFF0FC"/>
              <w:bottom w:val="single" w:sz="8" w:color="CFF0FC"/>
            </w:tcBorders>
            <w:gridSpan w:val="9"/>
            <w:shd w:val="clear" w:color="auto" w:fill="CFF0FC"/>
          </w:tcPr>
          <w:p>
            <w:pPr>
              <w:spacing w:after="0"/>
              <w:rPr>
                <w:sz w:val="20"/>
                <w:szCs w:val="20"/>
                <w:color w:val="auto"/>
              </w:rPr>
            </w:pPr>
            <w:r>
              <w:rPr>
                <w:rFonts w:ascii="Arial" w:cs="Arial" w:eastAsia="Arial" w:hAnsi="Arial"/>
                <w:sz w:val="18"/>
                <w:szCs w:val="18"/>
                <w:color w:val="auto"/>
              </w:rPr>
              <w:t>Unrecognized losses at the end of year</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FF0FC"/>
          </w:tcPr>
          <w:p>
            <w:pPr>
              <w:jc w:val="right"/>
              <w:ind w:right="46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8"/>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3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Assumptions used to determine the benefit obligations as of February 3, 2018 and January 28, 2017 included a discount rate of 3.60% for fiscal 2017 and 4.00% for fiscal 2016. Assumptions used to determine the net periodic benefit cost for the years ended February 3, 2018, January 28, 2017 and January 30, 2016 included a discount rate of 3.60% for fiscal 2017, 4.00% for fiscal 2016 and 4.16% for fiscal 2015.</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As of January 1, 2015, employees who are 21 years of age or older are eligible to make deferrals after 6 months of employment and are eligible to receive a Company match after one year of employment and 1,000 hours.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$2.3 million, $2.2 million and $2.0 million of expense under this plan in fiscal 2017,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J. SELECTED QUARTERLY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columns may not foot due to rounding.)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color w:val="auto"/>
              </w:rPr>
              <w:t>SECOND</w:t>
            </w:r>
          </w:p>
        </w:tc>
        <w:tc>
          <w:tcPr>
            <w:tcW w:w="220" w:type="dxa"/>
            <w:vAlign w:val="bottom"/>
          </w:tcPr>
          <w:p>
            <w:pPr>
              <w:spacing w:after="0"/>
              <w:rPr>
                <w:sz w:val="14"/>
                <w:szCs w:val="14"/>
                <w:color w:val="auto"/>
              </w:rPr>
            </w:pPr>
          </w:p>
        </w:tc>
        <w:tc>
          <w:tcPr>
            <w:tcW w:w="1040" w:type="dxa"/>
            <w:vAlign w:val="bottom"/>
          </w:tcPr>
          <w:p>
            <w:pPr>
              <w:jc w:val="right"/>
              <w:ind w:right="372"/>
              <w:spacing w:after="0"/>
              <w:rPr>
                <w:sz w:val="20"/>
                <w:szCs w:val="20"/>
                <w:color w:val="auto"/>
              </w:rPr>
            </w:pPr>
            <w:r>
              <w:rPr>
                <w:rFonts w:ascii="Arial" w:cs="Arial" w:eastAsia="Arial" w:hAnsi="Arial"/>
                <w:sz w:val="14"/>
                <w:szCs w:val="14"/>
                <w:color w:val="auto"/>
              </w:rPr>
              <w:t>THIRD</w:t>
            </w:r>
          </w:p>
        </w:tc>
        <w:tc>
          <w:tcPr>
            <w:tcW w:w="20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color w:val="auto"/>
              </w:rPr>
              <w:t>FOURTH</w:t>
            </w:r>
          </w:p>
        </w:tc>
        <w:tc>
          <w:tcPr>
            <w:tcW w:w="3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FULL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color w:val="auto"/>
                <w:w w:val="99"/>
              </w:rPr>
              <w:t>QUARTER</w:t>
            </w:r>
          </w:p>
        </w:tc>
        <w:tc>
          <w:tcPr>
            <w:tcW w:w="22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color w:val="auto"/>
                <w:w w:val="99"/>
              </w:rPr>
              <w:t>QUARTER</w:t>
            </w:r>
          </w:p>
        </w:tc>
        <w:tc>
          <w:tcPr>
            <w:tcW w:w="220" w:type="dxa"/>
            <w:vAlign w:val="bottom"/>
          </w:tcPr>
          <w:p>
            <w:pPr>
              <w:spacing w:after="0"/>
              <w:rPr>
                <w:sz w:val="14"/>
                <w:szCs w:val="14"/>
                <w:color w:val="auto"/>
              </w:rPr>
            </w:pPr>
          </w:p>
        </w:tc>
        <w:tc>
          <w:tcPr>
            <w:tcW w:w="1040" w:type="dxa"/>
            <w:vAlign w:val="bottom"/>
          </w:tcPr>
          <w:p>
            <w:pPr>
              <w:jc w:val="right"/>
              <w:ind w:right="252"/>
              <w:spacing w:after="0"/>
              <w:rPr>
                <w:sz w:val="20"/>
                <w:szCs w:val="20"/>
                <w:color w:val="auto"/>
              </w:rPr>
            </w:pPr>
            <w:r>
              <w:rPr>
                <w:rFonts w:ascii="Arial" w:cs="Arial" w:eastAsia="Arial" w:hAnsi="Arial"/>
                <w:sz w:val="14"/>
                <w:szCs w:val="14"/>
                <w:color w:val="auto"/>
                <w:w w:val="99"/>
              </w:rPr>
              <w:t>QUARTER</w:t>
            </w:r>
          </w:p>
        </w:tc>
        <w:tc>
          <w:tcPr>
            <w:tcW w:w="20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color w:val="auto"/>
              </w:rPr>
              <w:t>QUARTER</w:t>
            </w:r>
          </w:p>
        </w:tc>
        <w:tc>
          <w:tcPr>
            <w:tcW w:w="3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gridSpan w:val="5"/>
          </w:tcPr>
          <w:p>
            <w:pPr>
              <w:jc w:val="right"/>
              <w:ind w:right="672"/>
              <w:spacing w:after="0"/>
              <w:rPr>
                <w:sz w:val="20"/>
                <w:szCs w:val="20"/>
                <w:color w:val="auto"/>
              </w:rPr>
            </w:pPr>
            <w:r>
              <w:rPr>
                <w:rFonts w:ascii="Arial" w:cs="Arial" w:eastAsia="Arial" w:hAnsi="Arial"/>
                <w:sz w:val="14"/>
                <w:szCs w:val="14"/>
                <w:i w:val="1"/>
                <w:iCs w:val="1"/>
                <w:color w:val="auto"/>
              </w:rPr>
              <w:t>(In Thousands, Except Per Share Data)</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FISCAL YEAR 2017</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107,629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121,125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103,700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135,522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48,688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55,817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44,813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61,039</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(2,872)</w:t>
            </w:r>
          </w:p>
        </w:tc>
        <w:tc>
          <w:tcPr>
            <w:tcW w:w="2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(4,835)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(5,100)</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before taxes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(5,706)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(5,960)</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(2,636)</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(5,706)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Loss per share –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FISCAL YEAR 2016</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107,891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117,875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101,871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122,646</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49,766</w:t>
            </w:r>
          </w:p>
        </w:tc>
        <w:tc>
          <w:tcPr>
            <w:tcW w:w="22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54,843</w:t>
            </w:r>
          </w:p>
        </w:tc>
        <w:tc>
          <w:tcPr>
            <w:tcW w:w="2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45,238</w:t>
            </w:r>
          </w:p>
        </w:tc>
        <w:tc>
          <w:tcPr>
            <w:tcW w:w="20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55,034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1,055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1,017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(3,639)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2,544</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1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(4,418)</w:t>
            </w:r>
          </w:p>
        </w:tc>
        <w:tc>
          <w:tcPr>
            <w:tcW w:w="20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1,823</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(4,452)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1,783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Company’s fiscal quarters are based on a retail cycle of 13 weeks. Fiscal 2017 was a 53-week year, therefore, the fourth quarter of fiscal 2017 was a 14-week period. Historically, and consistent with the retail industry, the Company has experienced seasonal fluctuations as it relates to its operating income and net income. Traditionally, a significant portion of the Company’s operating income and net income is generated in the fourth quarter, as a result of the holiday selling season.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SUBSEQUENT EVENT</w:t>
      </w:r>
    </w:p>
    <w:p>
      <w:pPr>
        <w:spacing w:after="0" w:line="13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March 23, 2018, the Company announced that David Levin, President and Chief Executive Officer, has informed the board of directors of his plan to retire as President, CEO and director of the Company by the end of 2018.</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this announcement, the Company and Mr. Levin have entered in a Transition Agreement (“Transition Agreement”) addressing Mr. Levin’s future retirement and related successor issues. The Transition Agreement modifies and supplements certain terms of Mr. Levin’s existing employment agreement with the Company (“Employment Agreement”), which currently provides for an employment term for Mr. Levin running through December 31, 2019.</w:t>
      </w:r>
    </w:p>
    <w:p>
      <w:pPr>
        <w:spacing w:after="0" w:line="2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terms of the Transition Agreement Mr. Levin will continue to serve as Chief Executive Officer until the earlier of December 31, 2018 or the date that the Company employs a full-time successor Chief Executive Officer (the “Transition Date”). As of the Transition Date, Mr. Levin will resign and retire as President and Chief Executive Officer and as a Director of the Company. After the Transition Date and through December 31, 2019, Mr. Levin shall remain employed by the Company to perform reasonable transition duties or other consulting activities or projects, unless his employment is terminated as provided for in the Employment Agreement. If the Company employs a new Chief Executive Officer prior to December 31, 2018, Mr. Levin may elect to terminate his employment for “good reason” within ten days and will receive the payments provided for under the Employment Agreement as a result of such separation. Apart from this time period, Mr. Levin has no other opportunity to terminate his employment for “good reason.”</w:t>
      </w:r>
    </w:p>
    <w:p>
      <w:pPr>
        <w:spacing w:after="0" w:line="20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If Mr. Levin remains employed after the Transition Date, he will perform transition duties and projects as requested through December 31, 2019 and continue to receive all compensation otherwise due him under the Employment Agreement. With respect to his ongoing employment through December 31, 2019, payments associated with Mr. Levin’s incentive awards for the fiscal year ending February 2, 2019 will be based on actual performance results and payments associated with his incentive awards for the fiscal year ending February 1, 2020 will be paid at target (regardless of actual performance). If there is a change in control of the Company while Mr. Levin remains employed, payments that would have otherwise been due him through December 31, 2019 shall be paid to him in a lump sum (with a limited gross up). So long as Mr. Levin remains employed through December 31, 2019 the vesting of his outstanding long term incentive awards will be treated based on the retirement provisions of the applicable plans.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Except as otherwise modified by the Transition Agreement, Mr. Levin remains subject to the provisions of the Employment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Agreement, including various restrictive covenants. The applicable restricted periods associated with those covenants commence on the earlier of December 31, 2018 or when his employment is terminated. Except as addressed in the Transition Agreement, the provisions of the Employment Agreement relating to any termination as a result of disability, death, resignation or with or without cause remain in effect. All payment obligations of the Company remain subject to Mr. Levin executing a general release within thirty days of the execution of the Transition Agreement and again within thirty days of his termination of employment.</w:t>
      </w:r>
    </w:p>
    <w:p>
      <w:pPr>
        <w:spacing w:after="0" w:line="319" w:lineRule="exact"/>
        <w:rPr>
          <w:sz w:val="20"/>
          <w:szCs w:val="20"/>
          <w:color w:val="auto"/>
        </w:rPr>
      </w:pPr>
    </w:p>
    <w:p>
      <w:pPr>
        <w:ind w:right="402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February 3, 2018. Based on this evaluation, our Chief Executive Officer and Chief Financial Officer concluded that, as of February 3, 2018, our disclosure controls and procedures were effective.</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46" w:lineRule="exact"/>
        <w:rPr>
          <w:sz w:val="20"/>
          <w:szCs w:val="20"/>
          <w:color w:val="auto"/>
        </w:rPr>
      </w:pPr>
    </w:p>
    <w:p>
      <w:pPr>
        <w:ind w:left="1240" w:hanging="221"/>
        <w:spacing w:after="0"/>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520" w:right="200" w:firstLine="499"/>
        <w:spacing w:after="0" w:line="264"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3" w:lineRule="exact"/>
        <w:rPr>
          <w:rFonts w:ascii="Arial" w:cs="Arial" w:eastAsia="Arial" w:hAnsi="Arial"/>
          <w:sz w:val="18"/>
          <w:szCs w:val="18"/>
          <w:color w:val="auto"/>
        </w:rPr>
      </w:pPr>
    </w:p>
    <w:p>
      <w:pPr>
        <w:ind w:left="520" w:right="140" w:firstLine="499"/>
        <w:spacing w:after="0" w:line="277" w:lineRule="auto"/>
        <w:tabs>
          <w:tab w:leader="none" w:pos="13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February 3, 2018. In making this assessment, management used the criteria set forth by the Committee of Sponsoring Organizations of the Treadway Commission (COSO) in Internal Control- Integrated Framework (2013).</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Based on management’s assessment and the above mentioned criteria, management determined that we maintained effective internal control over financial reporting as of February 3, 2018.</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KPMG, LLP, our independent registered public accounting firm, has issued an audit report on our internal control over financial reporting as of February 3, 2018, which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287" w:right="31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audited Destination XL Group, Inc. and subsidiaries’ (the Company) internal control over financial reporting as of February 3, 2018, based on criteria established in Internal Control – Integrated Framework (2013) issued by the Committee of Sponsoring Organizations of the Treadway Commission. In our opinion, the Company maintained, in all material respects, effective internal control over financial reporting as of February 3, 2018, based on criteria established in Internal Control – Integrated Framework (2013) issued by the Committee of Sponsoring Organizations of the Treadway Commission.</w:t>
      </w:r>
    </w:p>
    <w:p>
      <w:pPr>
        <w:spacing w:after="0" w:line="15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February 3, 2018 and January 28, 2017, the related consolidated statements of operations, comprehensive income (loss), changes in stockholders’ equity, and cash flows for each of the years in the three-year period ended February 3, 2018, and the related notes (collectively, the consolidated financial statements), and our report dated March 23, 2018 expressed an unqualified opinion on those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February 3, 2018 that has materially affected, or is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571" w:right="53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February 3, 2018 in connection with our 2018 Annual Meeting of Stockholders.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3,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3,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3,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3,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43" w:right="279" w:bottom="1440" w:gutter="0" w:footer="0" w:header="0"/>
        </w:sectPr>
      </w:pPr>
    </w:p>
    <w:bookmarkStart w:id="71" w:name="page72"/>
    <w:bookmarkEnd w:id="71"/>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15(a)(1) Financial Statements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39 of this Annual Report.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15(a)(2) Financial Statement Schedules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73 of this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243" w:right="35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Index to Exhibits</w:t>
      </w:r>
    </w:p>
    <w:p>
      <w:pPr>
        <w:sectPr>
          <w:pgSz w:w="11900" w:h="16838" w:orient="portrait"/>
          <w:cols w:equalWidth="0" w:num="1">
            <w:col w:w="11440"/>
          </w:cols>
          <w:pgMar w:left="240" w:top="243" w:right="21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1"/>
              </w:rPr>
              <w:t>Exhibits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91"/>
        </w:trPr>
        <w:tc>
          <w:tcPr>
            <w:tcW w:w="1040" w:type="dxa"/>
            <w:vAlign w:val="bottom"/>
          </w:tcPr>
          <w:p>
            <w:pPr>
              <w:jc w:val="right"/>
              <w:ind w:right="5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EE"/>
                <w:w w:val="93"/>
              </w:rPr>
            </w:pPr>
            <w:hyperlink r:id="rId102">
              <w:r>
                <w:rPr>
                  <w:rFonts w:ascii="Arial" w:cs="Arial" w:eastAsia="Arial" w:hAnsi="Arial"/>
                  <w:sz w:val="18"/>
                  <w:szCs w:val="18"/>
                  <w:color w:val="0000EE"/>
                  <w:w w:val="93"/>
                </w:rPr>
                <w:t>Restated Certificate of Incorporation of the Company (conformed copy incorporating all amendments through February 25, 2013)</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(included as Exhibit 3.1 to the Company’s Annual Report on Form 10-K filed March 20, 2017, and incorporated herein by</w:t>
              </w:r>
            </w:hyperlink>
          </w:p>
        </w:tc>
        <w:tc>
          <w:tcPr>
            <w:tcW w:w="540" w:type="dxa"/>
            <w:vAlign w:val="bottom"/>
            <w:tcBorders>
              <w:top w:val="single" w:sz="8" w:color="0000EE"/>
            </w:tcBorders>
            <w:gridSpan w:val="6"/>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gridSpan w:val="22"/>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040" w:type="dxa"/>
            <w:vAlign w:val="bottom"/>
          </w:tcPr>
          <w:p>
            <w:pPr>
              <w:jc w:val="right"/>
              <w:ind w:right="53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Fourth Amended and Restated By-Laws (included as Exhibit 3.1 to the Company’s Current Report on Form 8-K filed on June 18,</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2015, and incorporated herein by reference).</w:t>
              </w:r>
            </w:hyperlink>
          </w:p>
        </w:tc>
        <w:tc>
          <w:tcPr>
            <w:tcW w:w="6120" w:type="dxa"/>
            <w:vAlign w:val="bottom"/>
            <w:tcBorders>
              <w:top w:val="single" w:sz="8" w:color="0000EE"/>
            </w:tcBorders>
            <w:gridSpan w:val="14"/>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45"/>
        </w:trPr>
        <w:tc>
          <w:tcPr>
            <w:tcW w:w="1040" w:type="dxa"/>
            <w:vAlign w:val="bottom"/>
          </w:tcPr>
          <w:p>
            <w:pPr>
              <w:jc w:val="right"/>
              <w:ind w:right="53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560" w:type="dxa"/>
            <w:vAlign w:val="bottom"/>
            <w:tcBorders>
              <w:bottom w:val="single" w:sz="8" w:color="0000EE"/>
            </w:tcBorders>
            <w:gridSpan w:val="22"/>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Company’s 2006 Incentive Compensation Plan, as amended (included as Exhibit 10.3 to the Company’s Annual Report on Form 10-</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gridSpan w:val="22"/>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K filed March 17, 2014,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040" w:type="dxa"/>
            <w:vAlign w:val="bottom"/>
          </w:tcPr>
          <w:p>
            <w:pPr>
              <w:jc w:val="right"/>
              <w:ind w:right="53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500" w:type="dxa"/>
            <w:vAlign w:val="bottom"/>
            <w:tcBorders>
              <w:bottom w:val="single" w:sz="8" w:color="0000EE"/>
            </w:tcBorders>
            <w:gridSpan w:val="20"/>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Company’s 2016 Incentive Compensation Plan, as amended (included as Exhibit 10.1 to the Company’s Current Report on Form 8-</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K filed on August 8, 2016, and incorporated herein by reference).</w:t>
              </w:r>
            </w:hyperlink>
          </w:p>
        </w:tc>
        <w:tc>
          <w:tcPr>
            <w:tcW w:w="4820" w:type="dxa"/>
            <w:vAlign w:val="bottom"/>
            <w:gridSpan w:val="16"/>
          </w:tcPr>
          <w:p>
            <w:pPr>
              <w:spacing w:after="0"/>
              <w:rPr>
                <w:sz w:val="17"/>
                <w:szCs w:val="17"/>
                <w:color w:val="auto"/>
              </w:rPr>
            </w:pPr>
          </w:p>
        </w:tc>
      </w:tr>
      <w:tr>
        <w:trPr>
          <w:trHeight w:val="426"/>
        </w:trPr>
        <w:tc>
          <w:tcPr>
            <w:tcW w:w="1040" w:type="dxa"/>
            <w:vAlign w:val="bottom"/>
          </w:tcPr>
          <w:p>
            <w:pPr>
              <w:jc w:val="right"/>
              <w:ind w:right="53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520" w:type="dxa"/>
            <w:vAlign w:val="bottom"/>
            <w:tcBorders>
              <w:bottom w:val="single" w:sz="8" w:color="0000EE"/>
            </w:tcBorders>
            <w:gridSpan w:val="21"/>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Form of Non-Qualified Option Agreement for Associates (included as Exhibit 10.3 to the Company’s Annual Report on Form 10-K</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filed March 20, 2017, and incorporated herein by reference).</w:t>
              </w:r>
            </w:hyperlink>
          </w:p>
        </w:tc>
        <w:tc>
          <w:tcPr>
            <w:tcW w:w="5180" w:type="dxa"/>
            <w:vAlign w:val="bottom"/>
            <w:gridSpan w:val="18"/>
          </w:tcPr>
          <w:p>
            <w:pPr>
              <w:spacing w:after="0"/>
              <w:rPr>
                <w:sz w:val="17"/>
                <w:szCs w:val="17"/>
                <w:color w:val="auto"/>
              </w:rPr>
            </w:pPr>
          </w:p>
        </w:tc>
      </w:tr>
      <w:tr>
        <w:trPr>
          <w:trHeight w:val="331"/>
        </w:trPr>
        <w:tc>
          <w:tcPr>
            <w:tcW w:w="1040" w:type="dxa"/>
            <w:vAlign w:val="bottom"/>
          </w:tcPr>
          <w:p>
            <w:pPr>
              <w:jc w:val="right"/>
              <w:ind w:right="5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EE"/>
                <w:w w:val="96"/>
              </w:rPr>
            </w:pPr>
            <w:hyperlink r:id="rId107">
              <w:r>
                <w:rPr>
                  <w:rFonts w:ascii="Arial" w:cs="Arial" w:eastAsia="Arial" w:hAnsi="Arial"/>
                  <w:sz w:val="18"/>
                  <w:szCs w:val="18"/>
                  <w:color w:val="0000EE"/>
                  <w:w w:val="96"/>
                </w:rPr>
                <w:t>Form of Non-Qualified Option Agreement for Associates (pursuant to the Company’s Long-Term Incentive Plan) (included as</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00" w:type="dxa"/>
            <w:vAlign w:val="bottom"/>
            <w:tcBorders>
              <w:top w:val="single" w:sz="8" w:color="0000EE"/>
            </w:tcBorders>
            <w:gridSpan w:val="13"/>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Exhibit 10.4 to the Company’s Annual Report on Form 10-K filed March 20, 2017, and incorporated herein by reference).</w:t>
              </w:r>
            </w:hyperlink>
          </w:p>
        </w:tc>
        <w:tc>
          <w:tcPr>
            <w:tcW w:w="46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5"/>
        </w:trPr>
        <w:tc>
          <w:tcPr>
            <w:tcW w:w="1040" w:type="dxa"/>
            <w:vAlign w:val="bottom"/>
          </w:tcPr>
          <w:p>
            <w:pPr>
              <w:jc w:val="right"/>
              <w:ind w:right="53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480" w:type="dxa"/>
            <w:vAlign w:val="bottom"/>
            <w:tcBorders>
              <w:bottom w:val="single" w:sz="8" w:color="0000EE"/>
            </w:tcBorders>
            <w:gridSpan w:val="19"/>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Form of Restricted Stock Agreement for Associates (included as Exhibit 10.5 to the Company’s Annual Report on Form 10-K filed</w:t>
              </w:r>
            </w:hyperlink>
          </w:p>
        </w:tc>
        <w:tc>
          <w:tcPr>
            <w:tcW w:w="8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March 20, 2017, and incorporated herein by reference).</w:t>
              </w:r>
            </w:hyperlink>
          </w:p>
        </w:tc>
        <w:tc>
          <w:tcPr>
            <w:tcW w:w="5560" w:type="dxa"/>
            <w:vAlign w:val="bottom"/>
            <w:gridSpan w:val="19"/>
          </w:tcPr>
          <w:p>
            <w:pPr>
              <w:spacing w:after="0"/>
              <w:rPr>
                <w:sz w:val="17"/>
                <w:szCs w:val="17"/>
                <w:color w:val="auto"/>
              </w:rPr>
            </w:pPr>
          </w:p>
        </w:tc>
      </w:tr>
      <w:tr>
        <w:trPr>
          <w:trHeight w:val="358"/>
        </w:trPr>
        <w:tc>
          <w:tcPr>
            <w:tcW w:w="1040" w:type="dxa"/>
            <w:vAlign w:val="bottom"/>
          </w:tcPr>
          <w:p>
            <w:pPr>
              <w:jc w:val="right"/>
              <w:ind w:right="53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280" w:type="dxa"/>
            <w:vAlign w:val="bottom"/>
            <w:tcBorders>
              <w:bottom w:val="single" w:sz="8" w:color="0000EE"/>
            </w:tcBorders>
            <w:gridSpan w:val="14"/>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Form of Restricted Stock Agreement for Associates (pursuant to the Company’s Long-Term Incentive Plan) (included as Exhibit</w:t>
              </w:r>
            </w:hyperlink>
          </w:p>
        </w:tc>
        <w:tc>
          <w:tcPr>
            <w:tcW w:w="28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r>
                <w:rPr>
                  <w:rFonts w:ascii="Arial" w:cs="Arial" w:eastAsia="Arial" w:hAnsi="Arial"/>
                  <w:sz w:val="18"/>
                  <w:szCs w:val="18"/>
                  <w:color w:val="0000EE"/>
                  <w:w w:val="91"/>
                </w:rPr>
                <w:t xml:space="preserve"> to the Company’s Annual Report on Form 10-K filed March 20, 2017, and incorporated herein by reference).</w:t>
              </w:r>
            </w:hyperlink>
          </w:p>
        </w:tc>
        <w:tc>
          <w:tcPr>
            <w:tcW w:w="1320" w:type="dxa"/>
            <w:vAlign w:val="bottom"/>
            <w:gridSpan w:val="13"/>
          </w:tcPr>
          <w:p>
            <w:pPr>
              <w:spacing w:after="0"/>
              <w:rPr>
                <w:sz w:val="17"/>
                <w:szCs w:val="17"/>
                <w:color w:val="auto"/>
              </w:rPr>
            </w:pPr>
          </w:p>
        </w:tc>
      </w:tr>
      <w:tr>
        <w:trPr>
          <w:trHeight w:val="385"/>
        </w:trPr>
        <w:tc>
          <w:tcPr>
            <w:tcW w:w="1040" w:type="dxa"/>
            <w:vAlign w:val="bottom"/>
          </w:tcPr>
          <w:p>
            <w:pPr>
              <w:jc w:val="right"/>
              <w:ind w:right="53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9460" w:type="dxa"/>
            <w:vAlign w:val="bottom"/>
            <w:tcBorders>
              <w:bottom w:val="single" w:sz="8" w:color="0000EE"/>
            </w:tcBorders>
            <w:gridSpan w:val="18"/>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Restricted Stock Unit Agreement for Associates (included as Exhibit 10.7 to the Company’s Annual Report on Form 10-K</w:t>
              </w:r>
            </w:hyperlink>
          </w:p>
        </w:tc>
        <w:tc>
          <w:tcPr>
            <w:tcW w:w="10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filed March 20, 2017, and incorporated herein by reference).</w:t>
              </w:r>
            </w:hyperlink>
          </w:p>
        </w:tc>
        <w:tc>
          <w:tcPr>
            <w:tcW w:w="5180" w:type="dxa"/>
            <w:vAlign w:val="bottom"/>
            <w:gridSpan w:val="18"/>
          </w:tcPr>
          <w:p>
            <w:pPr>
              <w:spacing w:after="0"/>
              <w:rPr>
                <w:sz w:val="17"/>
                <w:szCs w:val="17"/>
                <w:color w:val="auto"/>
              </w:rPr>
            </w:pPr>
          </w:p>
        </w:tc>
      </w:tr>
      <w:tr>
        <w:trPr>
          <w:trHeight w:val="331"/>
        </w:trPr>
        <w:tc>
          <w:tcPr>
            <w:tcW w:w="1040" w:type="dxa"/>
            <w:vAlign w:val="bottom"/>
          </w:tcPr>
          <w:p>
            <w:pPr>
              <w:jc w:val="right"/>
              <w:ind w:right="53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EE"/>
                <w:w w:val="96"/>
              </w:rPr>
            </w:pPr>
            <w:hyperlink r:id="rId111">
              <w:r>
                <w:rPr>
                  <w:rFonts w:ascii="Arial" w:cs="Arial" w:eastAsia="Arial" w:hAnsi="Arial"/>
                  <w:sz w:val="18"/>
                  <w:szCs w:val="18"/>
                  <w:color w:val="0000EE"/>
                  <w:w w:val="96"/>
                </w:rPr>
                <w:t>Form of Restricted Stock Unit Agreement for Associates (pursuant to the Company’s Long-Term Incentive Plan) (included as</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6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Exhibit 10.8 to the Company’s Annual Report on Form 10-K filed March 20, 2017, and incorporated herein by reference).</w:t>
              </w:r>
            </w:hyperlink>
          </w:p>
        </w:tc>
        <w:tc>
          <w:tcPr>
            <w:tcW w:w="50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7"/>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040" w:type="dxa"/>
            <w:vAlign w:val="bottom"/>
          </w:tcPr>
          <w:p>
            <w:pPr>
              <w:jc w:val="right"/>
              <w:ind w:right="53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9500" w:type="dxa"/>
            <w:vAlign w:val="bottom"/>
            <w:tcBorders>
              <w:bottom w:val="single" w:sz="8" w:color="0000EE"/>
            </w:tcBorders>
            <w:gridSpan w:val="20"/>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Form of Deferred Stock Award Agreement for Non-Employee Directors (included as Exhibit 10.9 to the Company’s Annual Report</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gridSpan w:val="22"/>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on Form 10-K filed March 20, 2017,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7"/>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331"/>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62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Company’s Third Amended and Restated Non-Employee Director Compensation Plan.</w:t>
              </w:r>
            </w:hyperlink>
          </w:p>
        </w:tc>
        <w:tc>
          <w:tcPr>
            <w:tcW w:w="3280" w:type="dxa"/>
            <w:vAlign w:val="bottom"/>
            <w:gridSpan w:val="14"/>
          </w:tcPr>
          <w:p>
            <w:pPr>
              <w:spacing w:after="0"/>
              <w:rPr>
                <w:sz w:val="24"/>
                <w:szCs w:val="24"/>
                <w:color w:val="auto"/>
              </w:rPr>
            </w:pPr>
          </w:p>
        </w:tc>
      </w:tr>
      <w:tr>
        <w:trPr>
          <w:trHeight w:val="318"/>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9560" w:type="dxa"/>
            <w:vAlign w:val="bottom"/>
            <w:gridSpan w:val="22"/>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Sixth Amended and Restated Loan and Security Agreement dated November 10, 2010, by and among Bank of America, N.A., as</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Administrative Agent and Collateral Agent, the Revolving Credit Lenders identified therein, the Company, as Borrowers’</w:t>
              </w:r>
            </w:hyperlink>
          </w:p>
        </w:tc>
        <w:tc>
          <w:tcPr>
            <w:tcW w:w="500" w:type="dxa"/>
            <w:vAlign w:val="bottom"/>
            <w:tcBorders>
              <w:top w:val="single" w:sz="8" w:color="0000EE"/>
            </w:tcBorders>
            <w:gridSpan w:val="5"/>
          </w:tcPr>
          <w:p>
            <w:pPr>
              <w:spacing w:after="0"/>
              <w:rPr>
                <w:sz w:val="17"/>
                <w:szCs w:val="17"/>
                <w:color w:val="auto"/>
              </w:rPr>
            </w:pPr>
          </w:p>
        </w:tc>
        <w:tc>
          <w:tcPr>
            <w:tcW w:w="260" w:type="dxa"/>
            <w:vAlign w:val="bottom"/>
            <w:gridSpan w:val="7"/>
          </w:tcPr>
          <w:p>
            <w:pPr>
              <w:spacing w:after="0"/>
              <w:rPr>
                <w:sz w:val="17"/>
                <w:szCs w:val="17"/>
                <w:color w:val="auto"/>
              </w:rPr>
            </w:pPr>
          </w:p>
        </w:tc>
      </w:tr>
    </w:tbl>
    <w:p>
      <w:pPr>
        <w:spacing w:after="0" w:line="13" w:lineRule="exact"/>
        <w:rPr>
          <w:sz w:val="20"/>
          <w:szCs w:val="20"/>
          <w:color w:val="auto"/>
        </w:rPr>
      </w:pPr>
    </w:p>
    <w:p>
      <w:pPr>
        <w:ind w:left="1160" w:right="380"/>
        <w:spacing w:after="0" w:line="308" w:lineRule="auto"/>
        <w:rPr>
          <w:rFonts w:ascii="Arial" w:cs="Arial" w:eastAsia="Arial" w:hAnsi="Arial"/>
          <w:sz w:val="17"/>
          <w:szCs w:val="17"/>
          <w:u w:val="single" w:color="auto"/>
          <w:color w:val="0000EE"/>
        </w:rPr>
      </w:pPr>
      <w:hyperlink r:id="rId113">
        <w:r>
          <w:rPr>
            <w:rFonts w:ascii="Arial" w:cs="Arial" w:eastAsia="Arial" w:hAnsi="Arial"/>
            <w:sz w:val="17"/>
            <w:szCs w:val="17"/>
            <w:u w:val="single" w:color="auto"/>
            <w:color w:val="0000EE"/>
          </w:rPr>
          <w:t>Representative, and the Company and CMRG Apparel, LLC, as Borrowers (included as Exhibit 10.1 to the Company’s Current</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Report on Form 8-K/A filed on January 7, 2011 (File No. 001-34219), and incorporated herein by reference).</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4"/>
          <w:szCs w:val="14"/>
          <w:color w:val="auto"/>
        </w:rPr>
        <w:t>†</w:t>
      </w:r>
    </w:p>
    <w:p>
      <w:pPr>
        <w:spacing w:after="0" w:line="3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26" w:lineRule="exact"/>
        <w:rPr>
          <w:sz w:val="20"/>
          <w:szCs w:val="20"/>
          <w:color w:val="auto"/>
        </w:rPr>
      </w:pPr>
    </w:p>
    <w:p>
      <w:pPr>
        <w:sectPr>
          <w:pgSz w:w="11900" w:h="16838" w:orient="portrait"/>
          <w:cols w:equalWidth="0" w:num="2">
            <w:col w:w="10720" w:space="320"/>
            <w:col w:w="400"/>
          </w:cols>
          <w:pgMar w:left="240" w:top="243"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10.12</w:t>
            </w:r>
          </w:p>
        </w:tc>
        <w:tc>
          <w:tcPr>
            <w:tcW w:w="9720" w:type="dxa"/>
            <w:vAlign w:val="bottom"/>
            <w:gridSpan w:val="10"/>
          </w:tcPr>
          <w:p>
            <w:pPr>
              <w:spacing w:after="0"/>
              <w:rPr>
                <w:rFonts w:ascii="Arial" w:cs="Arial" w:eastAsia="Arial" w:hAnsi="Arial"/>
                <w:sz w:val="18"/>
                <w:szCs w:val="18"/>
                <w:color w:val="0000EE"/>
                <w:w w:val="96"/>
              </w:rPr>
            </w:pPr>
            <w:hyperlink r:id="rId114">
              <w:r>
                <w:rPr>
                  <w:rFonts w:ascii="Arial" w:cs="Arial" w:eastAsia="Arial" w:hAnsi="Arial"/>
                  <w:sz w:val="18"/>
                  <w:szCs w:val="18"/>
                  <w:color w:val="0000EE"/>
                  <w:w w:val="96"/>
                </w:rPr>
                <w:t>First Amendment to Sixth Amended and Restated Loan and Security Agreement, First Amendment to Amended and Restated</w:t>
              </w:r>
            </w:hyperlink>
          </w:p>
        </w:tc>
        <w:tc>
          <w:tcPr>
            <w:tcW w:w="5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720" w:type="dxa"/>
            <w:vAlign w:val="bottom"/>
            <w:gridSpan w:val="10"/>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Guaranty, First Amendment to Amended and Restated Security Agreement and Termination Agreement dated June 26, 2013, by and</w:t>
              </w:r>
            </w:hyperlink>
          </w:p>
        </w:tc>
        <w:tc>
          <w:tcPr>
            <w:tcW w:w="5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among Bank of America, N.A., as Administrative Agent and Collateral Agent, the Revolving Credit Lenders identified therein, the</w:t>
              </w:r>
            </w:hyperlink>
          </w:p>
        </w:tc>
        <w:tc>
          <w:tcPr>
            <w:tcW w:w="100" w:type="dxa"/>
            <w:vAlign w:val="bottom"/>
            <w:tcBorders>
              <w:top w:val="single" w:sz="8" w:color="0000EE"/>
            </w:tcBorders>
            <w:gridSpan w:val="3"/>
          </w:tcPr>
          <w:p>
            <w:pPr>
              <w:spacing w:after="0"/>
              <w:rPr>
                <w:sz w:val="17"/>
                <w:szCs w:val="17"/>
                <w:color w:val="auto"/>
              </w:rPr>
            </w:pPr>
          </w:p>
        </w:tc>
        <w:tc>
          <w:tcPr>
            <w:tcW w:w="1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720" w:type="dxa"/>
            <w:vAlign w:val="bottom"/>
            <w:gridSpan w:val="10"/>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Company, as Borrowers’ Representative, and the Company and CMRG Apparel, LLC, as Borrowers (included as Exhibit 10.1 to the</w:t>
              </w:r>
            </w:hyperlink>
          </w:p>
        </w:tc>
        <w:tc>
          <w:tcPr>
            <w:tcW w:w="5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Company’s Quarterly Report on Form 10-Q filed on August 23, 2013, and incorporated herein by reference).</w:t>
              </w:r>
            </w:hyperlink>
          </w:p>
        </w:tc>
        <w:tc>
          <w:tcPr>
            <w:tcW w:w="1700" w:type="dxa"/>
            <w:vAlign w:val="bottom"/>
            <w:tcBorders>
              <w:top w:val="single" w:sz="8" w:color="0000EE"/>
            </w:tcBorders>
            <w:gridSpan w:val="7"/>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45"/>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10.13</w:t>
            </w:r>
          </w:p>
        </w:tc>
        <w:tc>
          <w:tcPr>
            <w:tcW w:w="9480" w:type="dxa"/>
            <w:vAlign w:val="bottom"/>
            <w:tcBorders>
              <w:bottom w:val="single" w:sz="8" w:color="0000EE"/>
            </w:tcBorders>
            <w:gridSpan w:val="7"/>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Second Amendment to Sixth Amended and Restated Loan and Security Agreement dated October 30, 2014, by and among Bank of</w:t>
              </w:r>
            </w:hyperlink>
          </w:p>
        </w:tc>
        <w:tc>
          <w:tcPr>
            <w:tcW w:w="2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America, N.A., as Administrative Agent and Collateral Agent, the Revolving Credit Lenders identified therein, the Company, as</w:t>
              </w:r>
            </w:hyperlink>
          </w:p>
        </w:tc>
        <w:tc>
          <w:tcPr>
            <w:tcW w:w="46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4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Borrowers’ Representative, and the Company and CMRG Apparel, LLC, as Borrowers (included as Exhibit 10.1 to the Company’s</w:t>
              </w:r>
            </w:hyperlink>
          </w:p>
        </w:tc>
        <w:tc>
          <w:tcPr>
            <w:tcW w:w="260" w:type="dxa"/>
            <w:vAlign w:val="bottom"/>
            <w:gridSpan w:val="4"/>
          </w:tcPr>
          <w:p>
            <w:pPr>
              <w:spacing w:after="0"/>
              <w:rPr>
                <w:sz w:val="17"/>
                <w:szCs w:val="17"/>
                <w:color w:val="auto"/>
              </w:rPr>
            </w:pPr>
          </w:p>
        </w:tc>
        <w:tc>
          <w:tcPr>
            <w:tcW w:w="56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w:t>
            </w:r>
          </w:p>
        </w:tc>
      </w:tr>
      <w:tr>
        <w:trPr>
          <w:trHeight w:val="196"/>
        </w:trPr>
        <w:tc>
          <w:tcPr>
            <w:tcW w:w="1160" w:type="dxa"/>
            <w:vAlign w:val="bottom"/>
          </w:tcPr>
          <w:p>
            <w:pPr>
              <w:spacing w:after="0"/>
              <w:rPr>
                <w:sz w:val="17"/>
                <w:szCs w:val="17"/>
                <w:color w:val="auto"/>
              </w:rPr>
            </w:pPr>
          </w:p>
        </w:tc>
        <w:tc>
          <w:tcPr>
            <w:tcW w:w="9720" w:type="dxa"/>
            <w:vAlign w:val="bottom"/>
            <w:gridSpan w:val="10"/>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Quarterly Report on Form 10-Q filed on November 21, 2014, and incorporated herein by reference).</w:t>
              </w:r>
            </w:hyperlink>
          </w:p>
        </w:tc>
        <w:tc>
          <w:tcPr>
            <w:tcW w:w="560" w:type="dxa"/>
            <w:vAlign w:val="bottom"/>
          </w:tcPr>
          <w:p>
            <w:pPr>
              <w:spacing w:after="0"/>
              <w:rPr>
                <w:sz w:val="17"/>
                <w:szCs w:val="17"/>
                <w:color w:val="auto"/>
              </w:rPr>
            </w:pPr>
          </w:p>
        </w:tc>
      </w:tr>
      <w:tr>
        <w:trPr>
          <w:trHeight w:val="817"/>
        </w:trPr>
        <w:tc>
          <w:tcPr>
            <w:tcW w:w="1160" w:type="dxa"/>
            <w:vAlign w:val="bottom"/>
          </w:tcPr>
          <w:p>
            <w:pPr>
              <w:spacing w:after="0"/>
              <w:rPr>
                <w:sz w:val="24"/>
                <w:szCs w:val="24"/>
                <w:color w:val="auto"/>
              </w:rPr>
            </w:pPr>
          </w:p>
        </w:tc>
        <w:tc>
          <w:tcPr>
            <w:tcW w:w="7240" w:type="dxa"/>
            <w:vAlign w:val="bottom"/>
            <w:tcBorders>
              <w:top w:val="single" w:sz="8" w:color="0000EE"/>
            </w:tcBorders>
          </w:tcPr>
          <w:p>
            <w:pPr>
              <w:ind w:left="4460"/>
              <w:spacing w:after="0"/>
              <w:rPr>
                <w:sz w:val="20"/>
                <w:szCs w:val="20"/>
                <w:color w:val="auto"/>
              </w:rPr>
            </w:pPr>
            <w:r>
              <w:rPr>
                <w:rFonts w:ascii="Arial" w:cs="Arial" w:eastAsia="Arial" w:hAnsi="Arial"/>
                <w:sz w:val="18"/>
                <w:szCs w:val="18"/>
                <w:color w:val="auto"/>
              </w:rPr>
              <w:t>73</w:t>
            </w: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7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43" w:right="21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1"/>
              </w:rPr>
              <w:t>Exhibits</w:t>
            </w:r>
          </w:p>
        </w:tc>
        <w:tc>
          <w:tcPr>
            <w:tcW w:w="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91"/>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r:id="rId118">
              <w:r>
                <w:rPr>
                  <w:rFonts w:ascii="Arial" w:cs="Arial" w:eastAsia="Arial" w:hAnsi="Arial"/>
                  <w:sz w:val="18"/>
                  <w:szCs w:val="18"/>
                  <w:color w:val="0000EE"/>
                </w:rPr>
                <w:t>Master Loan and Security Agreement dated July 20, 2007 between the Company and Banc of America Leasing &amp; Capital, LLC</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(included as Exhibit 10.1 to the Company’s Current Report on Form 8-K filed on July 23, 2007 (File No. 001-34219), and</w:t>
              </w:r>
            </w:hyperlink>
          </w:p>
        </w:tc>
        <w:tc>
          <w:tcPr>
            <w:tcW w:w="400" w:type="dxa"/>
            <w:vAlign w:val="bottom"/>
            <w:tcBorders>
              <w:top w:val="single" w:sz="8" w:color="0000EE"/>
            </w:tcBorders>
            <w:gridSpan w:val="5"/>
          </w:tcPr>
          <w:p>
            <w:pPr>
              <w:spacing w:after="0"/>
              <w:rPr>
                <w:sz w:val="17"/>
                <w:szCs w:val="17"/>
                <w:color w:val="auto"/>
              </w:rPr>
            </w:pPr>
          </w:p>
        </w:tc>
        <w:tc>
          <w:tcPr>
            <w:tcW w:w="108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incorporated herein by reference).</w:t>
              </w:r>
            </w:hyperlink>
          </w:p>
        </w:tc>
        <w:tc>
          <w:tcPr>
            <w:tcW w:w="7820" w:type="dxa"/>
            <w:vAlign w:val="bottom"/>
            <w:gridSpan w:val="19"/>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r:id="rId119">
              <w:r>
                <w:rPr>
                  <w:rFonts w:ascii="Arial" w:cs="Arial" w:eastAsia="Arial" w:hAnsi="Arial"/>
                  <w:sz w:val="18"/>
                  <w:szCs w:val="18"/>
                  <w:color w:val="0000EE"/>
                </w:rPr>
                <w:t>Amendment Number 1 to Master Loan and Security Agreement dated September 30, 2013 between the Company and Banc of</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America Leasing &amp; Capital, LLC. (included as Exhibit 10.2 to the Company’s Current Report on Form 8-K filed on October 3,</w:t>
              </w:r>
            </w:hyperlink>
          </w:p>
        </w:tc>
        <w:tc>
          <w:tcPr>
            <w:tcW w:w="112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2013, and incorporated herein by reference).</w:t>
              </w:r>
            </w:hyperlink>
          </w:p>
        </w:tc>
        <w:tc>
          <w:tcPr>
            <w:tcW w:w="7060" w:type="dxa"/>
            <w:vAlign w:val="bottom"/>
            <w:gridSpan w:val="18"/>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9300" w:type="dxa"/>
            <w:vAlign w:val="bottom"/>
            <w:tcBorders>
              <w:bottom w:val="single" w:sz="8" w:color="0000EE"/>
            </w:tcBorders>
            <w:gridSpan w:val="16"/>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Equipment Security Note Number 17608-70003 to the Master Loan and Security Agreement, as amended, dated October 1, 2013</w:t>
              </w:r>
            </w:hyperlink>
          </w:p>
        </w:tc>
        <w:tc>
          <w:tcPr>
            <w:tcW w:w="96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between the Company and Banc of America Leasing &amp; Capital, LLC. (included as Exhibit 10.3 to the Company’s Current Report on</w:t>
              </w:r>
            </w:hyperlink>
          </w:p>
        </w:tc>
        <w:tc>
          <w:tcPr>
            <w:tcW w:w="7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Form 8-K filed on October 3, 2013, and incorporated herein by reference).</w:t>
              </w:r>
            </w:hyperlink>
          </w:p>
        </w:tc>
        <w:tc>
          <w:tcPr>
            <w:tcW w:w="4900" w:type="dxa"/>
            <w:vAlign w:val="bottom"/>
            <w:gridSpan w:val="14"/>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r:id="rId121">
              <w:r>
                <w:rPr>
                  <w:rFonts w:ascii="Arial" w:cs="Arial" w:eastAsia="Arial" w:hAnsi="Arial"/>
                  <w:sz w:val="18"/>
                  <w:szCs w:val="18"/>
                  <w:color w:val="0000EE"/>
                </w:rPr>
                <w:t>Equipment Security Note Number 17608-70004 to the Master Loan and Security Agreement, as amended, dated September 30,</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2013 between the Company and Banc of America Leasing &amp; Capital, LLC. (included as Exhibit 10.4 to the Company’s Current</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Report on Form 8-K filed on October 3, 2013, and incorporated herein by reference).</w:t>
              </w:r>
            </w:hyperlink>
          </w:p>
        </w:tc>
        <w:tc>
          <w:tcPr>
            <w:tcW w:w="3060" w:type="dxa"/>
            <w:vAlign w:val="bottom"/>
            <w:tcBorders>
              <w:top w:val="single" w:sz="8" w:color="0000EE"/>
            </w:tcBorders>
            <w:gridSpan w:val="6"/>
          </w:tcPr>
          <w:p>
            <w:pPr>
              <w:spacing w:after="0"/>
              <w:rPr>
                <w:sz w:val="17"/>
                <w:szCs w:val="17"/>
                <w:color w:val="auto"/>
              </w:rPr>
            </w:pPr>
          </w:p>
        </w:tc>
        <w:tc>
          <w:tcPr>
            <w:tcW w:w="1080" w:type="dxa"/>
            <w:vAlign w:val="bottom"/>
            <w:gridSpan w:val="7"/>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r:id="rId122">
              <w:r>
                <w:rPr>
                  <w:rFonts w:ascii="Arial" w:cs="Arial" w:eastAsia="Arial" w:hAnsi="Arial"/>
                  <w:sz w:val="18"/>
                  <w:szCs w:val="18"/>
                  <w:color w:val="0000EE"/>
                </w:rPr>
                <w:t>Equipment Security Note Number 17608-70005 to the Master Loan and Security Agreement, as amended, dated September 30,</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2013 between the Company and Banc of America Leasing &amp; Capital, LLC. (included as Exhibit 10.5 to the Company’s Current</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Report on Form 8-K filed on October 3, 2013, and incorporated herein by reference).</w:t>
              </w:r>
            </w:hyperlink>
          </w:p>
        </w:tc>
        <w:tc>
          <w:tcPr>
            <w:tcW w:w="3060" w:type="dxa"/>
            <w:vAlign w:val="bottom"/>
            <w:tcBorders>
              <w:top w:val="single" w:sz="8" w:color="0000EE"/>
            </w:tcBorders>
            <w:gridSpan w:val="6"/>
          </w:tcPr>
          <w:p>
            <w:pPr>
              <w:spacing w:after="0"/>
              <w:rPr>
                <w:sz w:val="17"/>
                <w:szCs w:val="17"/>
                <w:color w:val="auto"/>
              </w:rPr>
            </w:pPr>
          </w:p>
        </w:tc>
        <w:tc>
          <w:tcPr>
            <w:tcW w:w="1080" w:type="dxa"/>
            <w:vAlign w:val="bottom"/>
            <w:gridSpan w:val="7"/>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r:id="rId123">
              <w:r>
                <w:rPr>
                  <w:rFonts w:ascii="Arial" w:cs="Arial" w:eastAsia="Arial" w:hAnsi="Arial"/>
                  <w:sz w:val="18"/>
                  <w:szCs w:val="18"/>
                  <w:color w:val="0000EE"/>
                </w:rPr>
                <w:t>Equipment Security Note Number 17608-70006 to the Master Loan and Security Agreement, as amended, dated September 30,</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2013 between the Company and Banc of America Leasing &amp; Capital, LLC. (included as Exhibit 10.6 to the Company’s Current</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Report on Form 8-K filed on October 3, 2013, and incorporated herein by reference).</w:t>
              </w:r>
            </w:hyperlink>
          </w:p>
        </w:tc>
        <w:tc>
          <w:tcPr>
            <w:tcW w:w="3060" w:type="dxa"/>
            <w:vAlign w:val="bottom"/>
            <w:tcBorders>
              <w:top w:val="single" w:sz="8" w:color="0000EE"/>
            </w:tcBorders>
            <w:gridSpan w:val="6"/>
          </w:tcPr>
          <w:p>
            <w:pPr>
              <w:spacing w:after="0"/>
              <w:rPr>
                <w:sz w:val="17"/>
                <w:szCs w:val="17"/>
                <w:color w:val="auto"/>
              </w:rPr>
            </w:pPr>
          </w:p>
        </w:tc>
        <w:tc>
          <w:tcPr>
            <w:tcW w:w="1080" w:type="dxa"/>
            <w:vAlign w:val="bottom"/>
            <w:gridSpan w:val="7"/>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9540" w:type="dxa"/>
            <w:vAlign w:val="bottom"/>
            <w:tcBorders>
              <w:bottom w:val="single" w:sz="8" w:color="0000EE"/>
            </w:tcBorders>
            <w:gridSpan w:val="18"/>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Equipment Security Note Number 17608-70007 to the Master Loan and Security Agreement, as amended, dated December 23, 2013</w:t>
              </w:r>
            </w:hyperlink>
          </w:p>
        </w:tc>
        <w:tc>
          <w:tcPr>
            <w:tcW w:w="72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between the Company and Banc of America Leasing &amp; Capital, LLC. (included as Exhibit 10.1 to the Company’s Current Report on</w:t>
              </w:r>
            </w:hyperlink>
          </w:p>
        </w:tc>
        <w:tc>
          <w:tcPr>
            <w:tcW w:w="7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Form 8-K filed on January 8, 2014, and incorporated herein by reference).</w:t>
              </w:r>
            </w:hyperlink>
          </w:p>
        </w:tc>
        <w:tc>
          <w:tcPr>
            <w:tcW w:w="4920" w:type="dxa"/>
            <w:vAlign w:val="bottom"/>
            <w:gridSpan w:val="15"/>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9540" w:type="dxa"/>
            <w:vAlign w:val="bottom"/>
            <w:tcBorders>
              <w:bottom w:val="single" w:sz="8" w:color="0000EE"/>
            </w:tcBorders>
            <w:gridSpan w:val="18"/>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Equipment Security Note Number 17608-70008 to the Master Loan and Security Agreement, as amended, dated December 23, 2013</w:t>
              </w:r>
            </w:hyperlink>
          </w:p>
        </w:tc>
        <w:tc>
          <w:tcPr>
            <w:tcW w:w="72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between the Company and Banc of America Leasing &amp; Capital, LLC. (included as Exhibit 10.2 to the Company’s Current Report on</w:t>
              </w:r>
            </w:hyperlink>
          </w:p>
        </w:tc>
        <w:tc>
          <w:tcPr>
            <w:tcW w:w="7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Form 8-K filed on January 8, 2014, and incorporated herein by reference).</w:t>
              </w:r>
            </w:hyperlink>
          </w:p>
        </w:tc>
        <w:tc>
          <w:tcPr>
            <w:tcW w:w="4920" w:type="dxa"/>
            <w:vAlign w:val="bottom"/>
            <w:gridSpan w:val="15"/>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9540" w:type="dxa"/>
            <w:vAlign w:val="bottom"/>
            <w:tcBorders>
              <w:bottom w:val="single" w:sz="8" w:color="0000EE"/>
            </w:tcBorders>
            <w:gridSpan w:val="18"/>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Equipment Security Note Number 17608-70009 to the Master Loan and Security Agreement, as amended, dated December 23, 2013</w:t>
              </w:r>
            </w:hyperlink>
          </w:p>
        </w:tc>
        <w:tc>
          <w:tcPr>
            <w:tcW w:w="72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between the Company and Banc of America Leasing &amp; Capital, LLC. (included as Exhibit 10.3 to the Company’s Current Report on</w:t>
              </w:r>
            </w:hyperlink>
          </w:p>
        </w:tc>
        <w:tc>
          <w:tcPr>
            <w:tcW w:w="7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Form 8-K filed on January 8, 2014, and incorporated herein by reference).</w:t>
              </w:r>
            </w:hyperlink>
          </w:p>
        </w:tc>
        <w:tc>
          <w:tcPr>
            <w:tcW w:w="4920" w:type="dxa"/>
            <w:vAlign w:val="bottom"/>
            <w:gridSpan w:val="15"/>
          </w:tcPr>
          <w:p>
            <w:pPr>
              <w:spacing w:after="0"/>
              <w:rPr>
                <w:sz w:val="17"/>
                <w:szCs w:val="17"/>
                <w:color w:val="auto"/>
              </w:rPr>
            </w:pPr>
          </w:p>
        </w:tc>
      </w:tr>
      <w:tr>
        <w:trPr>
          <w:trHeight w:val="331"/>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4"/>
                <w:szCs w:val="24"/>
                <w:color w:val="auto"/>
              </w:rPr>
            </w:pPr>
          </w:p>
        </w:tc>
        <w:tc>
          <w:tcPr>
            <w:tcW w:w="9280" w:type="dxa"/>
            <w:vAlign w:val="bottom"/>
            <w:tcBorders>
              <w:bottom w:val="single" w:sz="8" w:color="0000EE"/>
            </w:tcBorders>
            <w:gridSpan w:val="15"/>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Equipment Security Note Number 17608-70010 to the Master Loan and Security Agreement, as amended, dated March 28, 2014</w:t>
              </w:r>
            </w:hyperlink>
          </w:p>
        </w:tc>
        <w:tc>
          <w:tcPr>
            <w:tcW w:w="98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between the Company and Banc of America Leasing &amp; Capital LLC (included as Exhibit 10.1 to the Company’s Current Report on</w:t>
              </w:r>
            </w:hyperlink>
          </w:p>
        </w:tc>
        <w:tc>
          <w:tcPr>
            <w:tcW w:w="8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Form 8-K filed on April 1, 2014, and incorporated herein by reference).</w:t>
              </w:r>
            </w:hyperlink>
          </w:p>
        </w:tc>
        <w:tc>
          <w:tcPr>
            <w:tcW w:w="5100" w:type="dxa"/>
            <w:vAlign w:val="bottom"/>
            <w:gridSpan w:val="17"/>
          </w:tcPr>
          <w:p>
            <w:pPr>
              <w:spacing w:after="0"/>
              <w:rPr>
                <w:sz w:val="17"/>
                <w:szCs w:val="17"/>
                <w:color w:val="auto"/>
              </w:rPr>
            </w:pPr>
          </w:p>
        </w:tc>
      </w:tr>
      <w:tr>
        <w:trPr>
          <w:trHeight w:val="318"/>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w w:val="99"/>
              </w:rPr>
            </w:pPr>
            <w:hyperlink r:id="rId128">
              <w:r>
                <w:rPr>
                  <w:rFonts w:ascii="Arial" w:cs="Arial" w:eastAsia="Arial" w:hAnsi="Arial"/>
                  <w:sz w:val="18"/>
                  <w:szCs w:val="18"/>
                  <w:color w:val="0000EE"/>
                  <w:w w:val="99"/>
                </w:rPr>
                <w:t>Equipment Security Note Number 17608-70011 to the Master Loan and Security Agreement, as amended, dated March 28, 2014</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0" w:type="dxa"/>
            <w:vAlign w:val="bottom"/>
            <w:gridSpan w:val="4"/>
            <w:shd w:val="clear" w:color="auto" w:fill="0000EE"/>
          </w:tcPr>
          <w:p>
            <w:pPr>
              <w:spacing w:after="0" w:line="20" w:lineRule="exact"/>
              <w:rPr>
                <w:sz w:val="1"/>
                <w:szCs w:val="1"/>
                <w:color w:val="auto"/>
              </w:rPr>
            </w:pPr>
          </w:p>
        </w:tc>
        <w:tc>
          <w:tcPr>
            <w:tcW w:w="3920" w:type="dxa"/>
            <w:vAlign w:val="bottom"/>
            <w:gridSpan w:val="6"/>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between the Company and Banc of America Leasing &amp; Capital LLC (included as Exhibit 10.2 to the Company’s Current Report on</w:t>
              </w:r>
            </w:hyperlink>
          </w:p>
        </w:tc>
        <w:tc>
          <w:tcPr>
            <w:tcW w:w="8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Form 8-K filed on April 1, 2014, and incorporated herein by reference).</w:t>
              </w:r>
            </w:hyperlink>
          </w:p>
        </w:tc>
        <w:tc>
          <w:tcPr>
            <w:tcW w:w="5100" w:type="dxa"/>
            <w:vAlign w:val="bottom"/>
            <w:gridSpan w:val="17"/>
          </w:tcPr>
          <w:p>
            <w:pPr>
              <w:spacing w:after="0"/>
              <w:rPr>
                <w:sz w:val="17"/>
                <w:szCs w:val="17"/>
                <w:color w:val="auto"/>
              </w:rPr>
            </w:pPr>
          </w:p>
        </w:tc>
      </w:tr>
      <w:tr>
        <w:trPr>
          <w:trHeight w:val="318"/>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24"/>
                <w:szCs w:val="24"/>
                <w:color w:val="auto"/>
              </w:rPr>
            </w:pPr>
          </w:p>
        </w:tc>
        <w:tc>
          <w:tcPr>
            <w:tcW w:w="9280" w:type="dxa"/>
            <w:vAlign w:val="bottom"/>
            <w:tcBorders>
              <w:bottom w:val="single" w:sz="8" w:color="0000EE"/>
            </w:tcBorders>
            <w:gridSpan w:val="15"/>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Equipment Security Note Number 17608-70012 to the Master Loan and Security Agreement, as amended, dated March 28, 2014</w:t>
              </w:r>
            </w:hyperlink>
          </w:p>
        </w:tc>
        <w:tc>
          <w:tcPr>
            <w:tcW w:w="98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between the Company and Banc of America Leasing &amp; Capital LLC (included as Exhibit 10.3 to the Company’s Current Report on</w:t>
              </w:r>
            </w:hyperlink>
          </w:p>
        </w:tc>
        <w:tc>
          <w:tcPr>
            <w:tcW w:w="8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Form 8-K filed on April 1, 2014, and incorporated herein by reference).</w:t>
              </w:r>
            </w:hyperlink>
          </w:p>
        </w:tc>
        <w:tc>
          <w:tcPr>
            <w:tcW w:w="5100" w:type="dxa"/>
            <w:vAlign w:val="bottom"/>
            <w:gridSpan w:val="17"/>
          </w:tcPr>
          <w:p>
            <w:pPr>
              <w:spacing w:after="0"/>
              <w:rPr>
                <w:sz w:val="17"/>
                <w:szCs w:val="17"/>
                <w:color w:val="auto"/>
              </w:rPr>
            </w:pPr>
          </w:p>
        </w:tc>
      </w:tr>
      <w:tr>
        <w:trPr>
          <w:trHeight w:val="318"/>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r:id="rId130">
              <w:r>
                <w:rPr>
                  <w:rFonts w:ascii="Arial" w:cs="Arial" w:eastAsia="Arial" w:hAnsi="Arial"/>
                  <w:sz w:val="18"/>
                  <w:szCs w:val="18"/>
                  <w:color w:val="0000EE"/>
                </w:rPr>
                <w:t>Equipment Security Note Number 17608-70013 to the Master Loan and Security Agreement, as amended, dated June 23, 2014</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00" w:type="dxa"/>
            <w:vAlign w:val="bottom"/>
            <w:gridSpan w:val="4"/>
            <w:shd w:val="clear" w:color="auto" w:fill="0000EE"/>
          </w:tcPr>
          <w:p>
            <w:pPr>
              <w:spacing w:after="0" w:line="20" w:lineRule="exact"/>
              <w:rPr>
                <w:sz w:val="1"/>
                <w:szCs w:val="1"/>
                <w:color w:val="auto"/>
              </w:rPr>
            </w:pPr>
          </w:p>
        </w:tc>
        <w:tc>
          <w:tcPr>
            <w:tcW w:w="3920" w:type="dxa"/>
            <w:vAlign w:val="bottom"/>
            <w:gridSpan w:val="6"/>
            <w:shd w:val="clear" w:color="auto" w:fill="0000EE"/>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between the Company and Banc of America Leasing &amp; Capital LLC (included as Exhibit 10.1 to the Company’s Current Report on</w:t>
              </w:r>
            </w:hyperlink>
          </w:p>
        </w:tc>
        <w:tc>
          <w:tcPr>
            <w:tcW w:w="8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Form 8-K filed on June 26, 2014, and incorporated herein by reference).</w:t>
              </w:r>
            </w:hyperlink>
          </w:p>
        </w:tc>
        <w:tc>
          <w:tcPr>
            <w:tcW w:w="5060" w:type="dxa"/>
            <w:vAlign w:val="bottom"/>
            <w:gridSpan w:val="16"/>
          </w:tcPr>
          <w:p>
            <w:pPr>
              <w:spacing w:after="0"/>
              <w:rPr>
                <w:sz w:val="17"/>
                <w:szCs w:val="17"/>
                <w:color w:val="auto"/>
              </w:rPr>
            </w:pPr>
          </w:p>
        </w:tc>
      </w:tr>
      <w:tr>
        <w:trPr>
          <w:trHeight w:val="318"/>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r:id="rId131">
              <w:r>
                <w:rPr>
                  <w:rFonts w:ascii="Arial" w:cs="Arial" w:eastAsia="Arial" w:hAnsi="Arial"/>
                  <w:sz w:val="18"/>
                  <w:szCs w:val="18"/>
                  <w:color w:val="0000EE"/>
                </w:rPr>
                <w:t>Equipment Security Note Number 17608-70014 to the Master Loan and Security Agreement, as amended, dated June 23, 2014</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120" w:type="dxa"/>
            <w:vAlign w:val="bottom"/>
            <w:gridSpan w:val="10"/>
            <w:shd w:val="clear" w:color="auto" w:fill="0000EE"/>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between the Company and Banc of America Leasing &amp; Capital LLC (included as Exhibit 10.2 to the Company’s Current Report on</w:t>
              </w:r>
            </w:hyperlink>
          </w:p>
        </w:tc>
        <w:tc>
          <w:tcPr>
            <w:tcW w:w="8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0"/>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Form 8-K filed on June 26, 2014, and incorporated herein by reference).</w:t>
              </w:r>
            </w:hyperlink>
          </w:p>
        </w:tc>
      </w:tr>
      <w:tr>
        <w:trPr>
          <w:trHeight w:val="817"/>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Borders>
              <w:top w:val="single" w:sz="8" w:color="0000EE"/>
            </w:tcBorders>
            <w:gridSpan w:val="3"/>
          </w:tcPr>
          <w:p>
            <w:pPr>
              <w:jc w:val="right"/>
              <w:ind w:right="540"/>
              <w:spacing w:after="0"/>
              <w:rPr>
                <w:sz w:val="20"/>
                <w:szCs w:val="20"/>
                <w:color w:val="auto"/>
              </w:rPr>
            </w:pPr>
            <w:r>
              <w:rPr>
                <w:rFonts w:ascii="Arial" w:cs="Arial" w:eastAsia="Arial" w:hAnsi="Arial"/>
                <w:sz w:val="18"/>
                <w:szCs w:val="18"/>
                <w:color w:val="auto"/>
              </w:rPr>
              <w:t>74</w:t>
            </w: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8" w:right="2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1"/>
              </w:rPr>
              <w:t>Exhibits</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91"/>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w w:val="99"/>
              </w:rPr>
            </w:pPr>
            <w:hyperlink r:id="rId134">
              <w:r>
                <w:rPr>
                  <w:rFonts w:ascii="Arial" w:cs="Arial" w:eastAsia="Arial" w:hAnsi="Arial"/>
                  <w:sz w:val="18"/>
                  <w:szCs w:val="18"/>
                  <w:color w:val="0000EE"/>
                  <w:w w:val="99"/>
                </w:rPr>
                <w:t>Term Loan and Security Agreement, dated October 29, 2014, by and among Wells Fargo Bank, National Association, as</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Administrative Agent and Collateral Agent, the Company, as Borrowers’ Representative, and the company and CMRG Apparel,</w:t>
              </w:r>
            </w:hyperlink>
          </w:p>
        </w:tc>
        <w:tc>
          <w:tcPr>
            <w:tcW w:w="30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LLC, as Borrowers (included as Exhibit 10.2 to the Company’s Quarterly Report on Form 10-Q filed on November 21, 2014, and</w:t>
              </w:r>
            </w:hyperlink>
          </w:p>
        </w:tc>
        <w:tc>
          <w:tcPr>
            <w:tcW w:w="24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incorporated herein by reference).</w:t>
              </w:r>
            </w:hyperlink>
          </w:p>
        </w:tc>
        <w:tc>
          <w:tcPr>
            <w:tcW w:w="7120" w:type="dxa"/>
            <w:vAlign w:val="bottom"/>
            <w:gridSpan w:val="27"/>
          </w:tcPr>
          <w:p>
            <w:pPr>
              <w:spacing w:after="0"/>
              <w:rPr>
                <w:sz w:val="17"/>
                <w:szCs w:val="17"/>
                <w:color w:val="auto"/>
              </w:rPr>
            </w:pPr>
          </w:p>
        </w:tc>
      </w:tr>
      <w:tr>
        <w:trPr>
          <w:trHeight w:val="318"/>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9000" w:type="dxa"/>
            <w:vAlign w:val="bottom"/>
            <w:tcBorders>
              <w:bottom w:val="single" w:sz="8" w:color="0000EE"/>
            </w:tcBorders>
            <w:gridSpan w:val="15"/>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Employment and Chairman Compensation Agreement, dated August 7, 2014, between the Company and Seymour Holtzman</w:t>
              </w:r>
            </w:hyperlink>
          </w:p>
        </w:tc>
        <w:tc>
          <w:tcPr>
            <w:tcW w:w="560" w:type="dxa"/>
            <w:vAlign w:val="bottom"/>
            <w:gridSpan w:val="1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(included as Exhibit 10.1 to the Company’s Current Report on Form 8-K filed on August 12, 2014, and incorporated herein by</w:t>
              </w:r>
            </w:hyperlink>
          </w:p>
        </w:tc>
        <w:tc>
          <w:tcPr>
            <w:tcW w:w="46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reference).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9260" w:type="dxa"/>
            <w:vAlign w:val="bottom"/>
            <w:tcBorders>
              <w:bottom w:val="single" w:sz="8" w:color="0000EE"/>
            </w:tcBorders>
            <w:gridSpan w:val="22"/>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First Amendment to Employment and Chairman Compensation Agreement, dated May 25, 2017, between the Company and Mr.</w:t>
              </w:r>
            </w:hyperlink>
          </w:p>
        </w:tc>
        <w:tc>
          <w:tcPr>
            <w:tcW w:w="30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Holtzman (included as Exhibit 10.1 to the Company’s Current Report on Form 8-K filed on May 30, 2017, and incorporated herein</w:t>
              </w:r>
            </w:hyperlink>
          </w:p>
        </w:tc>
        <w:tc>
          <w:tcPr>
            <w:tcW w:w="1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by reference).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9440" w:type="dxa"/>
            <w:vAlign w:val="bottom"/>
            <w:tcBorders>
              <w:bottom w:val="single" w:sz="8" w:color="0000EE"/>
            </w:tcBorders>
            <w:gridSpan w:val="28"/>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Revised and Restated Employment Agreement dated as of November 5, 2009 between the Company and David A. Levin (included</w:t>
              </w:r>
            </w:hyperlink>
          </w:p>
        </w:tc>
        <w:tc>
          <w:tcPr>
            <w:tcW w:w="12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as Exhibit 10.1 to the Company’s Current Report on Form 8-K filed on November 19, 2009 (File No. 001-34219), and incorporated</w:t>
              </w:r>
            </w:hyperlink>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herein by reference).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942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Second Amended and Restated Employment Agreement between the Company and Peter H. Stratton, Jr. dated as of November 27,</w:t>
              </w:r>
            </w:hyperlink>
          </w:p>
        </w:tc>
        <w:tc>
          <w:tcPr>
            <w:tcW w:w="14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88">
              <w:r>
                <w:rPr>
                  <w:rFonts w:ascii="Arial" w:cs="Arial" w:eastAsia="Arial" w:hAnsi="Arial"/>
                  <w:sz w:val="18"/>
                  <w:szCs w:val="18"/>
                  <w:color w:val="0000EE"/>
                  <w:w w:val="84"/>
                </w:rPr>
                <w:t>2017.</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Employment Agreement between the Company and Robert S. Molloy dated as of January 7, 2010 (included as Exhibit 10.2 to the</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Company’s Current Report on Form 8-K filed on January 11, 2010 (File No. 001-34219), and incorporated herein by reference).</w:t>
              </w:r>
            </w:hyperlink>
          </w:p>
        </w:tc>
        <w:tc>
          <w:tcPr>
            <w:tcW w:w="100" w:type="dxa"/>
            <w:vAlign w:val="bottom"/>
            <w:tcBorders>
              <w:top w:val="single" w:sz="8" w:color="0000EE"/>
            </w:tcBorders>
            <w:gridSpan w:val="4"/>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Employment Agreement between the Company and Francis C. Chane dated as of January 8, 2010 (included as Exhibit 10.34 to the</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Company’s Annual Report on Form 10-K filed on March 19, 2010 (File No. 001-34219), and incorporated herein by reference).</w:t>
              </w:r>
            </w:hyperlink>
          </w:p>
        </w:tc>
        <w:tc>
          <w:tcPr>
            <w:tcW w:w="200" w:type="dxa"/>
            <w:vAlign w:val="bottom"/>
            <w:tcBorders>
              <w:top w:val="single" w:sz="8" w:color="0000EE"/>
            </w:tcBorders>
            <w:gridSpan w:val="7"/>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Employment Agreement between the Company and Kenneth M. Ederle dated as of September 2, 2015 (included as Exhibit 10.1 to</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the Company’s Quarterly Report on Form 10-Q filed on November 20, 2015, and incorporated herein by reference).</w:t>
              </w:r>
            </w:hyperlink>
          </w:p>
        </w:tc>
        <w:tc>
          <w:tcPr>
            <w:tcW w:w="160" w:type="dxa"/>
            <w:vAlign w:val="bottom"/>
            <w:gridSpan w:val="6"/>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160" w:type="dxa"/>
            <w:vAlign w:val="bottom"/>
            <w:gridSpan w:val="6"/>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24"/>
                <w:szCs w:val="24"/>
                <w:color w:val="auto"/>
              </w:rPr>
            </w:pPr>
          </w:p>
        </w:tc>
        <w:tc>
          <w:tcPr>
            <w:tcW w:w="9300" w:type="dxa"/>
            <w:vAlign w:val="bottom"/>
            <w:tcBorders>
              <w:bottom w:val="single" w:sz="8" w:color="0000EE"/>
            </w:tcBorders>
            <w:gridSpan w:val="23"/>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Employment Agreement between the Company and Peter E. Schmitz dated as of January 1, 2013 (included as Exhibit 10.3 to the</w:t>
              </w:r>
            </w:hyperlink>
          </w:p>
        </w:tc>
        <w:tc>
          <w:tcPr>
            <w:tcW w:w="26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Company’s Quarterly Report on Form 10-Q filed on November 22, 2013, and incorporated herein by reference).</w:t>
              </w:r>
            </w:hyperlink>
          </w:p>
        </w:tc>
        <w:tc>
          <w:tcPr>
            <w:tcW w:w="1480" w:type="dxa"/>
            <w:vAlign w:val="bottom"/>
            <w:gridSpan w:val="21"/>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24"/>
                <w:szCs w:val="24"/>
                <w:color w:val="auto"/>
              </w:rPr>
            </w:pPr>
          </w:p>
        </w:tc>
        <w:tc>
          <w:tcPr>
            <w:tcW w:w="9500" w:type="dxa"/>
            <w:vAlign w:val="bottom"/>
            <w:tcBorders>
              <w:bottom w:val="single" w:sz="8" w:color="0000EE"/>
            </w:tcBorders>
            <w:gridSpan w:val="31"/>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Employment Agreement between the Company and Walter E. Sprague dated as of January 8, 2010 (included as Exhibit 10.40 to the</w:t>
              </w:r>
            </w:hyperlink>
          </w:p>
        </w:tc>
        <w:tc>
          <w:tcPr>
            <w:tcW w:w="6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Company’s Annual Report on Form 10-K filed on March 19, 2010 (File No. 001-34219), and incorporated herein by reference).</w:t>
              </w:r>
            </w:hyperlink>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24"/>
                <w:szCs w:val="24"/>
                <w:color w:val="auto"/>
              </w:rPr>
            </w:pPr>
          </w:p>
        </w:tc>
        <w:tc>
          <w:tcPr>
            <w:tcW w:w="8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Amended and Restated Employment Agreement between the Company and Brian Reaves dated as of November 27, 2017.</w:t>
              </w:r>
            </w:hyperlink>
          </w:p>
        </w:tc>
        <w:tc>
          <w:tcPr>
            <w:tcW w:w="400" w:type="dxa"/>
            <w:vAlign w:val="bottom"/>
            <w:tcBorders>
              <w:top w:val="single" w:sz="8" w:color="0000EE"/>
            </w:tcBorders>
            <w:gridSpan w:val="5"/>
          </w:tcPr>
          <w:p>
            <w:pPr>
              <w:spacing w:after="0"/>
              <w:rPr>
                <w:sz w:val="24"/>
                <w:szCs w:val="24"/>
                <w:color w:val="auto"/>
              </w:rPr>
            </w:pPr>
          </w:p>
        </w:tc>
        <w:tc>
          <w:tcPr>
            <w:tcW w:w="360" w:type="dxa"/>
            <w:vAlign w:val="bottom"/>
            <w:gridSpan w:val="13"/>
          </w:tcPr>
          <w:p>
            <w:pPr>
              <w:spacing w:after="0"/>
              <w:rPr>
                <w:sz w:val="24"/>
                <w:szCs w:val="24"/>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24"/>
                <w:szCs w:val="24"/>
                <w:color w:val="auto"/>
              </w:rPr>
            </w:pPr>
          </w:p>
        </w:tc>
        <w:tc>
          <w:tcPr>
            <w:tcW w:w="9560" w:type="dxa"/>
            <w:vAlign w:val="bottom"/>
            <w:gridSpan w:val="32"/>
          </w:tcPr>
          <w:p>
            <w:pPr>
              <w:spacing w:after="0"/>
              <w:rPr>
                <w:rFonts w:ascii="Arial" w:cs="Arial" w:eastAsia="Arial" w:hAnsi="Arial"/>
                <w:sz w:val="18"/>
                <w:szCs w:val="18"/>
                <w:color w:val="0000EE"/>
                <w:w w:val="94"/>
              </w:rPr>
            </w:pPr>
            <w:hyperlink r:id="rId143">
              <w:r>
                <w:rPr>
                  <w:rFonts w:ascii="Arial" w:cs="Arial" w:eastAsia="Arial" w:hAnsi="Arial"/>
                  <w:sz w:val="18"/>
                  <w:szCs w:val="18"/>
                  <w:color w:val="0000EE"/>
                  <w:w w:val="94"/>
                </w:rPr>
                <w:t>Employment Agreement between the Company and John F. Cooney dated as of May 17, 2015 (included as Exhibit 10.2 to the</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Company’s Quarterly Report on Form 10-Q filed on August 27, 2015, and incorporated herein by reference).</w:t>
              </w:r>
            </w:hyperlink>
          </w:p>
        </w:tc>
        <w:tc>
          <w:tcPr>
            <w:tcW w:w="1220" w:type="dxa"/>
            <w:vAlign w:val="bottom"/>
            <w:tcBorders>
              <w:top w:val="single" w:sz="8" w:color="0000EE"/>
            </w:tcBorders>
            <w:gridSpan w:val="7"/>
          </w:tcPr>
          <w:p>
            <w:pPr>
              <w:spacing w:after="0"/>
              <w:rPr>
                <w:sz w:val="17"/>
                <w:szCs w:val="17"/>
                <w:color w:val="auto"/>
              </w:rPr>
            </w:pPr>
          </w:p>
        </w:tc>
        <w:tc>
          <w:tcPr>
            <w:tcW w:w="500" w:type="dxa"/>
            <w:vAlign w:val="bottom"/>
            <w:gridSpan w:val="16"/>
          </w:tcPr>
          <w:p>
            <w:pPr>
              <w:spacing w:after="0"/>
              <w:rPr>
                <w:sz w:val="17"/>
                <w:szCs w:val="17"/>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24"/>
                <w:szCs w:val="24"/>
                <w:color w:val="auto"/>
              </w:rPr>
            </w:pPr>
          </w:p>
        </w:tc>
        <w:tc>
          <w:tcPr>
            <w:tcW w:w="9480" w:type="dxa"/>
            <w:vAlign w:val="bottom"/>
            <w:tcBorders>
              <w:bottom w:val="single" w:sz="8" w:color="0000EE"/>
            </w:tcBorders>
            <w:gridSpan w:val="30"/>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Employment Agreement between the Company and Mary Luttrell effective as of January 18, 2017 (included as Exhibit 10.43 to the</w:t>
              </w:r>
            </w:hyperlink>
          </w:p>
        </w:tc>
        <w:tc>
          <w:tcPr>
            <w:tcW w:w="8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Company’s Annual Report on Form 10-K filed on March 20, 2017, and incorporated herein by reference).</w:t>
              </w:r>
            </w:hyperlink>
          </w:p>
        </w:tc>
      </w:tr>
      <w:tr>
        <w:trPr>
          <w:trHeight w:val="331"/>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10.41</w:t>
            </w:r>
          </w:p>
        </w:tc>
        <w:tc>
          <w:tcPr>
            <w:tcW w:w="140" w:type="dxa"/>
            <w:vAlign w:val="bottom"/>
          </w:tcPr>
          <w:p>
            <w:pPr>
              <w:spacing w:after="0"/>
              <w:rPr>
                <w:sz w:val="24"/>
                <w:szCs w:val="24"/>
                <w:color w:val="auto"/>
              </w:rPr>
            </w:pPr>
          </w:p>
        </w:tc>
        <w:tc>
          <w:tcPr>
            <w:tcW w:w="73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21">
              <w:r>
                <w:rPr>
                  <w:rFonts w:ascii="Arial" w:cs="Arial" w:eastAsia="Arial" w:hAnsi="Arial"/>
                  <w:sz w:val="18"/>
                  <w:szCs w:val="18"/>
                  <w:color w:val="0000EE"/>
                  <w:w w:val="89"/>
                </w:rPr>
                <w:t>Employment Agreement between the Company and Anthony J. Gaeta dated as of November 27, 2017.</w:t>
              </w:r>
            </w:hyperlink>
          </w:p>
        </w:tc>
        <w:tc>
          <w:tcPr>
            <w:tcW w:w="240" w:type="dxa"/>
            <w:vAlign w:val="bottom"/>
            <w:tcBorders>
              <w:top w:val="single" w:sz="8" w:color="0000EE"/>
            </w:tcBorders>
          </w:tcPr>
          <w:p>
            <w:pPr>
              <w:spacing w:after="0"/>
              <w:rPr>
                <w:sz w:val="24"/>
                <w:szCs w:val="24"/>
                <w:color w:val="auto"/>
              </w:rPr>
            </w:pPr>
          </w:p>
        </w:tc>
        <w:tc>
          <w:tcPr>
            <w:tcW w:w="1940" w:type="dxa"/>
            <w:vAlign w:val="bottom"/>
            <w:gridSpan w:val="24"/>
          </w:tcPr>
          <w:p>
            <w:pPr>
              <w:spacing w:after="0"/>
              <w:rPr>
                <w:sz w:val="24"/>
                <w:szCs w:val="24"/>
                <w:color w:val="auto"/>
              </w:rPr>
            </w:pPr>
          </w:p>
        </w:tc>
      </w:tr>
      <w:tr>
        <w:trPr>
          <w:trHeight w:val="331"/>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24"/>
                <w:szCs w:val="24"/>
                <w:color w:val="auto"/>
              </w:rPr>
            </w:pPr>
          </w:p>
        </w:tc>
        <w:tc>
          <w:tcPr>
            <w:tcW w:w="9560" w:type="dxa"/>
            <w:vAlign w:val="bottom"/>
            <w:tcBorders>
              <w:bottom w:val="single" w:sz="8" w:color="0000EE"/>
            </w:tcBorders>
            <w:gridSpan w:val="32"/>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Employment Agreement between the Company and Sahal S. Laher effective as of January 30, 2017 (included as Exhibit 10.44 to the</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Company’s Annual Report on Form 10-K filed on March 20, 2017,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160" w:type="dxa"/>
            <w:vAlign w:val="bottom"/>
            <w:gridSpan w:val="6"/>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45"/>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10.43</w:t>
            </w:r>
          </w:p>
        </w:tc>
        <w:tc>
          <w:tcPr>
            <w:tcW w:w="140" w:type="dxa"/>
            <w:vAlign w:val="bottom"/>
          </w:tcPr>
          <w:p>
            <w:pPr>
              <w:spacing w:after="0"/>
              <w:rPr>
                <w:sz w:val="24"/>
                <w:szCs w:val="24"/>
                <w:color w:val="auto"/>
              </w:rPr>
            </w:pPr>
          </w:p>
        </w:tc>
        <w:tc>
          <w:tcPr>
            <w:tcW w:w="9460" w:type="dxa"/>
            <w:vAlign w:val="bottom"/>
            <w:tcBorders>
              <w:bottom w:val="single" w:sz="8" w:color="0000EE"/>
            </w:tcBorders>
            <w:gridSpan w:val="29"/>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Temporary Consulting Agreement, effective August 14, 2017, between the Company and Oliver Walsh (included as Exhibit 10.1 to</w:t>
              </w:r>
            </w:hyperlink>
          </w:p>
        </w:tc>
        <w:tc>
          <w:tcPr>
            <w:tcW w:w="10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the Company’s Current Report on Form 8-K filed on August 23, 2017, and incorporated herein by reference).</w:t>
              </w:r>
            </w:hyperlink>
          </w:p>
        </w:tc>
        <w:tc>
          <w:tcPr>
            <w:tcW w:w="1680" w:type="dxa"/>
            <w:vAlign w:val="bottom"/>
            <w:gridSpan w:val="22"/>
          </w:tcPr>
          <w:p>
            <w:pPr>
              <w:spacing w:after="0"/>
              <w:rPr>
                <w:sz w:val="17"/>
                <w:szCs w:val="17"/>
                <w:color w:val="auto"/>
              </w:rPr>
            </w:pPr>
          </w:p>
        </w:tc>
      </w:tr>
      <w:tr>
        <w:trPr>
          <w:trHeight w:val="318"/>
        </w:trPr>
        <w:tc>
          <w:tcPr>
            <w:tcW w:w="1040" w:type="dxa"/>
            <w:vAlign w:val="bottom"/>
          </w:tcPr>
          <w:p>
            <w:pPr>
              <w:jc w:val="right"/>
              <w:ind w:right="451"/>
              <w:spacing w:after="0"/>
              <w:rPr>
                <w:sz w:val="20"/>
                <w:szCs w:val="20"/>
                <w:color w:val="auto"/>
              </w:rPr>
            </w:pPr>
            <w:r>
              <w:rPr>
                <w:rFonts w:ascii="Arial" w:cs="Arial" w:eastAsia="Arial" w:hAnsi="Arial"/>
                <w:sz w:val="18"/>
                <w:szCs w:val="18"/>
                <w:color w:val="auto"/>
              </w:rPr>
              <w:t>10.44</w:t>
            </w:r>
          </w:p>
        </w:tc>
        <w:tc>
          <w:tcPr>
            <w:tcW w:w="140" w:type="dxa"/>
            <w:vAlign w:val="bottom"/>
          </w:tcPr>
          <w:p>
            <w:pPr>
              <w:spacing w:after="0"/>
              <w:rPr>
                <w:sz w:val="24"/>
                <w:szCs w:val="24"/>
                <w:color w:val="auto"/>
              </w:rPr>
            </w:pPr>
          </w:p>
        </w:tc>
        <w:tc>
          <w:tcPr>
            <w:tcW w:w="9140" w:type="dxa"/>
            <w:vAlign w:val="bottom"/>
            <w:tcBorders>
              <w:bottom w:val="single" w:sz="8" w:color="0000EE"/>
            </w:tcBorders>
            <w:gridSpan w:val="18"/>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2016 Destination XL Group, Inc. Long-Term Incentive Wrap-Around Plan (included as Exhibit 10.1 to the Company’s Current</w:t>
              </w:r>
            </w:hyperlink>
          </w:p>
        </w:tc>
        <w:tc>
          <w:tcPr>
            <w:tcW w:w="42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32"/>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Report on Form 8-K filed November 13, 2014, and incorporated herein by reference).</w:t>
              </w:r>
            </w:hyperlink>
          </w:p>
        </w:tc>
      </w:tr>
      <w:tr>
        <w:trPr>
          <w:trHeight w:val="709"/>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tcBorders>
              <w:top w:val="single" w:sz="8" w:color="0000EE"/>
            </w:tcBorders>
            <w:gridSpan w:val="6"/>
          </w:tcPr>
          <w:p>
            <w:pPr>
              <w:jc w:val="right"/>
              <w:ind w:right="1540"/>
              <w:spacing w:after="0"/>
              <w:rPr>
                <w:sz w:val="20"/>
                <w:szCs w:val="20"/>
                <w:color w:val="auto"/>
              </w:rPr>
            </w:pPr>
            <w:r>
              <w:rPr>
                <w:rFonts w:ascii="Arial" w:cs="Arial" w:eastAsia="Arial" w:hAnsi="Arial"/>
                <w:sz w:val="18"/>
                <w:szCs w:val="18"/>
                <w:color w:val="auto"/>
              </w:rPr>
              <w:t>75</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740" w:space="120"/>
            <w:col w:w="360"/>
          </w:cols>
          <w:pgMar w:left="240" w:top="238" w:right="4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Exhibits</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26"/>
        </w:trPr>
        <w:tc>
          <w:tcPr>
            <w:tcW w:w="1040" w:type="dxa"/>
            <w:vAlign w:val="bottom"/>
          </w:tcPr>
          <w:p>
            <w:pPr>
              <w:ind w:left="10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4"/>
                <w:szCs w:val="24"/>
                <w:color w:val="auto"/>
              </w:rPr>
            </w:pPr>
          </w:p>
        </w:tc>
        <w:tc>
          <w:tcPr>
            <w:tcW w:w="9220" w:type="dxa"/>
            <w:vAlign w:val="bottom"/>
            <w:tcBorders>
              <w:bottom w:val="single" w:sz="8" w:color="0000EE"/>
            </w:tcBorders>
            <w:gridSpan w:val="12"/>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Form of Non-Qualified Stock Option Agreement pursuant to the Company’s 2013-2016 Long-Term Incentive Plan (included as</w:t>
              </w:r>
            </w:hyperlink>
          </w:p>
        </w:tc>
        <w:tc>
          <w:tcPr>
            <w:tcW w:w="36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Exhibit 10.2 to the Company’s Quarterly Report on Form 10-Q filed on August 23, 2013, and incorporated herein by reference).</w:t>
              </w:r>
            </w:hyperlink>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4"/>
                <w:szCs w:val="24"/>
                <w:color w:val="auto"/>
              </w:rPr>
            </w:pPr>
          </w:p>
        </w:tc>
        <w:tc>
          <w:tcPr>
            <w:tcW w:w="92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Company’s Third Amended and Restated Annual Incentive Plan (included as Exhibit 10.49 to the Company’s Annual Report on</w:t>
              </w:r>
            </w:hyperlink>
          </w:p>
        </w:tc>
        <w:tc>
          <w:tcPr>
            <w:tcW w:w="34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Form 10-K filed on March 20, 2017,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4"/>
                <w:szCs w:val="24"/>
                <w:color w:val="auto"/>
              </w:rPr>
            </w:pPr>
          </w:p>
        </w:tc>
        <w:tc>
          <w:tcPr>
            <w:tcW w:w="9460" w:type="dxa"/>
            <w:vAlign w:val="bottom"/>
            <w:tcBorders>
              <w:bottom w:val="single" w:sz="8" w:color="0000EE"/>
            </w:tcBorders>
            <w:gridSpan w:val="17"/>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Company’s First Amended and Restated Long-Term Incentive Plan (included as Exhibit 10.50 to the Company’s Annual Report on</w:t>
              </w:r>
            </w:hyperlink>
          </w:p>
        </w:tc>
        <w:tc>
          <w:tcPr>
            <w:tcW w:w="12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Form 10-K filed on March 20, 2017,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40" w:type="dxa"/>
            <w:vAlign w:val="bottom"/>
          </w:tcPr>
          <w:p>
            <w:pPr>
              <w:ind w:left="10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4"/>
                <w:szCs w:val="24"/>
                <w:color w:val="auto"/>
              </w:rPr>
            </w:pPr>
          </w:p>
        </w:tc>
        <w:tc>
          <w:tcPr>
            <w:tcW w:w="9560" w:type="dxa"/>
            <w:vAlign w:val="bottom"/>
            <w:tcBorders>
              <w:bottom w:val="single" w:sz="8" w:color="0000EE"/>
            </w:tcBorders>
            <w:gridSpan w:val="19"/>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Registration Rights Agreement dated November 18, 2003 by and between the Company and Thomas Weisel Partners LLC (included</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as Exhibit 10.4 to the Company’s Quarterly Report on Form 10-Q filed on December 9, 2003 (File No. 001-34219), and</w:t>
              </w:r>
            </w:hyperlink>
          </w:p>
        </w:tc>
        <w:tc>
          <w:tcPr>
            <w:tcW w:w="92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incorporated herein by reference).</w:t>
              </w:r>
            </w:hyperlink>
          </w:p>
        </w:tc>
        <w:tc>
          <w:tcPr>
            <w:tcW w:w="7120" w:type="dxa"/>
            <w:vAlign w:val="bottom"/>
            <w:gridSpan w:val="17"/>
          </w:tcPr>
          <w:p>
            <w:pPr>
              <w:spacing w:after="0"/>
              <w:rPr>
                <w:sz w:val="17"/>
                <w:szCs w:val="17"/>
                <w:color w:val="auto"/>
              </w:rPr>
            </w:pPr>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4"/>
                <w:szCs w:val="24"/>
                <w:color w:val="auto"/>
              </w:rPr>
            </w:pPr>
          </w:p>
        </w:tc>
        <w:tc>
          <w:tcPr>
            <w:tcW w:w="9460" w:type="dxa"/>
            <w:vAlign w:val="bottom"/>
            <w:tcBorders>
              <w:bottom w:val="single" w:sz="8" w:color="0000EE"/>
            </w:tcBorders>
            <w:gridSpan w:val="17"/>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Letter Agreement between the Company and Prescott Group Capital Management, L.L.C., et al, dated December 6, 2017 (included</w:t>
              </w:r>
            </w:hyperlink>
          </w:p>
        </w:tc>
        <w:tc>
          <w:tcPr>
            <w:tcW w:w="12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18"/>
                <w:szCs w:val="18"/>
                <w:color w:val="0000EE"/>
                <w:w w:val="94"/>
              </w:rPr>
            </w:pPr>
            <w:hyperlink r:id="rId153">
              <w:r>
                <w:rPr>
                  <w:rFonts w:ascii="Arial" w:cs="Arial" w:eastAsia="Arial" w:hAnsi="Arial"/>
                  <w:sz w:val="18"/>
                  <w:szCs w:val="18"/>
                  <w:color w:val="0000EE"/>
                  <w:w w:val="94"/>
                </w:rPr>
                <w:t>as Exhibit 10.1 to the Company’s Current Report on Form 8-K filed on December 8, 2017, an incorporated herein by reference).</w:t>
              </w:r>
            </w:hyperlink>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4"/>
                <w:szCs w:val="24"/>
                <w:color w:val="auto"/>
              </w:rPr>
            </w:pPr>
          </w:p>
        </w:tc>
        <w:tc>
          <w:tcPr>
            <w:tcW w:w="9240" w:type="dxa"/>
            <w:vAlign w:val="bottom"/>
            <w:tcBorders>
              <w:top w:val="single" w:sz="8" w:color="0000EE"/>
            </w:tcBorders>
            <w:gridSpan w:val="13"/>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Letter Agreement, dated January 29, 2014, by and between the Company and Red Mountain Capital Partners LLC (included as</w:t>
              </w:r>
            </w:hyperlink>
          </w:p>
        </w:tc>
        <w:tc>
          <w:tcPr>
            <w:tcW w:w="340" w:type="dxa"/>
            <w:vAlign w:val="bottom"/>
            <w:gridSpan w:val="7"/>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Exhibit 10.1 to the Company’s Quarterly Report on Form 10-Q filed on November 17, 2017, and incorporated herein by reference).</w:t>
              </w:r>
            </w:hyperlink>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4"/>
                <w:szCs w:val="24"/>
                <w:color w:val="auto"/>
              </w:rPr>
            </w:pPr>
          </w:p>
        </w:tc>
        <w:tc>
          <w:tcPr>
            <w:tcW w:w="8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Contribution Agreement dated January 30, 2006 by and among the Company, Spirit SPE Canton, LLC and Spirit Finance</w:t>
              </w:r>
            </w:hyperlink>
          </w:p>
        </w:tc>
        <w:tc>
          <w:tcPr>
            <w:tcW w:w="720" w:type="dxa"/>
            <w:vAlign w:val="bottom"/>
            <w:tcBorders>
              <w:top w:val="single" w:sz="8" w:color="0000EE"/>
            </w:tcBorders>
            <w:gridSpan w:val="9"/>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Acquisitions, LLC (included as Exhibit 10.1 to the Company’s Current Report on Form 8-K filed on February 3, 2006 (File No. 001-</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34219)</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4"/>
                <w:szCs w:val="24"/>
                <w:color w:val="auto"/>
              </w:rPr>
            </w:pPr>
          </w:p>
        </w:tc>
        <w:tc>
          <w:tcPr>
            <w:tcW w:w="9320" w:type="dxa"/>
            <w:vAlign w:val="bottom"/>
            <w:tcBorders>
              <w:bottom w:val="single" w:sz="8" w:color="0000EE"/>
            </w:tcBorders>
            <w:gridSpan w:val="15"/>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Membership Interest Purchase Agreement dated January 30, 2006 by and between the Company and Spirit Finance Acquisitions,</w:t>
              </w:r>
            </w:hyperlink>
          </w:p>
        </w:tc>
        <w:tc>
          <w:tcPr>
            <w:tcW w:w="2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LLC (included as Exhibit 10.2 to the Company’s Current Report on Form 8-K filed on February 3, 2006 (File No. 001-34219), and</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incorporated herein by reference).</w:t>
              </w:r>
            </w:hyperlink>
          </w:p>
        </w:tc>
        <w:tc>
          <w:tcPr>
            <w:tcW w:w="6980" w:type="dxa"/>
            <w:vAlign w:val="bottom"/>
            <w:tcBorders>
              <w:top w:val="single" w:sz="8" w:color="0000EE"/>
            </w:tcBorders>
            <w:gridSpan w:val="13"/>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4"/>
                <w:szCs w:val="24"/>
                <w:color w:val="auto"/>
              </w:rPr>
            </w:pPr>
          </w:p>
        </w:tc>
        <w:tc>
          <w:tcPr>
            <w:tcW w:w="9580" w:type="dxa"/>
            <w:vAlign w:val="bottom"/>
            <w:tcBorders>
              <w:bottom w:val="single" w:sz="8" w:color="0000EE"/>
            </w:tcBorders>
            <w:gridSpan w:val="20"/>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Lease Agreement dated February 1, 2006 by and between the Company and Spirit SPE Canton, LLC (included as Exhibit 10.3 to the</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20"/>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Company’s Current Report on Form 8-K filed on February 3, 2006, and incorporated herein by reference).</w:t>
              </w:r>
            </w:hyperlink>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7660" w:type="dxa"/>
            <w:vAlign w:val="bottom"/>
            <w:tcBorders>
              <w:top w:val="single" w:sz="8" w:color="0000EE"/>
            </w:tcBorders>
            <w:gridSpan w:val="7"/>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Subsidiaries of the Registrant</w:t>
              </w:r>
            </w:hyperlink>
            <w:r>
              <w:rPr>
                <w:rFonts w:ascii="Arial" w:cs="Arial" w:eastAsia="Arial" w:hAnsi="Arial"/>
                <w:sz w:val="18"/>
                <w:szCs w:val="18"/>
                <w:color w:val="000000"/>
              </w:rPr>
              <w:t>.</w:t>
            </w:r>
          </w:p>
        </w:tc>
        <w:tc>
          <w:tcPr>
            <w:tcW w:w="1920" w:type="dxa"/>
            <w:vAlign w:val="bottom"/>
            <w:gridSpan w:val="13"/>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3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38">
              <w:r>
                <w:rPr>
                  <w:rFonts w:ascii="Arial" w:cs="Arial" w:eastAsia="Arial" w:hAnsi="Arial"/>
                  <w:sz w:val="18"/>
                  <w:szCs w:val="18"/>
                  <w:color w:val="0000EE"/>
                  <w:w w:val="91"/>
                </w:rPr>
                <w:t>Consent of Independent Registered Public Accounting Firm.</w:t>
              </w:r>
            </w:hyperlink>
          </w:p>
        </w:tc>
        <w:tc>
          <w:tcPr>
            <w:tcW w:w="5200" w:type="dxa"/>
            <w:vAlign w:val="bottom"/>
            <w:gridSpan w:val="15"/>
          </w:tcPr>
          <w:p>
            <w:pPr>
              <w:spacing w:after="0"/>
              <w:rPr>
                <w:sz w:val="24"/>
                <w:szCs w:val="24"/>
                <w:color w:val="auto"/>
              </w:rPr>
            </w:pPr>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580" w:type="dxa"/>
            <w:vAlign w:val="bottom"/>
            <w:gridSpan w:val="20"/>
          </w:tcPr>
          <w:p>
            <w:pPr>
              <w:spacing w:after="0"/>
              <w:rPr>
                <w:rFonts w:ascii="Arial" w:cs="Arial" w:eastAsia="Arial" w:hAnsi="Arial"/>
                <w:sz w:val="18"/>
                <w:szCs w:val="18"/>
                <w:color w:val="0000EE"/>
                <w:w w:val="94"/>
              </w:rPr>
            </w:pPr>
            <w:hyperlink w:anchor="page139">
              <w:r>
                <w:rPr>
                  <w:rFonts w:ascii="Arial" w:cs="Arial" w:eastAsia="Arial" w:hAnsi="Arial"/>
                  <w:sz w:val="18"/>
                  <w:szCs w:val="18"/>
                  <w:color w:val="0000EE"/>
                  <w:w w:val="94"/>
                </w:rPr>
                <w:t>Certification of Chief Executive Officer of the Company pursuant to Rule 13a-14(a) under the Securities Exchange Act of 1934.</w:t>
              </w:r>
            </w:hyperlink>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2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140">
              <w:r>
                <w:rPr>
                  <w:rFonts w:ascii="Arial" w:cs="Arial" w:eastAsia="Arial" w:hAnsi="Arial"/>
                  <w:sz w:val="18"/>
                  <w:szCs w:val="18"/>
                  <w:color w:val="0000EE"/>
                  <w:w w:val="91"/>
                </w:rPr>
                <w:t>Certification of Chief Financial Officer of the Company pursuant to Rule 13a-14(a) under the Securities Exchange Act of 1934.</w:t>
              </w:r>
            </w:hyperlink>
          </w:p>
        </w:tc>
        <w:tc>
          <w:tcPr>
            <w:tcW w:w="40" w:type="dxa"/>
            <w:vAlign w:val="bottom"/>
            <w:tcBorders>
              <w:top w:val="single" w:sz="8" w:color="0000EE"/>
            </w:tcBorders>
            <w:gridSpan w:val="2"/>
          </w:tcPr>
          <w:p>
            <w:pPr>
              <w:spacing w:after="0"/>
              <w:rPr>
                <w:sz w:val="24"/>
                <w:szCs w:val="24"/>
                <w:color w:val="auto"/>
              </w:rPr>
            </w:pPr>
          </w:p>
        </w:tc>
        <w:tc>
          <w:tcPr>
            <w:tcW w:w="340" w:type="dxa"/>
            <w:vAlign w:val="bottom"/>
            <w:gridSpan w:val="7"/>
          </w:tcPr>
          <w:p>
            <w:pPr>
              <w:spacing w:after="0"/>
              <w:rPr>
                <w:sz w:val="24"/>
                <w:szCs w:val="24"/>
                <w:color w:val="auto"/>
              </w:rPr>
            </w:pPr>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3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41">
              <w:r>
                <w:rPr>
                  <w:rFonts w:ascii="Arial" w:cs="Arial" w:eastAsia="Arial" w:hAnsi="Arial"/>
                  <w:sz w:val="18"/>
                  <w:szCs w:val="18"/>
                  <w:color w:val="0000EE"/>
                  <w:w w:val="90"/>
                </w:rPr>
                <w:t>Certification of Chief Executive Officer pursuant to 18 U.S.C. Section 1350, as adopted pursuant to Section 906 of the Sarbanes-</w:t>
              </w:r>
            </w:hyperlink>
          </w:p>
        </w:tc>
        <w:tc>
          <w:tcPr>
            <w:tcW w:w="28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Oxley Act of 2002.</w:t>
              </w:r>
            </w:hyperlink>
          </w:p>
        </w:tc>
        <w:tc>
          <w:tcPr>
            <w:tcW w:w="8180" w:type="dxa"/>
            <w:vAlign w:val="bottom"/>
            <w:gridSpan w:val="19"/>
          </w:tcPr>
          <w:p>
            <w:pPr>
              <w:spacing w:after="0"/>
              <w:rPr>
                <w:sz w:val="17"/>
                <w:szCs w:val="17"/>
                <w:color w:val="auto"/>
              </w:rPr>
            </w:pPr>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580" w:type="dxa"/>
            <w:vAlign w:val="bottom"/>
            <w:gridSpan w:val="20"/>
          </w:tcPr>
          <w:p>
            <w:pPr>
              <w:spacing w:after="0"/>
              <w:rPr>
                <w:rFonts w:ascii="Arial" w:cs="Arial" w:eastAsia="Arial" w:hAnsi="Arial"/>
                <w:sz w:val="18"/>
                <w:szCs w:val="18"/>
                <w:color w:val="0000EE"/>
                <w:w w:val="93"/>
              </w:rPr>
            </w:pPr>
            <w:hyperlink w:anchor="page142">
              <w:r>
                <w:rPr>
                  <w:rFonts w:ascii="Arial" w:cs="Arial" w:eastAsia="Arial" w:hAnsi="Arial"/>
                  <w:sz w:val="18"/>
                  <w:szCs w:val="18"/>
                  <w:color w:val="0000EE"/>
                  <w:w w:val="93"/>
                </w:rPr>
                <w:t>Certification of Chief Financial Officer pursuant to 18 U.S.C. Section 1350, as adopted pursuant to Section 906 of the Sarbanes-</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Oxley Act of 2002.</w:t>
              </w:r>
            </w:hyperlink>
          </w:p>
        </w:tc>
        <w:tc>
          <w:tcPr>
            <w:tcW w:w="7840" w:type="dxa"/>
            <w:vAlign w:val="bottom"/>
            <w:tcBorders>
              <w:top w:val="single" w:sz="8" w:color="0000EE"/>
            </w:tcBorders>
            <w:gridSpan w:val="12"/>
          </w:tcPr>
          <w:p>
            <w:pPr>
              <w:spacing w:after="0"/>
              <w:rPr>
                <w:sz w:val="17"/>
                <w:szCs w:val="17"/>
                <w:color w:val="auto"/>
              </w:rPr>
            </w:pPr>
          </w:p>
        </w:tc>
        <w:tc>
          <w:tcPr>
            <w:tcW w:w="340" w:type="dxa"/>
            <w:vAlign w:val="bottom"/>
            <w:gridSpan w:val="7"/>
          </w:tcPr>
          <w:p>
            <w:pPr>
              <w:spacing w:after="0"/>
              <w:rPr>
                <w:sz w:val="17"/>
                <w:szCs w:val="17"/>
                <w:color w:val="auto"/>
              </w:rPr>
            </w:pPr>
          </w:p>
        </w:tc>
      </w:tr>
    </w:tbl>
    <w:p>
      <w:pPr>
        <w:spacing w:after="0" w:line="161" w:lineRule="exact"/>
        <w:rPr>
          <w:sz w:val="20"/>
          <w:szCs w:val="20"/>
          <w:color w:val="auto"/>
        </w:rPr>
      </w:pPr>
    </w:p>
    <w:p>
      <w:pPr>
        <w:ind w:left="1160" w:hanging="1152"/>
        <w:spacing w:after="0" w:line="279" w:lineRule="auto"/>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following materials from the Company’s Annual Report on Form 10-K for the year ended February 3, 2018,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pacing w:after="0" w:line="212"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Denotes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740" w:space="360"/>
            <w:col w:w="80"/>
          </w:cols>
          <w:pgMar w:left="240" w:top="238" w:right="47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p>
      <w:pPr>
        <w:spacing w:after="0" w:line="9" w:lineRule="exact"/>
        <w:rPr>
          <w:sz w:val="20"/>
          <w:szCs w:val="20"/>
          <w:color w:val="auto"/>
        </w:rPr>
      </w:pPr>
    </w:p>
    <w:p>
      <w:pPr>
        <w:ind w:left="6820"/>
        <w:spacing w:after="0"/>
        <w:tabs>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3"/>
          <w:szCs w:val="13"/>
          <w:color w:val="auto"/>
        </w:rPr>
        <w:t>AVID</w:t>
      </w:r>
      <w:r>
        <w:rPr>
          <w:rFonts w:ascii="Arial" w:cs="Arial" w:eastAsia="Arial" w:hAnsi="Arial"/>
          <w:sz w:val="18"/>
          <w:szCs w:val="18"/>
          <w:color w:val="auto"/>
        </w:rPr>
        <w:t xml:space="preserve"> A. L</w:t>
      </w:r>
      <w:r>
        <w:rPr>
          <w:rFonts w:ascii="Arial" w:cs="Arial" w:eastAsia="Arial" w:hAnsi="Arial"/>
          <w:sz w:val="13"/>
          <w:szCs w:val="13"/>
          <w:color w:val="auto"/>
        </w:rPr>
        <w:t>EVIN</w:t>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-97790</wp:posOffset>
            </wp:positionV>
            <wp:extent cx="2675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420"/>
          </w:cols>
          <w:pgMar w:left="240" w:top="243" w:right="239" w:bottom="1440" w:gutter="0" w:footer="0" w:header="0"/>
        </w:sectPr>
      </w:pPr>
    </w:p>
    <w:p>
      <w:pPr>
        <w:spacing w:after="0" w:line="162"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984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2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AVID</w:t>
      </w:r>
      <w:r>
        <w:rPr>
          <w:rFonts w:ascii="Arial" w:cs="Arial" w:eastAsia="Arial" w:hAnsi="Arial"/>
          <w:sz w:val="18"/>
          <w:szCs w:val="18"/>
          <w:color w:val="auto"/>
        </w:rPr>
        <w:t xml:space="preserve"> A. L</w:t>
      </w:r>
      <w:r>
        <w:rPr>
          <w:rFonts w:ascii="Arial" w:cs="Arial" w:eastAsia="Arial" w:hAnsi="Arial"/>
          <w:sz w:val="13"/>
          <w:szCs w:val="13"/>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David A. Levin</w:t>
      </w:r>
    </w:p>
    <w:p>
      <w:pPr>
        <w:spacing w:after="0" w:line="131"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/s/ P</w:t>
      </w:r>
      <w:r>
        <w:rPr>
          <w:rFonts w:ascii="Arial" w:cs="Arial" w:eastAsia="Arial" w:hAnsi="Arial"/>
          <w:sz w:val="12"/>
          <w:szCs w:val="12"/>
          <w:color w:val="auto"/>
        </w:rPr>
        <w:t>ETER</w:t>
      </w:r>
      <w:r>
        <w:rPr>
          <w:rFonts w:ascii="Arial" w:cs="Arial" w:eastAsia="Arial" w:hAnsi="Arial"/>
          <w:sz w:val="17"/>
          <w:szCs w:val="17"/>
          <w:color w:val="auto"/>
        </w:rPr>
        <w:t xml:space="preserve"> H. S</w:t>
      </w:r>
      <w:r>
        <w:rPr>
          <w:rFonts w:ascii="Arial" w:cs="Arial" w:eastAsia="Arial" w:hAnsi="Arial"/>
          <w:sz w:val="12"/>
          <w:szCs w:val="12"/>
          <w:color w:val="auto"/>
        </w:rPr>
        <w:t>TRATTON</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5984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6"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Peter H. Stratton, Jr.</w:t>
      </w:r>
    </w:p>
    <w:p>
      <w:pPr>
        <w:spacing w:after="0" w:line="131"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F. C</w:t>
      </w:r>
      <w:r>
        <w:rPr>
          <w:rFonts w:ascii="Arial" w:cs="Arial" w:eastAsia="Arial" w:hAnsi="Arial"/>
          <w:sz w:val="13"/>
          <w:szCs w:val="13"/>
          <w:color w:val="auto"/>
        </w:rPr>
        <w:t>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John F. Cooney</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EYMOUR</w:t>
      </w:r>
      <w:r>
        <w:rPr>
          <w:rFonts w:ascii="Arial" w:cs="Arial" w:eastAsia="Arial" w:hAnsi="Arial"/>
          <w:sz w:val="18"/>
          <w:szCs w:val="18"/>
          <w:color w:val="auto"/>
        </w:rPr>
        <w:t xml:space="preserve"> H</w:t>
      </w:r>
      <w:r>
        <w:rPr>
          <w:rFonts w:ascii="Arial" w:cs="Arial" w:eastAsia="Arial" w:hAnsi="Arial"/>
          <w:sz w:val="13"/>
          <w:szCs w:val="13"/>
          <w:color w:val="auto"/>
        </w:rPr>
        <w:t>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Seymour Holtzman</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E. K</w:t>
      </w:r>
      <w:r>
        <w:rPr>
          <w:rFonts w:ascii="Arial" w:cs="Arial" w:eastAsia="Arial" w:hAnsi="Arial"/>
          <w:sz w:val="13"/>
          <w:szCs w:val="13"/>
          <w:color w:val="auto"/>
        </w:rPr>
        <w:t>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John E. Kyees</w:t>
      </w:r>
    </w:p>
    <w:p>
      <w:pPr>
        <w:spacing w:after="0" w:line="117"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ACK</w:t>
      </w:r>
      <w:r>
        <w:rPr>
          <w:rFonts w:ascii="Arial" w:cs="Arial" w:eastAsia="Arial" w:hAnsi="Arial"/>
          <w:sz w:val="18"/>
          <w:szCs w:val="18"/>
          <w:color w:val="auto"/>
        </w:rPr>
        <w:t xml:space="preserve"> B</w:t>
      </w:r>
      <w:r>
        <w:rPr>
          <w:rFonts w:ascii="Arial" w:cs="Arial" w:eastAsia="Arial" w:hAnsi="Arial"/>
          <w:sz w:val="13"/>
          <w:szCs w:val="13"/>
          <w:color w:val="auto"/>
        </w:rPr>
        <w:t>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Jack Boyle</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W</w:t>
      </w:r>
      <w:r>
        <w:rPr>
          <w:rFonts w:ascii="Arial" w:cs="Arial" w:eastAsia="Arial" w:hAnsi="Arial"/>
          <w:sz w:val="13"/>
          <w:szCs w:val="13"/>
          <w:color w:val="auto"/>
        </w:rPr>
        <w:t>ILLEM</w:t>
      </w:r>
      <w:r>
        <w:rPr>
          <w:rFonts w:ascii="Arial" w:cs="Arial" w:eastAsia="Arial" w:hAnsi="Arial"/>
          <w:sz w:val="18"/>
          <w:szCs w:val="18"/>
          <w:color w:val="auto"/>
        </w:rPr>
        <w:t xml:space="preserve"> M</w:t>
      </w:r>
      <w:r>
        <w:rPr>
          <w:rFonts w:ascii="Arial" w:cs="Arial" w:eastAsia="Arial" w:hAnsi="Arial"/>
          <w:sz w:val="13"/>
          <w:szCs w:val="13"/>
          <w:color w:val="auto"/>
        </w:rPr>
        <w:t>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Willem Mesdag</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W</w:t>
      </w:r>
      <w:r>
        <w:rPr>
          <w:rFonts w:ascii="Arial" w:cs="Arial" w:eastAsia="Arial" w:hAnsi="Arial"/>
          <w:sz w:val="13"/>
          <w:szCs w:val="13"/>
          <w:color w:val="auto"/>
        </w:rPr>
        <w:t>ARD</w:t>
      </w:r>
      <w:r>
        <w:rPr>
          <w:rFonts w:ascii="Arial" w:cs="Arial" w:eastAsia="Arial" w:hAnsi="Arial"/>
          <w:sz w:val="18"/>
          <w:szCs w:val="18"/>
          <w:color w:val="auto"/>
        </w:rPr>
        <w:t xml:space="preserve"> K. M</w:t>
      </w:r>
      <w:r>
        <w:rPr>
          <w:rFonts w:ascii="Arial" w:cs="Arial" w:eastAsia="Arial" w:hAnsi="Arial"/>
          <w:sz w:val="13"/>
          <w:szCs w:val="13"/>
          <w:color w:val="auto"/>
        </w:rPr>
        <w:t>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Ward K. Mooney</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ITCHELL</w:t>
      </w:r>
      <w:r>
        <w:rPr>
          <w:rFonts w:ascii="Arial" w:cs="Arial" w:eastAsia="Arial" w:hAnsi="Arial"/>
          <w:sz w:val="18"/>
          <w:szCs w:val="18"/>
          <w:color w:val="auto"/>
        </w:rPr>
        <w:t xml:space="preserve"> S. P</w:t>
      </w:r>
      <w:r>
        <w:rPr>
          <w:rFonts w:ascii="Arial" w:cs="Arial" w:eastAsia="Arial" w:hAnsi="Arial"/>
          <w:sz w:val="13"/>
          <w:szCs w:val="13"/>
          <w:color w:val="auto"/>
        </w:rPr>
        <w: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Mitchell S. Presser</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I</w:t>
      </w:r>
      <w:r>
        <w:rPr>
          <w:rFonts w:ascii="Arial" w:cs="Arial" w:eastAsia="Arial" w:hAnsi="Arial"/>
          <w:sz w:val="13"/>
          <w:szCs w:val="13"/>
          <w:color w:val="auto"/>
        </w:rPr>
        <w:t>VY</w:t>
      </w:r>
      <w:r>
        <w:rPr>
          <w:rFonts w:ascii="Arial" w:cs="Arial" w:eastAsia="Arial" w:hAnsi="Arial"/>
          <w:sz w:val="18"/>
          <w:szCs w:val="18"/>
          <w:color w:val="auto"/>
        </w:rPr>
        <w:t xml:space="preserve"> R</w:t>
      </w:r>
      <w:r>
        <w:rPr>
          <w:rFonts w:ascii="Arial" w:cs="Arial" w:eastAsia="Arial" w:hAnsi="Arial"/>
          <w:sz w:val="13"/>
          <w:szCs w:val="13"/>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Ivy Ross</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O</w:t>
      </w:r>
      <w:r>
        <w:rPr>
          <w:rFonts w:ascii="Arial" w:cs="Arial" w:eastAsia="Arial" w:hAnsi="Arial"/>
          <w:sz w:val="13"/>
          <w:szCs w:val="13"/>
          <w:color w:val="auto"/>
        </w:rPr>
        <w:t>LIVER</w:t>
      </w:r>
      <w:r>
        <w:rPr>
          <w:rFonts w:ascii="Arial" w:cs="Arial" w:eastAsia="Arial" w:hAnsi="Arial"/>
          <w:sz w:val="18"/>
          <w:szCs w:val="18"/>
          <w:color w:val="auto"/>
        </w:rPr>
        <w:t xml:space="preserve">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Oliver Walsh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19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w:t>
            </w:r>
          </w:p>
        </w:tc>
      </w:tr>
      <w:tr>
        <w:trPr>
          <w:trHeight w:val="317"/>
        </w:trPr>
        <w:tc>
          <w:tcPr>
            <w:tcW w:w="5220" w:type="dxa"/>
            <w:vAlign w:val="bottom"/>
            <w:gridSpan w:val="2"/>
          </w:tcPr>
          <w:p>
            <w:pPr>
              <w:spacing w:after="0"/>
              <w:rPr>
                <w:sz w:val="20"/>
                <w:szCs w:val="20"/>
                <w:color w:val="auto"/>
              </w:rPr>
            </w:pPr>
            <w:r>
              <w:rPr>
                <w:rFonts w:ascii="Arial" w:cs="Arial" w:eastAsia="Arial" w:hAnsi="Arial"/>
                <w:sz w:val="18"/>
                <w:szCs w:val="18"/>
                <w:color w:val="auto"/>
                <w:w w:val="98"/>
              </w:rPr>
              <w:t>President and Chief Executive Officer (Principal Executive Officer)</w:t>
            </w:r>
          </w:p>
        </w:tc>
        <w:tc>
          <w:tcPr>
            <w:tcW w:w="19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and Director</w:t>
            </w:r>
          </w:p>
        </w:tc>
        <w:tc>
          <w:tcPr>
            <w:tcW w:w="1940" w:type="dxa"/>
            <w:vAlign w:val="bottom"/>
          </w:tcPr>
          <w:p>
            <w:pPr>
              <w:spacing w:after="0"/>
              <w:rPr>
                <w:sz w:val="20"/>
                <w:szCs w:val="20"/>
                <w:color w:val="auto"/>
              </w:rPr>
            </w:pPr>
          </w:p>
        </w:tc>
      </w:tr>
      <w:tr>
        <w:trPr>
          <w:trHeight w:val="323"/>
        </w:trPr>
        <w:tc>
          <w:tcPr>
            <w:tcW w:w="5220" w:type="dxa"/>
            <w:vAlign w:val="bottom"/>
            <w:gridSpan w:val="2"/>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19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940" w:type="dxa"/>
            <w:vAlign w:val="bottom"/>
          </w:tcPr>
          <w:p>
            <w:pPr>
              <w:spacing w:after="0"/>
              <w:rPr>
                <w:sz w:val="20"/>
                <w:szCs w:val="20"/>
                <w:color w:val="auto"/>
              </w:rPr>
            </w:pPr>
          </w:p>
        </w:tc>
      </w:tr>
      <w:tr>
        <w:trPr>
          <w:trHeight w:val="323"/>
        </w:trPr>
        <w:tc>
          <w:tcPr>
            <w:tcW w:w="5220" w:type="dxa"/>
            <w:vAlign w:val="bottom"/>
            <w:gridSpan w:val="2"/>
          </w:tcPr>
          <w:p>
            <w:pPr>
              <w:spacing w:after="0"/>
              <w:rPr>
                <w:sz w:val="20"/>
                <w:szCs w:val="20"/>
                <w:color w:val="auto"/>
              </w:rPr>
            </w:pPr>
            <w:r>
              <w:rPr>
                <w:rFonts w:ascii="Arial" w:cs="Arial" w:eastAsia="Arial" w:hAnsi="Arial"/>
                <w:sz w:val="18"/>
                <w:szCs w:val="18"/>
                <w:color w:val="auto"/>
                <w:w w:val="98"/>
              </w:rPr>
              <w:t>Vice President of Finance, Chief Accounting Officer and Corporate</w:t>
            </w:r>
          </w:p>
        </w:tc>
        <w:tc>
          <w:tcPr>
            <w:tcW w:w="19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Controller (Principal Accounting Officer)</w:t>
            </w:r>
          </w:p>
        </w:tc>
        <w:tc>
          <w:tcPr>
            <w:tcW w:w="1940" w:type="dxa"/>
            <w:vAlign w:val="bottom"/>
          </w:tcPr>
          <w:p>
            <w:pPr>
              <w:spacing w:after="0"/>
              <w:rPr>
                <w:sz w:val="20"/>
                <w:szCs w:val="20"/>
                <w:color w:val="auto"/>
              </w:rPr>
            </w:pPr>
          </w:p>
        </w:tc>
      </w:tr>
      <w:tr>
        <w:trPr>
          <w:trHeight w:val="338"/>
        </w:trPr>
        <w:tc>
          <w:tcPr>
            <w:tcW w:w="5220" w:type="dxa"/>
            <w:vAlign w:val="bottom"/>
            <w:gridSpan w:val="2"/>
          </w:tcPr>
          <w:p>
            <w:pPr>
              <w:spacing w:after="0"/>
              <w:rPr>
                <w:sz w:val="20"/>
                <w:szCs w:val="20"/>
                <w:color w:val="auto"/>
              </w:rPr>
            </w:pPr>
            <w:r>
              <w:rPr>
                <w:rFonts w:ascii="Arial" w:cs="Arial" w:eastAsia="Arial" w:hAnsi="Arial"/>
                <w:sz w:val="18"/>
                <w:szCs w:val="18"/>
                <w:color w:val="auto"/>
              </w:rPr>
              <w:t>Executive Chairman of the Board of Directors</w:t>
            </w:r>
          </w:p>
        </w:tc>
        <w:tc>
          <w:tcPr>
            <w:tcW w:w="19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Lead Independent Director</w:t>
            </w:r>
          </w:p>
        </w:tc>
        <w:tc>
          <w:tcPr>
            <w:tcW w:w="19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23, 2018</w:t>
            </w:r>
          </w:p>
        </w:tc>
      </w:tr>
    </w:tbl>
    <w:p>
      <w:pPr>
        <w:spacing w:after="0" w:line="392" w:lineRule="exact"/>
        <w:rPr>
          <w:sz w:val="20"/>
          <w:szCs w:val="20"/>
          <w:color w:val="auto"/>
        </w:rPr>
      </w:pPr>
    </w:p>
    <w:p>
      <w:pPr>
        <w:sectPr>
          <w:pgSz w:w="11900" w:h="16838" w:orient="portrait"/>
          <w:cols w:equalWidth="0" w:num="2">
            <w:col w:w="3540" w:space="720"/>
            <w:col w:w="7160"/>
          </w:cols>
          <w:pgMar w:left="240" w:top="24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243" w:right="23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22"/>
          <w:szCs w:val="22"/>
          <w:color w:val="auto"/>
        </w:rPr>
        <w:t>EXH 10.10</w:t>
      </w:r>
    </w:p>
    <w:p>
      <w:pPr>
        <w:jc w:val="center"/>
        <w:spacing w:after="0" w:line="238" w:lineRule="auto"/>
        <w:rPr>
          <w:sz w:val="20"/>
          <w:szCs w:val="20"/>
          <w:color w:val="auto"/>
        </w:rPr>
      </w:pPr>
      <w:r>
        <w:rPr>
          <w:rFonts w:ascii="Arial" w:cs="Arial" w:eastAsia="Arial" w:hAnsi="Arial"/>
          <w:sz w:val="22"/>
          <w:szCs w:val="22"/>
          <w:u w:val="single" w:color="auto"/>
          <w:color w:val="auto"/>
        </w:rPr>
        <w:t>DESTINATION XL GROUP, INC.</w:t>
      </w:r>
    </w:p>
    <w:p>
      <w:pPr>
        <w:jc w:val="center"/>
        <w:spacing w:after="0" w:line="230" w:lineRule="auto"/>
        <w:rPr>
          <w:sz w:val="20"/>
          <w:szCs w:val="20"/>
          <w:color w:val="auto"/>
        </w:rPr>
      </w:pPr>
      <w:r>
        <w:rPr>
          <w:rFonts w:ascii="Arial" w:cs="Arial" w:eastAsia="Arial" w:hAnsi="Arial"/>
          <w:sz w:val="22"/>
          <w:szCs w:val="22"/>
          <w:u w:val="single" w:color="auto"/>
          <w:color w:val="auto"/>
        </w:rPr>
        <w:t>THIRD AMENDED AND RESTATED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NON-EMPLOYEE DIRECTOR COMPENSATION PLAN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 Establishment and Purpose</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Destination XL Group, Inc. (the “Company”) hereby amends and restates the Destination XL Group, Inc. Second Amended and Restated Non-Employee Director Compensation Plan (as amended, the “Plan”), for the purpose of supporting the Company’s ongoing efforts to attract and retain exceptional directors to provide strategic guidance to the Company. The Plan also provides a convenient method by which non-employee directors of the Company may acquire shares of Common Stock of the Company (“Shares”) at fair market value by voluntarily electing to receive Shares in lieu of fees otherwise payable to them in cash for service as a director or member of a committee of the Board of Directors of the Company (the “Board”). The Board may, from time to time, by resolution, require each Participant to elect to receive a specified percentage of all or any portion of the Participant’s Compensation hereunder in some form of equity in the Company, that is, Shares, Options or Deferred Stock (“Required Equity”). In addition, each Participant, at his/her discretion, will be able to elect to receive Shares, Options or Deferred Stock for any remaining portion of Compensation. Any Shares acquired by a Participant pursuant to this Plan as part of any Required Equity shall come from the Incentive Compensation Plan. Any Shares acquired by a Participant pursuant to this Plan other than as part of any Required Equity (i.e., pursuant to discretionary elections) shall come out of the pool of Shares reserved for issuance under Section 4 of this Plan, subject to adjustment as the Board may from time to time determine, and not from the Incentive Compensation Plan. The Plan shall be effective as of November 2, 2017. Elections for fiscal 2018 and thereafter must be submitted to the Company in accordance with Section 3(iii) no later than December 31 of the year preceding the fiscal year for which the election is to be effective.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 Definitions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When used herein, the following capitalized terms shall have the meanings assigned to them, unless the context clearly indicates otherwise. Capitalized terms used herein and not defined shall have the meanings assigned to them in the Incentive Compensation Plan.</w:t>
      </w:r>
    </w:p>
    <w:p>
      <w:pPr>
        <w:spacing w:after="0" w:line="186" w:lineRule="exact"/>
        <w:rPr>
          <w:sz w:val="20"/>
          <w:szCs w:val="20"/>
          <w:color w:val="auto"/>
        </w:rPr>
      </w:pPr>
    </w:p>
    <w:p>
      <w:pPr>
        <w:jc w:val="both"/>
        <w:ind w:left="1080" w:right="140" w:hanging="1072"/>
        <w:spacing w:after="0" w:line="297" w:lineRule="auto"/>
        <w:tabs>
          <w:tab w:leader="none" w:pos="10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Black-Scholes Valuation</w:t>
      </w:r>
      <w:r>
        <w:rPr>
          <w:rFonts w:ascii="Arial" w:cs="Arial" w:eastAsia="Arial" w:hAnsi="Arial"/>
          <w:sz w:val="19"/>
          <w:szCs w:val="19"/>
          <w:color w:val="auto"/>
        </w:rPr>
        <w:t>” means, with respect to an Option, the value of such Option as of the Grant Date calculated utilizing the same formula and assumptions as the Company utilized for the purpose of valuing outstanding options in its most recently (meaning at the time of the valuation) prepared audited annual financial statement.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8" w:name="page79"/>
    <w:bookmarkEnd w:id="78"/>
    <w:p>
      <w:pPr>
        <w:ind w:left="1072" w:hanging="1072"/>
        <w:spacing w:after="0"/>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means U.S. dollars.</w:t>
      </w:r>
    </w:p>
    <w:p>
      <w:pPr>
        <w:spacing w:after="0" w:line="206" w:lineRule="exact"/>
        <w:rPr>
          <w:rFonts w:ascii="Arial" w:cs="Arial" w:eastAsia="Arial" w:hAnsi="Arial"/>
          <w:sz w:val="22"/>
          <w:szCs w:val="22"/>
          <w:color w:val="auto"/>
        </w:rPr>
      </w:pPr>
    </w:p>
    <w:p>
      <w:pPr>
        <w:ind w:left="1072" w:hanging="1072"/>
        <w:spacing w:after="0"/>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United States Securities and Exchange Commission or any successor agency.</w:t>
      </w:r>
    </w:p>
    <w:p>
      <w:pPr>
        <w:spacing w:after="0" w:line="206" w:lineRule="exact"/>
        <w:rPr>
          <w:rFonts w:ascii="Arial" w:cs="Arial" w:eastAsia="Arial" w:hAnsi="Arial"/>
          <w:sz w:val="22"/>
          <w:szCs w:val="22"/>
          <w:color w:val="auto"/>
        </w:rPr>
      </w:pPr>
    </w:p>
    <w:p>
      <w:pPr>
        <w:ind w:left="1072" w:hanging="1072"/>
        <w:spacing w:after="0"/>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 par value $.01 per share.</w:t>
      </w:r>
    </w:p>
    <w:p>
      <w:pPr>
        <w:spacing w:after="0" w:line="206" w:lineRule="exact"/>
        <w:rPr>
          <w:rFonts w:ascii="Arial" w:cs="Arial" w:eastAsia="Arial" w:hAnsi="Arial"/>
          <w:sz w:val="22"/>
          <w:szCs w:val="22"/>
          <w:color w:val="auto"/>
        </w:rPr>
      </w:pPr>
    </w:p>
    <w:p>
      <w:pPr>
        <w:ind w:left="1072" w:right="260" w:hanging="1072"/>
        <w:spacing w:after="0" w:line="251" w:lineRule="auto"/>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w:t>
      </w:r>
      <w:r>
        <w:rPr>
          <w:rFonts w:ascii="Arial" w:cs="Arial" w:eastAsia="Arial" w:hAnsi="Arial"/>
          <w:sz w:val="22"/>
          <w:szCs w:val="22"/>
          <w:color w:val="auto"/>
        </w:rPr>
        <w:t>” means an award under the Plan that is payable in the form of Cash, Deferred Stock, Options and/or Shares pursuant to the terms and conditions set forth in this Plan.</w:t>
      </w:r>
    </w:p>
    <w:p>
      <w:pPr>
        <w:spacing w:after="0" w:line="173" w:lineRule="exact"/>
        <w:rPr>
          <w:rFonts w:ascii="Arial" w:cs="Arial" w:eastAsia="Arial" w:hAnsi="Arial"/>
          <w:sz w:val="22"/>
          <w:szCs w:val="22"/>
          <w:color w:val="auto"/>
        </w:rPr>
      </w:pPr>
    </w:p>
    <w:p>
      <w:pPr>
        <w:ind w:left="1072" w:right="40" w:hanging="1072"/>
        <w:spacing w:after="0" w:line="251" w:lineRule="auto"/>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Payment Choice</w:t>
      </w:r>
      <w:r>
        <w:rPr>
          <w:rFonts w:ascii="Arial" w:cs="Arial" w:eastAsia="Arial" w:hAnsi="Arial"/>
          <w:sz w:val="22"/>
          <w:szCs w:val="22"/>
          <w:color w:val="auto"/>
        </w:rPr>
        <w:t>” means the form of payment of Compensation that a Participant selects in accordance with the terms hereof.</w:t>
      </w:r>
    </w:p>
    <w:p>
      <w:pPr>
        <w:spacing w:after="0" w:line="173" w:lineRule="exact"/>
        <w:rPr>
          <w:rFonts w:ascii="Arial" w:cs="Arial" w:eastAsia="Arial" w:hAnsi="Arial"/>
          <w:sz w:val="22"/>
          <w:szCs w:val="22"/>
          <w:color w:val="auto"/>
        </w:rPr>
      </w:pPr>
    </w:p>
    <w:p>
      <w:pPr>
        <w:ind w:left="1072" w:hanging="1072"/>
        <w:spacing w:after="0" w:line="251" w:lineRule="auto"/>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from time to time, including rules thereunder and successor provisions and rules thereto.</w:t>
      </w:r>
    </w:p>
    <w:p>
      <w:pPr>
        <w:spacing w:after="0" w:line="173" w:lineRule="exact"/>
        <w:rPr>
          <w:rFonts w:ascii="Arial" w:cs="Arial" w:eastAsia="Arial" w:hAnsi="Arial"/>
          <w:sz w:val="22"/>
          <w:szCs w:val="22"/>
          <w:color w:val="auto"/>
        </w:rPr>
      </w:pPr>
    </w:p>
    <w:p>
      <w:pPr>
        <w:ind w:left="1072" w:hanging="1072"/>
        <w:spacing w:after="0"/>
        <w:tabs>
          <w:tab w:leader="none" w:pos="1072"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Grant Date</w:t>
      </w:r>
      <w:r>
        <w:rPr>
          <w:rFonts w:ascii="Arial" w:cs="Arial" w:eastAsia="Arial" w:hAnsi="Arial"/>
          <w:sz w:val="19"/>
          <w:szCs w:val="19"/>
          <w:color w:val="auto"/>
        </w:rPr>
        <w:t>” means the following: (i) each quarterly retainer and chairperson fee payable pursuant to Sections 3(i)(a)-</w:t>
      </w:r>
    </w:p>
    <w:p>
      <w:pPr>
        <w:spacing w:after="0" w:line="42" w:lineRule="exact"/>
        <w:rPr>
          <w:rFonts w:ascii="Arial" w:cs="Arial" w:eastAsia="Arial" w:hAnsi="Arial"/>
          <w:sz w:val="19"/>
          <w:szCs w:val="19"/>
          <w:color w:val="auto"/>
        </w:rPr>
      </w:pPr>
    </w:p>
    <w:p>
      <w:pPr>
        <w:ind w:left="1072" w:right="140"/>
        <w:spacing w:after="0" w:line="245" w:lineRule="auto"/>
        <w:rPr>
          <w:rFonts w:ascii="Arial" w:cs="Arial" w:eastAsia="Arial" w:hAnsi="Arial"/>
          <w:sz w:val="19"/>
          <w:szCs w:val="19"/>
          <w:color w:val="auto"/>
        </w:rPr>
      </w:pPr>
      <w:r>
        <w:rPr>
          <w:rFonts w:ascii="Arial" w:cs="Arial" w:eastAsia="Arial" w:hAnsi="Arial"/>
          <w:sz w:val="21"/>
          <w:szCs w:val="21"/>
          <w:color w:val="auto"/>
        </w:rPr>
        <w:t>(d) hereof shall be paid on, and the Grant Dates shall be, the first business day of each quarter in each fiscal year, (ii) each meeting fee payable pursuant to Sections 3(i)(e) and (f) hereof shall be paid on, and the Grant Date shall be, the last business day of each month in which the applicable meeting occurs, and (iii) the Option grant issued pursuant to Section 3(i)(g) with respect to a Director's initial election to the Board shall be issued on, and the Grant Date shall be, the last business day of the month in which such initial election occurs.</w:t>
      </w:r>
    </w:p>
    <w:p>
      <w:pPr>
        <w:spacing w:after="0" w:line="180" w:lineRule="exact"/>
        <w:rPr>
          <w:rFonts w:ascii="Arial" w:cs="Arial" w:eastAsia="Arial" w:hAnsi="Arial"/>
          <w:sz w:val="19"/>
          <w:szCs w:val="19"/>
          <w:color w:val="auto"/>
        </w:rPr>
      </w:pPr>
    </w:p>
    <w:p>
      <w:pPr>
        <w:ind w:left="1072" w:right="360" w:hanging="1072"/>
        <w:spacing w:after="0" w:line="328" w:lineRule="auto"/>
        <w:tabs>
          <w:tab w:leader="none" w:pos="1072"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Incentive Compensation Plan” means the Company’s 2016 Incentive Compensation Plan, as amended from time to time, or any shareholder-approved successor plan to the Company’s 2016 Incentive Compensation Plan.</w:t>
      </w:r>
    </w:p>
    <w:p>
      <w:pPr>
        <w:spacing w:after="0" w:line="105" w:lineRule="exact"/>
        <w:rPr>
          <w:rFonts w:ascii="Arial" w:cs="Arial" w:eastAsia="Arial" w:hAnsi="Arial"/>
          <w:sz w:val="19"/>
          <w:szCs w:val="19"/>
          <w:color w:val="auto"/>
        </w:rPr>
      </w:pPr>
    </w:p>
    <w:p>
      <w:pPr>
        <w:ind w:left="1072" w:right="300" w:hanging="1072"/>
        <w:spacing w:after="0"/>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Irrevocable Election Agreement</w:t>
      </w:r>
      <w:r>
        <w:rPr>
          <w:rFonts w:ascii="Arial" w:cs="Arial" w:eastAsia="Arial" w:hAnsi="Arial"/>
          <w:sz w:val="22"/>
          <w:szCs w:val="22"/>
          <w:color w:val="auto"/>
        </w:rPr>
        <w:t xml:space="preserve">” means the written agreement,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between the Company and a Participant, which, together with the Plan, governs the Participant’s rights to payment of Compensation under the Plan.</w:t>
      </w:r>
    </w:p>
    <w:p>
      <w:pPr>
        <w:spacing w:after="0" w:line="186" w:lineRule="exact"/>
        <w:rPr>
          <w:rFonts w:ascii="Arial" w:cs="Arial" w:eastAsia="Arial" w:hAnsi="Arial"/>
          <w:sz w:val="22"/>
          <w:szCs w:val="22"/>
          <w:color w:val="auto"/>
        </w:rPr>
      </w:pPr>
    </w:p>
    <w:p>
      <w:pPr>
        <w:ind w:left="1072" w:hanging="1072"/>
        <w:spacing w:after="0"/>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Stock Market, Inc.</w:t>
      </w:r>
    </w:p>
    <w:p>
      <w:pPr>
        <w:spacing w:after="0" w:line="206" w:lineRule="exact"/>
        <w:rPr>
          <w:rFonts w:ascii="Arial" w:cs="Arial" w:eastAsia="Arial" w:hAnsi="Arial"/>
          <w:sz w:val="22"/>
          <w:szCs w:val="22"/>
          <w:color w:val="auto"/>
        </w:rPr>
      </w:pPr>
    </w:p>
    <w:p>
      <w:pPr>
        <w:ind w:left="1072" w:right="240" w:hanging="1072"/>
        <w:spacing w:after="0" w:line="251" w:lineRule="auto"/>
        <w:tabs>
          <w:tab w:leader="none" w:pos="1072" w:val="left"/>
        </w:tabs>
        <w:numPr>
          <w:ilvl w:val="0"/>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Non-Employee Director</w:t>
      </w:r>
      <w:r>
        <w:rPr>
          <w:rFonts w:ascii="Arial" w:cs="Arial" w:eastAsia="Arial" w:hAnsi="Arial"/>
          <w:sz w:val="22"/>
          <w:szCs w:val="22"/>
          <w:color w:val="auto"/>
        </w:rPr>
        <w:t>” means a Director who satisfies the requirements set forth in Rule 16b-3(b)(3)(i) under the Exchange Act.</w:t>
      </w:r>
    </w:p>
    <w:p>
      <w:pPr>
        <w:spacing w:after="0" w:line="38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34" w:right="259" w:bottom="1440" w:gutter="0" w:footer="0" w:header="0"/>
        </w:sectPr>
      </w:pPr>
    </w:p>
    <w:bookmarkStart w:id="79" w:name="page80"/>
    <w:bookmarkEnd w:id="79"/>
    <w:p>
      <w:pPr>
        <w:ind w:left="1080" w:hanging="1072"/>
        <w:spacing w:after="0"/>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 Non-Employee Director of the Company.</w:t>
      </w:r>
    </w:p>
    <w:p>
      <w:pPr>
        <w:spacing w:after="0" w:line="206" w:lineRule="exact"/>
        <w:rPr>
          <w:rFonts w:ascii="Arial" w:cs="Arial" w:eastAsia="Arial" w:hAnsi="Arial"/>
          <w:sz w:val="22"/>
          <w:szCs w:val="22"/>
          <w:color w:val="auto"/>
        </w:rPr>
      </w:pPr>
    </w:p>
    <w:p>
      <w:pPr>
        <w:ind w:left="1080" w:right="280" w:hanging="1072"/>
        <w:spacing w:after="0" w:line="251" w:lineRule="auto"/>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Destination XL Group, Inc. Third Amended and Restated Non-Employee Director Compensation Plan, as amended from time to time.</w:t>
      </w:r>
    </w:p>
    <w:p>
      <w:pPr>
        <w:spacing w:after="0" w:line="173" w:lineRule="exact"/>
        <w:rPr>
          <w:rFonts w:ascii="Arial" w:cs="Arial" w:eastAsia="Arial" w:hAnsi="Arial"/>
          <w:sz w:val="22"/>
          <w:szCs w:val="22"/>
          <w:color w:val="auto"/>
        </w:rPr>
      </w:pPr>
    </w:p>
    <w:p>
      <w:pPr>
        <w:ind w:left="1080" w:hanging="1072"/>
        <w:spacing w:after="0" w:line="251" w:lineRule="auto"/>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means the earliest date on which a Participant has incurred a separation from service, within the meaning of Section 409A(a)(2) of the Code, with the Service Recipient.</w:t>
      </w:r>
    </w:p>
    <w:p>
      <w:pPr>
        <w:spacing w:after="0" w:line="173" w:lineRule="exact"/>
        <w:rPr>
          <w:rFonts w:ascii="Arial" w:cs="Arial" w:eastAsia="Arial" w:hAnsi="Arial"/>
          <w:sz w:val="22"/>
          <w:szCs w:val="22"/>
          <w:color w:val="auto"/>
        </w:rPr>
      </w:pPr>
    </w:p>
    <w:p>
      <w:pPr>
        <w:ind w:left="1080" w:right="340" w:hanging="1072"/>
        <w:spacing w:after="0" w:line="252" w:lineRule="auto"/>
        <w:tabs>
          <w:tab w:leader="none" w:pos="10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Recipient</w:t>
      </w:r>
      <w:r>
        <w:rPr>
          <w:rFonts w:ascii="Arial" w:cs="Arial" w:eastAsia="Arial" w:hAnsi="Arial"/>
          <w:sz w:val="21"/>
          <w:szCs w:val="21"/>
          <w:color w:val="auto"/>
        </w:rPr>
        <w:t>” means the Company and all persons with whom the Company would be considered a single employer under Section 414(b) of the Code (employees of a controlled group of corporations), and all persons with whom such person would be considered a single employer under Section 414(c) of the Code (employees of partnerships, proprietorships, or other entities under company control).</w:t>
      </w:r>
    </w:p>
    <w:p>
      <w:pPr>
        <w:spacing w:after="0" w:line="174" w:lineRule="exact"/>
        <w:rPr>
          <w:rFonts w:ascii="Arial" w:cs="Arial" w:eastAsia="Arial" w:hAnsi="Arial"/>
          <w:sz w:val="21"/>
          <w:szCs w:val="21"/>
          <w:color w:val="auto"/>
        </w:rPr>
      </w:pPr>
    </w:p>
    <w:p>
      <w:pPr>
        <w:ind w:left="1080" w:right="180" w:hanging="1072"/>
        <w:spacing w:after="0" w:line="251" w:lineRule="auto"/>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regulations promulgated by the United States Treasury Department with respect to the Code, as amended from time to time.</w:t>
      </w:r>
    </w:p>
    <w:p>
      <w:pPr>
        <w:spacing w:after="0" w:line="200"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(r) “Lead Director” means an independent director whose responsibilities shall include the following and any other responsibilities determined by the Board: (i) presiding at all meetings of the Board at which the Chairman is not present, including executive sessions of the independent directors; (ii) serving as liaison between the Chairman and the independent directors; (iii) reviewing and approving materials to be sent to the Board; (iv) approving the meeting agendas for the Board; (v) approving meeting schedules to assure that there is sufficient time for discussion of all agenda items; (vi) having the authority to call meetings of the independent directors; and (vii) if requested by major shareholders, ensuring that he or she is available for consultation and direct communication. If the Chairman of the Board is an independent director, then the foregoing responsibilities will be handled by the Chairman.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3. Compensation; Irrevocable Election; Valuation.</w:t>
      </w:r>
    </w:p>
    <w:p>
      <w:pPr>
        <w:spacing w:after="0" w:line="206" w:lineRule="exact"/>
        <w:rPr>
          <w:sz w:val="20"/>
          <w:szCs w:val="20"/>
          <w:color w:val="auto"/>
        </w:rPr>
      </w:pPr>
    </w:p>
    <w:p>
      <w:pPr>
        <w:ind w:left="860" w:hanging="852"/>
        <w:spacing w:after="0"/>
        <w:tabs>
          <w:tab w:leader="none" w:pos="8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Compensation paid to the Participants shall be as follows:</w:t>
      </w:r>
    </w:p>
    <w:p>
      <w:pPr>
        <w:spacing w:after="0" w:line="206" w:lineRule="exact"/>
        <w:rPr>
          <w:rFonts w:ascii="Arial" w:cs="Arial" w:eastAsia="Arial" w:hAnsi="Arial"/>
          <w:sz w:val="22"/>
          <w:szCs w:val="22"/>
          <w:color w:val="auto"/>
        </w:rPr>
      </w:pPr>
    </w:p>
    <w:p>
      <w:pPr>
        <w:ind w:left="2160" w:right="20" w:hanging="1072"/>
        <w:spacing w:after="0" w:line="251" w:lineRule="auto"/>
        <w:tabs>
          <w:tab w:leader="none" w:pos="21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a retainer equal to $25,562.50 per fiscal quarter (paid only to those Participants serving as a Director as of the Grant Date in the fiscal quarter for which the fee is payable);</w:t>
      </w:r>
    </w:p>
    <w:p>
      <w:pPr>
        <w:spacing w:after="0" w:line="173" w:lineRule="exact"/>
        <w:rPr>
          <w:rFonts w:ascii="Arial" w:cs="Arial" w:eastAsia="Arial" w:hAnsi="Arial"/>
          <w:sz w:val="22"/>
          <w:szCs w:val="22"/>
          <w:color w:val="auto"/>
        </w:rPr>
      </w:pPr>
    </w:p>
    <w:p>
      <w:pPr>
        <w:ind w:left="2160" w:right="40" w:hanging="1072"/>
        <w:spacing w:after="0"/>
        <w:tabs>
          <w:tab w:leader="none" w:pos="21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to the chairperson of the Company’s audit committee, a fee equal to $2,500 per fiscal quarter (paid only to the Participant serving in such position as of the Grant Date in the fiscal quarter for which the fee is payable);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0" w:name="page81"/>
    <w:bookmarkEnd w:id="80"/>
    <w:p>
      <w:pPr>
        <w:ind w:left="2160" w:hanging="1072"/>
        <w:spacing w:after="0"/>
        <w:tabs>
          <w:tab w:leader="none" w:pos="21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to the chairperson of the Company’s compensation committee, a fee equal to $1,250 per fiscal</w:t>
      </w:r>
    </w:p>
    <w:p>
      <w:pPr>
        <w:spacing w:after="0" w:line="8" w:lineRule="exact"/>
        <w:rPr>
          <w:rFonts w:ascii="Arial" w:cs="Arial" w:eastAsia="Arial" w:hAnsi="Arial"/>
          <w:sz w:val="22"/>
          <w:szCs w:val="22"/>
          <w:color w:val="auto"/>
        </w:rPr>
      </w:pPr>
    </w:p>
    <w:p>
      <w:pPr>
        <w:ind w:left="2160" w:right="180"/>
        <w:spacing w:after="0" w:line="237" w:lineRule="auto"/>
        <w:rPr>
          <w:rFonts w:ascii="Arial" w:cs="Arial" w:eastAsia="Arial" w:hAnsi="Arial"/>
          <w:sz w:val="22"/>
          <w:szCs w:val="22"/>
          <w:color w:val="auto"/>
        </w:rPr>
      </w:pPr>
      <w:r>
        <w:rPr>
          <w:rFonts w:ascii="Arial" w:cs="Arial" w:eastAsia="Arial" w:hAnsi="Arial"/>
          <w:sz w:val="22"/>
          <w:szCs w:val="22"/>
          <w:color w:val="auto"/>
        </w:rPr>
        <w:t>quarter (paid only to the Participant serving in such position as of the Grant Date in the fiscal quarter for which the fee is payable);</w:t>
      </w:r>
    </w:p>
    <w:p>
      <w:pPr>
        <w:spacing w:after="0" w:line="184" w:lineRule="exact"/>
        <w:rPr>
          <w:rFonts w:ascii="Arial" w:cs="Arial" w:eastAsia="Arial" w:hAnsi="Arial"/>
          <w:sz w:val="22"/>
          <w:szCs w:val="22"/>
          <w:color w:val="auto"/>
        </w:rPr>
      </w:pPr>
    </w:p>
    <w:p>
      <w:pPr>
        <w:ind w:left="2160" w:hanging="1072"/>
        <w:spacing w:after="0"/>
        <w:tabs>
          <w:tab w:leader="none" w:pos="21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to the chairperson of the Company’s nominating and corporate governance committee, a fee equal to</w:t>
      </w:r>
    </w:p>
    <w:p>
      <w:pPr>
        <w:spacing w:after="0" w:line="42" w:lineRule="exact"/>
        <w:rPr>
          <w:rFonts w:ascii="Arial" w:cs="Arial" w:eastAsia="Arial" w:hAnsi="Arial"/>
          <w:sz w:val="19"/>
          <w:szCs w:val="19"/>
          <w:color w:val="auto"/>
        </w:rPr>
      </w:pPr>
    </w:p>
    <w:p>
      <w:pPr>
        <w:ind w:left="2160" w:right="220"/>
        <w:spacing w:after="0" w:line="237" w:lineRule="auto"/>
        <w:rPr>
          <w:rFonts w:ascii="Arial" w:cs="Arial" w:eastAsia="Arial" w:hAnsi="Arial"/>
          <w:sz w:val="19"/>
          <w:szCs w:val="19"/>
          <w:color w:val="auto"/>
        </w:rPr>
      </w:pPr>
      <w:r>
        <w:rPr>
          <w:rFonts w:ascii="Arial" w:cs="Arial" w:eastAsia="Arial" w:hAnsi="Arial"/>
          <w:sz w:val="22"/>
          <w:szCs w:val="22"/>
          <w:color w:val="auto"/>
        </w:rPr>
        <w:t>$1,250 per fiscal quarter (paid only to the Participant serving in such position as of the Grant Date in the fiscal quarter for which the fee is payable);</w:t>
      </w:r>
    </w:p>
    <w:p>
      <w:pPr>
        <w:spacing w:after="0" w:line="184" w:lineRule="exact"/>
        <w:rPr>
          <w:rFonts w:ascii="Arial" w:cs="Arial" w:eastAsia="Arial" w:hAnsi="Arial"/>
          <w:sz w:val="19"/>
          <w:szCs w:val="19"/>
          <w:color w:val="auto"/>
        </w:rPr>
      </w:pPr>
    </w:p>
    <w:p>
      <w:pPr>
        <w:ind w:left="2160" w:hanging="1072"/>
        <w:spacing w:after="0"/>
        <w:tabs>
          <w:tab w:leader="none" w:pos="21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$1,500 per meeting for his/her attendance at in-person meetings of the Board and committees;</w:t>
      </w:r>
    </w:p>
    <w:p>
      <w:pPr>
        <w:spacing w:after="0" w:line="206" w:lineRule="exact"/>
        <w:rPr>
          <w:rFonts w:ascii="Arial" w:cs="Arial" w:eastAsia="Arial" w:hAnsi="Arial"/>
          <w:sz w:val="22"/>
          <w:szCs w:val="22"/>
          <w:color w:val="auto"/>
        </w:rPr>
      </w:pPr>
    </w:p>
    <w:p>
      <w:pPr>
        <w:ind w:left="2160" w:hanging="1072"/>
        <w:spacing w:after="0"/>
        <w:tabs>
          <w:tab w:leader="none" w:pos="21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$750 per meeting for his/her attendance at telephonic meetings of the Board and committees;</w:t>
      </w:r>
    </w:p>
    <w:p>
      <w:pPr>
        <w:spacing w:after="0" w:line="206" w:lineRule="exact"/>
        <w:rPr>
          <w:rFonts w:ascii="Arial" w:cs="Arial" w:eastAsia="Arial" w:hAnsi="Arial"/>
          <w:sz w:val="22"/>
          <w:szCs w:val="22"/>
          <w:color w:val="auto"/>
        </w:rPr>
      </w:pPr>
    </w:p>
    <w:p>
      <w:pPr>
        <w:ind w:left="2160" w:hanging="1072"/>
        <w:spacing w:after="0"/>
        <w:tabs>
          <w:tab w:leader="none" w:pos="21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Options to purchase 15,000 shares of the Company’s common stock upon initial election to the Board;</w:t>
      </w:r>
    </w:p>
    <w:p>
      <w:pPr>
        <w:spacing w:after="0" w:line="240" w:lineRule="exact"/>
        <w:rPr>
          <w:rFonts w:ascii="Arial" w:cs="Arial" w:eastAsia="Arial" w:hAnsi="Arial"/>
          <w:sz w:val="19"/>
          <w:szCs w:val="19"/>
          <w:color w:val="auto"/>
        </w:rPr>
      </w:pPr>
    </w:p>
    <w:p>
      <w:pPr>
        <w:ind w:left="2160" w:right="20" w:hanging="1072"/>
        <w:spacing w:after="0"/>
        <w:tabs>
          <w:tab w:leader="none" w:pos="21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to the chairperson of the Company’s cybersecurity and data privacy committee, a fee equal to $1,250 per fiscal quarter (paid only to the Participant serving in such position as of the Grant Date in the fiscal quarter for which the fee is payable);</w:t>
      </w:r>
    </w:p>
    <w:p>
      <w:pPr>
        <w:spacing w:after="0" w:line="186" w:lineRule="exact"/>
        <w:rPr>
          <w:rFonts w:ascii="Arial" w:cs="Arial" w:eastAsia="Arial" w:hAnsi="Arial"/>
          <w:sz w:val="22"/>
          <w:szCs w:val="22"/>
          <w:color w:val="auto"/>
        </w:rPr>
      </w:pPr>
    </w:p>
    <w:p>
      <w:pPr>
        <w:ind w:left="2160" w:right="260" w:hanging="1072"/>
        <w:spacing w:after="0" w:line="274" w:lineRule="auto"/>
        <w:tabs>
          <w:tab w:leader="none" w:pos="2160" w:val="left"/>
        </w:tabs>
        <w:numPr>
          <w:ilvl w:val="1"/>
          <w:numId w:val="30"/>
        </w:numPr>
        <w:rPr>
          <w:rFonts w:ascii="Arial" w:cs="Arial" w:eastAsia="Arial" w:hAnsi="Arial"/>
          <w:sz w:val="21"/>
          <w:szCs w:val="21"/>
          <w:color w:val="auto"/>
        </w:rPr>
      </w:pPr>
      <w:r>
        <w:rPr>
          <w:rFonts w:ascii="Arial" w:cs="Arial" w:eastAsia="Arial" w:hAnsi="Arial"/>
          <w:sz w:val="21"/>
          <w:szCs w:val="21"/>
          <w:color w:val="auto"/>
        </w:rPr>
        <w:t>to the Lead Director, a fee equal to $4,500 per fiscal quarter (paid only to the Participant serving in such position as of the Grant Date in the fiscal quarter for which the fee is payable);</w:t>
      </w:r>
    </w:p>
    <w:p>
      <w:pPr>
        <w:spacing w:after="0" w:line="150" w:lineRule="exact"/>
        <w:rPr>
          <w:rFonts w:ascii="Arial" w:cs="Arial" w:eastAsia="Arial" w:hAnsi="Arial"/>
          <w:sz w:val="21"/>
          <w:szCs w:val="21"/>
          <w:color w:val="auto"/>
        </w:rPr>
      </w:pPr>
    </w:p>
    <w:p>
      <w:pPr>
        <w:ind w:left="2160" w:right="40" w:hanging="1072"/>
        <w:spacing w:after="0"/>
        <w:tabs>
          <w:tab w:leader="none" w:pos="21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to the chairperson of the Company’s marketing strategy committee, a fee equal to $1,250 per fiscal quarter (paid only to the Participant serving in such position as of the Grant Date in the fiscal quarter for which the fee is payable).</w:t>
      </w:r>
    </w:p>
    <w:p>
      <w:pPr>
        <w:spacing w:after="0" w:line="186" w:lineRule="exact"/>
        <w:rPr>
          <w:rFonts w:ascii="Arial" w:cs="Arial" w:eastAsia="Arial" w:hAnsi="Arial"/>
          <w:sz w:val="22"/>
          <w:szCs w:val="22"/>
          <w:color w:val="auto"/>
        </w:rPr>
      </w:pPr>
    </w:p>
    <w:p>
      <w:pPr>
        <w:jc w:val="both"/>
        <w:ind w:firstLine="8"/>
        <w:spacing w:after="0" w:line="245" w:lineRule="auto"/>
        <w:tabs>
          <w:tab w:leader="none" w:pos="912" w:val="left"/>
        </w:tabs>
        <w:numPr>
          <w:ilvl w:val="0"/>
          <w:numId w:val="31"/>
        </w:numPr>
        <w:rPr>
          <w:rFonts w:ascii="Arial" w:cs="Arial" w:eastAsia="Arial" w:hAnsi="Arial"/>
          <w:sz w:val="21"/>
          <w:szCs w:val="21"/>
          <w:color w:val="auto"/>
        </w:rPr>
      </w:pPr>
      <w:r>
        <w:rPr>
          <w:rFonts w:ascii="Arial" w:cs="Arial" w:eastAsia="Arial" w:hAnsi="Arial"/>
          <w:sz w:val="21"/>
          <w:szCs w:val="21"/>
          <w:color w:val="auto"/>
        </w:rPr>
        <w:t>Subject to the terms hereof, Compensation shall be paid on the applicable Grant Date unless the Participant elects to receive Deferred Stock. The Participants will have the right to elect payments of the values set forth above in any combination of Cash, Shares, Deferred Stock or Options; provided that (i) Compensation paid in the form of Options and/or Deferred Stock, as well as Compensation paid in the form of Shares as part of any Required Equity, shall be made pursuant to the Incentive Compensation Plan, and can only be made in such form if there is a sufficient number of shares of Common Stock available under the Incentive Compensation Plan; and (ii) Compensation paid in the form of Shares, at the Participant’s discretion and not part of any Required Equity, shall be made pursuant to this Plan, and can only be made in such form if there is a sufficient number of shares of Common Stock available under this Plan. In the event that the Company does not have a sufficient number of shares of Common Stock remaining under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1" w:name="page82"/>
    <w:bookmarkEnd w:id="81"/>
    <w:p>
      <w:pPr>
        <w:jc w:val="both"/>
        <w:spacing w:after="0" w:line="274" w:lineRule="auto"/>
        <w:rPr>
          <w:sz w:val="20"/>
          <w:szCs w:val="20"/>
          <w:color w:val="auto"/>
        </w:rPr>
      </w:pPr>
      <w:r>
        <w:rPr>
          <w:rFonts w:ascii="Arial" w:cs="Arial" w:eastAsia="Arial" w:hAnsi="Arial"/>
          <w:sz w:val="19"/>
          <w:szCs w:val="19"/>
          <w:color w:val="auto"/>
        </w:rPr>
        <w:t>Incentive Compensation Plan to satisfy elections to receive Options and/or Deferred Stock and/or Shares that are part of any Required Equity, the payments will be made in Cash to the extent of such insufficiency (Participants making similar elections will be allocated the remaining equity ratably in proportion to the respective equity amounts which would otherwise be payable to them absent such insufficiency). In the event that the Company does not have a sufficient number of shares of Common Stock remaining under this Plan to satisfy discretionary elections to receive Shares, the payments will be made in Cash to the extent of such insufficiency (Participants making similar elections will be allocated the remaining equity ratably in proportion to the respective equity amounts which would otherwise be payable to them absent such insufficiency). In the event a Participant elects to receive Deferred Stock, then on the Grant Date, the Participant shall receive a Deferred Stock Award and, when the deferment period expires, payment shall be made in shares of Common Stock.</w:t>
      </w:r>
    </w:p>
    <w:p>
      <w:pPr>
        <w:spacing w:after="0" w:line="159" w:lineRule="exact"/>
        <w:rPr>
          <w:sz w:val="20"/>
          <w:szCs w:val="20"/>
          <w:color w:val="auto"/>
        </w:rPr>
      </w:pPr>
    </w:p>
    <w:p>
      <w:pPr>
        <w:jc w:val="both"/>
        <w:ind w:firstLine="8"/>
        <w:spacing w:after="0" w:line="279" w:lineRule="auto"/>
        <w:tabs>
          <w:tab w:leader="none" w:pos="972"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The elections by the Participants must be made in writing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submitted to the General Counsel of the Company (or such other person as the Committee shall designate) no later than December 31</w:t>
      </w:r>
      <w:r>
        <w:rPr>
          <w:rFonts w:ascii="Arial" w:cs="Arial" w:eastAsia="Arial" w:hAnsi="Arial"/>
          <w:sz w:val="16"/>
          <w:szCs w:val="16"/>
          <w:color w:val="auto"/>
        </w:rPr>
        <w:t>st</w:t>
      </w:r>
      <w:r>
        <w:rPr>
          <w:rFonts w:ascii="Arial" w:cs="Arial" w:eastAsia="Arial" w:hAnsi="Arial"/>
          <w:sz w:val="19"/>
          <w:szCs w:val="19"/>
          <w:color w:val="auto"/>
        </w:rPr>
        <w:t xml:space="preserve"> of the year preceding the fiscal year for which the election is to be effective. All elections (including elections to receive Deferred Stock), once submitted, are irrevocable for that fiscal year. In the event a timely election is not made or a person does not become a Participant until after the deadline for the election to be made or who becomes a Participant during a fiscal year, the payments will be made in cash for that fiscal year except for Required Equity which shall be paid in Shares.</w:t>
      </w:r>
    </w:p>
    <w:p>
      <w:pPr>
        <w:spacing w:after="0" w:line="150" w:lineRule="exact"/>
        <w:rPr>
          <w:rFonts w:ascii="Arial" w:cs="Arial" w:eastAsia="Arial" w:hAnsi="Arial"/>
          <w:sz w:val="19"/>
          <w:szCs w:val="19"/>
          <w:color w:val="auto"/>
        </w:rPr>
      </w:pPr>
    </w:p>
    <w:p>
      <w:pPr>
        <w:jc w:val="both"/>
        <w:ind w:firstLine="8"/>
        <w:spacing w:after="0" w:line="236" w:lineRule="auto"/>
        <w:tabs>
          <w:tab w:leader="none" w:pos="1028"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Valuation of Shares</w:t>
      </w:r>
      <w:r>
        <w:rPr>
          <w:rFonts w:ascii="Arial" w:cs="Arial" w:eastAsia="Arial" w:hAnsi="Arial"/>
          <w:sz w:val="22"/>
          <w:szCs w:val="22"/>
          <w:color w:val="auto"/>
        </w:rPr>
        <w:t xml:space="preserve">. For the purposes of determining the number of Shares to be issued to a Participant on a Grant Date, each Share shall be assigned a value equal to the consolidated closing bid price of a share of Common Stock as reported by NASDAQ on the effective Grant Date. Any Shares granted pursuant to this Plan shall be fully vested on the Grant Date. Payouts of Shares under the Plan will be in the form of whole Shares only; the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balance of any foregone fees not payable in whole Shares will not be paid.</w:t>
      </w:r>
    </w:p>
    <w:p>
      <w:pPr>
        <w:spacing w:after="0" w:line="187" w:lineRule="exact"/>
        <w:rPr>
          <w:rFonts w:ascii="Arial" w:cs="Arial" w:eastAsia="Arial" w:hAnsi="Arial"/>
          <w:sz w:val="22"/>
          <w:szCs w:val="22"/>
          <w:color w:val="auto"/>
        </w:rPr>
      </w:pPr>
    </w:p>
    <w:p>
      <w:pPr>
        <w:jc w:val="both"/>
        <w:ind w:firstLine="8"/>
        <w:spacing w:after="0" w:line="279" w:lineRule="auto"/>
        <w:tabs>
          <w:tab w:leader="none" w:pos="90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Valuation of Options and/or Deferred Stock</w:t>
      </w:r>
      <w:r>
        <w:rPr>
          <w:rFonts w:ascii="Arial" w:cs="Arial" w:eastAsia="Arial" w:hAnsi="Arial"/>
          <w:sz w:val="19"/>
          <w:szCs w:val="19"/>
          <w:color w:val="auto"/>
        </w:rPr>
        <w:t>. For the purposes of determining the relative values of Deferred Stock and Options, each share of Deferred Stock shall be assigned a value equal to the consolidated closing price of a share of the Common Stock as reported by NASDAQ on the effective Grant Date and each Option to acquire a share of Common Stock shall be assigned a value equal to the Black-Scholes value of an option to acquire a share of Common Stock on the effective Grant Date with an exercise price equal to the closing sale price of a share of Common Stock as reported on a consolidated basis by NASDAQ on such Grant Date. Any Options issued pursuant to the foregoing shall vest in increments of one-third on the effective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2" w:name="page83"/>
    <w:bookmarkEnd w:id="82"/>
    <w:p>
      <w:pPr>
        <w:jc w:val="both"/>
        <w:spacing w:after="0" w:line="234" w:lineRule="auto"/>
        <w:rPr>
          <w:sz w:val="20"/>
          <w:szCs w:val="20"/>
          <w:color w:val="auto"/>
        </w:rPr>
      </w:pPr>
      <w:r>
        <w:rPr>
          <w:rFonts w:ascii="Arial" w:cs="Arial" w:eastAsia="Arial" w:hAnsi="Arial"/>
          <w:sz w:val="22"/>
          <w:szCs w:val="22"/>
          <w:color w:val="auto"/>
        </w:rPr>
        <w:t>Grant Date, one-third on the first anniversary of the effective Grant Date and one-third on the second anniversary of the effective Grant Date. Unless the Board otherwise determines in its sole discretion, any unexercised portion of vested Options shall be exercisable for 10 years after the Grant Date, except in the event of Separation from Service, where vested Options shall automatically terminate: (i) immediately if for cause; (ii) three months if for a reason other than for cause/disability/death; (iii) twelve months if by reason of a Disability; and (iv) (a) twelve months if by reason of death or, if later, (b) three months after the date which the Participant dies if death occurs during the one year period due to Disability. Any Deferred Stock granted pursuant to this Plan shall be fully vested on the Grant Date.</w:t>
      </w:r>
    </w:p>
    <w:p>
      <w:pPr>
        <w:spacing w:after="0" w:line="191" w:lineRule="exact"/>
        <w:rPr>
          <w:sz w:val="20"/>
          <w:szCs w:val="20"/>
          <w:color w:val="auto"/>
        </w:rPr>
      </w:pPr>
    </w:p>
    <w:p>
      <w:pPr>
        <w:jc w:val="both"/>
        <w:ind w:firstLine="8"/>
        <w:spacing w:after="0"/>
        <w:tabs>
          <w:tab w:leader="none" w:pos="9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Except in the event of a Change in Control, all unvested Options to which a Participant would otherwise be entitled shall be forfeited immediately upon the Participant’s Separation from Service except as may otherwise be determined by the Board in writing in its sole discretion.</w:t>
      </w:r>
    </w:p>
    <w:p>
      <w:pPr>
        <w:spacing w:after="0" w:line="186" w:lineRule="exact"/>
        <w:rPr>
          <w:rFonts w:ascii="Arial" w:cs="Arial" w:eastAsia="Arial" w:hAnsi="Arial"/>
          <w:sz w:val="22"/>
          <w:szCs w:val="22"/>
          <w:color w:val="auto"/>
        </w:rPr>
      </w:pPr>
    </w:p>
    <w:p>
      <w:pPr>
        <w:jc w:val="both"/>
        <w:ind w:firstLine="8"/>
        <w:spacing w:after="0" w:line="273" w:lineRule="auto"/>
        <w:tabs>
          <w:tab w:leader="none" w:pos="9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a Participant elects to receive Deferred Stock, the Participant shall receive delivery of the Shares so deferred within 30 days after the earlier of (a) the third, fourth, or fifth anniversary of the Grant Date, as irrevocably elected by the Participant pursuant to Section 3 (iii) above, or (b) the Participant’s Separation from Service. If a Participant fails to elect an anniversary of the Date of Grant under the preceding sentence upon which to receive delivery of the Deferred Stock, then delivery of such Deferred Stock shall be made within 30 days after the Participant’s Separation from Service. Notwithstanding the foregoing, if a Participant is a “specified employee”, as that term is defined in Section 409A(a)(2)(B)(i) of the Code,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 409A and such deferral is required to comply with the requirements of Section 409A.</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Section 4. Number of Shares Under the Plan</w:t>
      </w:r>
      <w:r>
        <w:rPr>
          <w:rFonts w:ascii="Arial" w:cs="Arial" w:eastAsia="Arial" w:hAnsi="Arial"/>
          <w:sz w:val="22"/>
          <w:szCs w:val="22"/>
          <w:color w:val="auto"/>
        </w:rPr>
        <w:t>. Subject to adjustment as the Board may from time to time determine, the total number of Shares reserved and available under the Plan with respect to discretionary elections to receive Shares in lieu of fees shall initially be 500,000, as adjusted for any stock dividends, combinations, splits, recapitalizations and the like with respect to the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3" w:name="page84"/>
    <w:bookmarkEnd w:id="83"/>
    <w:p>
      <w:pPr>
        <w:spacing w:after="0"/>
        <w:rPr>
          <w:sz w:val="20"/>
          <w:szCs w:val="20"/>
          <w:color w:val="auto"/>
        </w:rPr>
      </w:pPr>
      <w:r>
        <w:rPr>
          <w:rFonts w:ascii="Arial" w:cs="Arial" w:eastAsia="Arial" w:hAnsi="Arial"/>
          <w:sz w:val="22"/>
          <w:szCs w:val="22"/>
          <w:u w:val="single" w:color="auto"/>
          <w:color w:val="auto"/>
        </w:rPr>
        <w:t>Section 5. Change in Control</w:t>
      </w: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and to the extent that it would not violate the requirements of Section 409A of the Code, in the event of a Change in Control prior to, or concurrently with, a Participant’s Separation from Service, the full value of the Participant’s unpaid or unvested Compensation shall immediately vest and, in the case of any Deferred Stock Award, shall be paid as soon as administratively practicable after, and in all events within 30 days after, the Change of Control.</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6. No Acceleration of Benefits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In no event shall the acceleration of the time or schedule of any payment under the Plan be permitted, except to the extent permitted under Section 409A of the Code and the Treasury Regulations and other applicable guidance issued thereunder.</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7. Amendment and Termination</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Plan may be amended or terminated in any respect at any time by the Board; provided, however, that no amendment or termination of the Plan shall be effective to reduce any benefits that accrue and are vested before the adoption of such amendment or termination. If and to the extent permitted without violating the requirements of Section 409A of the Code, the Committee may require that the Compensation of all Participants be paid in cash as soon as practicable after such termination, notwithstanding any elections by Participants with regard to the timing or form in which their benefits are to be paid. If and to the extent that the Committee does not accelerate the timing of payments on account of the termination of the Plan pursuant to the preceding sentence, payment of any remaining benefits under the Plan shall be made at the same times and in the same manner as such payments would have been made based upon the most recent elections made by Participants, and the terms of the Plan, as in effect at the time the Plan is terminated.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8. Unfunded Obligation</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obligations of the Company to pay any Compensation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 (regardless of the fact that not all forms of payment hereunder are being made under the Incentive Compensation Plan).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4" w:name="page85"/>
    <w:bookmarkEnd w:id="84"/>
    <w:p>
      <w:pPr>
        <w:spacing w:after="0"/>
        <w:rPr>
          <w:sz w:val="20"/>
          <w:szCs w:val="20"/>
          <w:color w:val="auto"/>
        </w:rPr>
      </w:pPr>
      <w:r>
        <w:rPr>
          <w:rFonts w:ascii="Arial" w:cs="Arial" w:eastAsia="Arial" w:hAnsi="Arial"/>
          <w:sz w:val="22"/>
          <w:szCs w:val="22"/>
          <w:u w:val="single" w:color="auto"/>
          <w:color w:val="auto"/>
        </w:rPr>
        <w:t>Section 9. Withholding</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Participants and personal representatives shall bear any and all federal, state, local or other taxes imposed on benefits under the Plan. The Company may deduct from any payments under the Plan the amount of any taxes required to be withheld from such payments by any federal, state or local government, and may deduct from any Compensation or other amounts payable to the Participant the amount of any taxes required to be withheld with respect to any other amounts under the Plan by any federal, state or local government.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10. Applicable Law</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This Plan shall be construed and enforced in accordance with the laws of the State of Delaware, except to the extent superseded by federal law.</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11. Administration and Interpretation</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Plan will be administered by the Committee. The Committee shall not make any substantive changes to the Compensation set forth in this Plan without the approval of the Board. The Committee will have broad authority to adopt rules and regulations relating to the Plan and make decisions and interpretations regarding the provisions of the Plan. Benefits due and owing to a Participant under the Plan shall be paid when due without any requirement that a claim for benefits be filed. However, any Participant who has not received the benefits to which Participant believes himself or herself entitled may file a written claim with the Committee, which shall act on the claim within thirty days. Any decisions or interpretations by the Committee relating to benefits under the Plan shall be binding and conclusive on all affected parties.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12. Code Section 409A</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It is intended that the Compensation granted pursuant to this Plan other than any Deferred Stock Awards, be exempt from Section 409A of the Code (“Section 409A”) because it is believed (i) the Compensation payable in cash should qualify for the short-term deferral exception contained in Treasury Regulation §1.409A-1(b)(4), and (ii) any Options granted pursuant to the Plan will have an exercise price that may never be less than the Fair Market Value of a Share on the Grant Date and the other requirements for the exemption of such options under Treasury Regulation §1.409A-1(b)(5)(i)(A) should be met. It also is intended that any compensation payable in the form of a Deferred Stock Award comply with the requirements of Section 409A. The provisions of the Plan shall be interpreted in a manner consistent with the foregoing intentions.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5" w:name="page86"/>
    <w:bookmarkEnd w:id="85"/>
    <w:p>
      <w:pPr>
        <w:jc w:val="both"/>
        <w:spacing w:after="0" w:line="282" w:lineRule="auto"/>
        <w:rPr>
          <w:sz w:val="20"/>
          <w:szCs w:val="20"/>
          <w:color w:val="auto"/>
        </w:rPr>
      </w:pPr>
      <w:r>
        <w:rPr>
          <w:rFonts w:ascii="Arial" w:cs="Arial" w:eastAsia="Arial" w:hAnsi="Arial"/>
          <w:sz w:val="19"/>
          <w:szCs w:val="19"/>
          <w:color w:val="auto"/>
        </w:rPr>
        <w:t>The Committee, in its sole discretion, and without the consent of any Participant or Beneficiary, may amend the provisions of this Plan to the extent that the Committee determines that such amendment is necessary or appropriate in order for the Compensation paid pursuant to the Plan to be exempt from the requirements of Section 409A, or if and to that the Committee determines that the Compensation is not so exempt, to amend the Plan (and any agreements relating to any Compensation) in such manner as the Committee determines shall deem necessary or appropriate to comply with the requirements of Section 409A.</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Notwithstanding the foregoing, the Company does not make any representation to any Participant or Beneficiary that the Compensation paid pursuant to this Plan is exempt from, or satisfies,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Compensation agreement, or any amendment or any modification thereof, or any other action taken with respect thereto, is deemed to violate any of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SPACE IS LEFT BLANK INTENTIONALLY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DESTINATION XL GROUP,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THIRD AMENDED AND RESTATED NON-EMPLOYEE DIRECTOR COMPENSATION PLAN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IRREVOCABLE ELECTION AGREEMENT</w:t>
      </w:r>
    </w:p>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General Counsel:</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 _____________________________, hereby elect to receive my Destination XL Group, Inc. Non-Employee Director Compensation (as defined in the Destination XL Group,</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Inc. Third Amended and Restated Non-Employee Director Compensation Plan (the “Plan”)) as follows: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540" w:type="dxa"/>
            <w:vAlign w:val="bottom"/>
            <w:tcBorders>
              <w:right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PAYMENT CHOICES</w:t>
            </w:r>
          </w:p>
        </w:tc>
        <w:tc>
          <w:tcPr>
            <w:tcW w:w="1140" w:type="dxa"/>
            <w:vAlign w:val="bottom"/>
            <w:tcBorders>
              <w:top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5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tcBorders>
            <w:gridSpan w:val="6"/>
          </w:tcPr>
          <w:p>
            <w:pPr>
              <w:spacing w:after="0"/>
              <w:rPr>
                <w:sz w:val="2"/>
                <w:szCs w:val="2"/>
                <w:color w:val="auto"/>
              </w:rPr>
            </w:pPr>
          </w:p>
        </w:tc>
      </w:tr>
      <w:tr>
        <w:trPr>
          <w:trHeight w:val="398"/>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Borders>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Cash</w:t>
            </w:r>
          </w:p>
        </w:tc>
        <w:tc>
          <w:tcPr>
            <w:tcW w:w="116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DXLG Stock</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DXLG</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DXLG</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TOTAL</w:t>
            </w:r>
          </w:p>
        </w:tc>
        <w:tc>
          <w:tcPr>
            <w:tcW w:w="3180" w:type="dxa"/>
            <w:vAlign w:val="bottom"/>
            <w:tcBorders>
              <w:right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If Deferred Stock was elected, specify the</w:t>
            </w: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Stock</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Deferred Stock</w:t>
            </w:r>
          </w:p>
        </w:tc>
        <w:tc>
          <w:tcPr>
            <w:tcW w:w="1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2"/>
              </w:rPr>
              <w:t>anniversary of the Date of Grant on which</w:t>
            </w:r>
          </w:p>
        </w:tc>
      </w:tr>
      <w:tr>
        <w:trPr>
          <w:trHeight w:val="210"/>
        </w:trPr>
        <w:tc>
          <w:tcPr>
            <w:tcW w:w="254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the Deferral Period will end</w:t>
            </w:r>
          </w:p>
        </w:tc>
        <w:tc>
          <w:tcPr>
            <w:tcW w:w="620" w:type="dxa"/>
            <w:vAlign w:val="bottom"/>
            <w:tcBorders>
              <w:right w:val="single" w:sz="8" w:color="auto"/>
            </w:tcBorders>
          </w:tcPr>
          <w:p>
            <w:pPr>
              <w:spacing w:after="0"/>
              <w:rPr>
                <w:sz w:val="18"/>
                <w:szCs w:val="18"/>
                <w:color w:val="auto"/>
              </w:rPr>
            </w:pPr>
          </w:p>
        </w:tc>
      </w:tr>
      <w:tr>
        <w:trPr>
          <w:trHeight w:val="222"/>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406"/>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Retainer</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540" w:type="dxa"/>
            <w:vAlign w:val="bottom"/>
          </w:tcPr>
          <w:p>
            <w:pPr>
              <w:ind w:left="260"/>
              <w:spacing w:after="0"/>
              <w:rPr>
                <w:sz w:val="20"/>
                <w:szCs w:val="20"/>
                <w:color w:val="auto"/>
              </w:rPr>
            </w:pPr>
            <w:r>
              <w:rPr>
                <w:rFonts w:ascii="Arial" w:cs="Arial" w:eastAsia="Arial" w:hAnsi="Arial"/>
                <w:sz w:val="16"/>
                <w:szCs w:val="16"/>
                <w:color w:val="auto"/>
              </w:rPr>
              <w:t>3rd</w:t>
            </w:r>
          </w:p>
        </w:tc>
        <w:tc>
          <w:tcPr>
            <w:tcW w:w="2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4th</w:t>
            </w:r>
          </w:p>
        </w:tc>
        <w:tc>
          <w:tcPr>
            <w:tcW w:w="8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5th</w:t>
            </w:r>
          </w:p>
        </w:tc>
        <w:tc>
          <w:tcPr>
            <w:tcW w:w="180" w:type="dxa"/>
            <w:vAlign w:val="bottom"/>
          </w:tcPr>
          <w:p>
            <w:pPr>
              <w:spacing w:after="0"/>
              <w:rPr>
                <w:sz w:val="24"/>
                <w:szCs w:val="24"/>
                <w:color w:val="auto"/>
              </w:rPr>
            </w:pPr>
          </w:p>
        </w:tc>
        <w:tc>
          <w:tcPr>
            <w:tcW w:w="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SfS**</w:t>
            </w:r>
          </w:p>
        </w:tc>
      </w:tr>
      <w:tr>
        <w:trPr>
          <w:trHeight w:val="182"/>
        </w:trPr>
        <w:tc>
          <w:tcPr>
            <w:tcW w:w="2540" w:type="dxa"/>
            <w:vAlign w:val="bottom"/>
            <w:tcBorders>
              <w:left w:val="single" w:sz="8" w:color="auto"/>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r>
      <w:tr>
        <w:trPr>
          <w:trHeight w:val="406"/>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In-Person Meetings</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540" w:type="dxa"/>
            <w:vAlign w:val="bottom"/>
          </w:tcPr>
          <w:p>
            <w:pPr>
              <w:ind w:left="260"/>
              <w:spacing w:after="0"/>
              <w:rPr>
                <w:sz w:val="20"/>
                <w:szCs w:val="20"/>
                <w:color w:val="auto"/>
              </w:rPr>
            </w:pPr>
            <w:r>
              <w:rPr>
                <w:rFonts w:ascii="Arial" w:cs="Arial" w:eastAsia="Arial" w:hAnsi="Arial"/>
                <w:sz w:val="16"/>
                <w:szCs w:val="16"/>
                <w:color w:val="auto"/>
              </w:rPr>
              <w:t>3rd</w:t>
            </w:r>
          </w:p>
        </w:tc>
        <w:tc>
          <w:tcPr>
            <w:tcW w:w="2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4th</w:t>
            </w:r>
          </w:p>
        </w:tc>
        <w:tc>
          <w:tcPr>
            <w:tcW w:w="8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5th</w:t>
            </w:r>
          </w:p>
        </w:tc>
        <w:tc>
          <w:tcPr>
            <w:tcW w:w="180" w:type="dxa"/>
            <w:vAlign w:val="bottom"/>
          </w:tcPr>
          <w:p>
            <w:pPr>
              <w:spacing w:after="0"/>
              <w:rPr>
                <w:sz w:val="24"/>
                <w:szCs w:val="24"/>
                <w:color w:val="auto"/>
              </w:rPr>
            </w:pPr>
          </w:p>
        </w:tc>
        <w:tc>
          <w:tcPr>
            <w:tcW w:w="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SfS**</w:t>
            </w:r>
          </w:p>
        </w:tc>
      </w:tr>
      <w:tr>
        <w:trPr>
          <w:trHeight w:val="182"/>
        </w:trPr>
        <w:tc>
          <w:tcPr>
            <w:tcW w:w="2540" w:type="dxa"/>
            <w:vAlign w:val="bottom"/>
            <w:tcBorders>
              <w:left w:val="single" w:sz="8" w:color="auto"/>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r>
      <w:tr>
        <w:trPr>
          <w:trHeight w:val="406"/>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Telephonic Meetings</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540" w:type="dxa"/>
            <w:vAlign w:val="bottom"/>
          </w:tcPr>
          <w:p>
            <w:pPr>
              <w:ind w:left="260"/>
              <w:spacing w:after="0"/>
              <w:rPr>
                <w:sz w:val="20"/>
                <w:szCs w:val="20"/>
                <w:color w:val="auto"/>
              </w:rPr>
            </w:pPr>
            <w:r>
              <w:rPr>
                <w:rFonts w:ascii="Arial" w:cs="Arial" w:eastAsia="Arial" w:hAnsi="Arial"/>
                <w:sz w:val="16"/>
                <w:szCs w:val="16"/>
                <w:color w:val="auto"/>
              </w:rPr>
              <w:t>3rd</w:t>
            </w:r>
          </w:p>
        </w:tc>
        <w:tc>
          <w:tcPr>
            <w:tcW w:w="2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4th</w:t>
            </w:r>
          </w:p>
        </w:tc>
        <w:tc>
          <w:tcPr>
            <w:tcW w:w="8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5th</w:t>
            </w:r>
          </w:p>
        </w:tc>
        <w:tc>
          <w:tcPr>
            <w:tcW w:w="180" w:type="dxa"/>
            <w:vAlign w:val="bottom"/>
          </w:tcPr>
          <w:p>
            <w:pPr>
              <w:spacing w:after="0"/>
              <w:rPr>
                <w:sz w:val="24"/>
                <w:szCs w:val="24"/>
                <w:color w:val="auto"/>
              </w:rPr>
            </w:pPr>
          </w:p>
        </w:tc>
        <w:tc>
          <w:tcPr>
            <w:tcW w:w="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SfS**</w:t>
            </w:r>
          </w:p>
        </w:tc>
      </w:tr>
      <w:tr>
        <w:trPr>
          <w:trHeight w:val="182"/>
        </w:trPr>
        <w:tc>
          <w:tcPr>
            <w:tcW w:w="2540" w:type="dxa"/>
            <w:vAlign w:val="bottom"/>
            <w:tcBorders>
              <w:left w:val="single" w:sz="8" w:color="auto"/>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r>
      <w:tr>
        <w:trPr>
          <w:trHeight w:val="358"/>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Committee Chair Fee/Lead</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_______%</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540" w:type="dxa"/>
            <w:vAlign w:val="bottom"/>
          </w:tcPr>
          <w:p>
            <w:pPr>
              <w:ind w:left="260"/>
              <w:spacing w:after="0"/>
              <w:rPr>
                <w:sz w:val="20"/>
                <w:szCs w:val="20"/>
                <w:color w:val="auto"/>
              </w:rPr>
            </w:pPr>
            <w:r>
              <w:rPr>
                <w:rFonts w:ascii="Arial" w:cs="Arial" w:eastAsia="Arial" w:hAnsi="Arial"/>
                <w:sz w:val="16"/>
                <w:szCs w:val="16"/>
                <w:color w:val="auto"/>
              </w:rPr>
              <w:t>3rd</w:t>
            </w:r>
          </w:p>
        </w:tc>
        <w:tc>
          <w:tcPr>
            <w:tcW w:w="2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4th</w:t>
            </w:r>
          </w:p>
        </w:tc>
        <w:tc>
          <w:tcPr>
            <w:tcW w:w="80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5th</w:t>
            </w:r>
          </w:p>
        </w:tc>
        <w:tc>
          <w:tcPr>
            <w:tcW w:w="180" w:type="dxa"/>
            <w:vAlign w:val="bottom"/>
          </w:tcPr>
          <w:p>
            <w:pPr>
              <w:spacing w:after="0"/>
              <w:rPr>
                <w:sz w:val="24"/>
                <w:szCs w:val="24"/>
                <w:color w:val="auto"/>
              </w:rPr>
            </w:pPr>
          </w:p>
        </w:tc>
        <w:tc>
          <w:tcPr>
            <w:tcW w:w="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SfS**</w:t>
            </w:r>
          </w:p>
        </w:tc>
      </w:tr>
      <w:tr>
        <w:trPr>
          <w:trHeight w:val="186"/>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Independent Director Fee</w:t>
            </w:r>
          </w:p>
        </w:tc>
        <w:tc>
          <w:tcPr>
            <w:tcW w:w="11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r>
      <w:tr>
        <w:trPr>
          <w:trHeight w:val="43"/>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Required Equity, if any].  **Separation from Service</w:t>
      </w:r>
    </w:p>
    <w:p>
      <w:pPr>
        <w:spacing w:after="0" w:line="22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[NOTE: You have the opportunity to decide the Compensation Payment Choice(s): cash, DXLG Stock, DXLG stock options or DXLG Deferred Stock for each type of fee. Your selected option(s) for any given year must equal 100%. If you select Deferred Stock, then distribution of your DXLG shares shall be made within 30 days after the earlier of (a) the anniversary of the Date of Grant you elect above and (b) the date of your Separation from Service (or if you become an employee of the Company and are a “specified employee”, as defined in the Plan, the 6-month anniversary of the Grant Date). If you do not specify a number of years, distribution will be made upon your Separation from Service.]</w:t>
      </w:r>
    </w:p>
    <w:p>
      <w:pPr>
        <w:spacing w:after="0" w:line="177"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I understand and acknowledge that (i) with respect to elections to receive DXLG stock options and/or DXLG Deferred Stock and/or DXL Stock (for Required Equity, if any), if there is an insufficient number of DXLG shares available under the Company’s 2016 Incentive Compensation Plan, I will be paid in cash and (ii) with respect to discretionary elections to receive DXLG Stock, if there is an insufficient number of DXLG shares available under the Plan, I will be paid in cash.</w:t>
      </w:r>
    </w:p>
    <w:p>
      <w:pPr>
        <w:spacing w:after="0" w:line="171"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I understand and acknowledge that this election is irrevocable. I understand and acknowledge that I must be a director of the Company on the dates each portion of the Compensation is paid in order to qualify for such payment.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I understand and acknowledge that if there is any conflict between this form or any part of it and the Plan, the provisions of the Plan shall govern.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have hereunto set my hand and seal this ____ day of ___________, 20___.</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(Signature)</w:t>
            </w:r>
          </w:p>
        </w:tc>
        <w:tc>
          <w:tcPr>
            <w:tcW w:w="160" w:type="dxa"/>
            <w:vAlign w:val="bottom"/>
          </w:tcPr>
          <w:p>
            <w:pPr>
              <w:spacing w:after="0"/>
              <w:rPr>
                <w:sz w:val="17"/>
                <w:szCs w:val="17"/>
                <w:color w:val="auto"/>
              </w:rPr>
            </w:pPr>
          </w:p>
        </w:tc>
        <w:tc>
          <w:tcPr>
            <w:tcW w:w="3900" w:type="dxa"/>
            <w:vAlign w:val="bottom"/>
            <w:tcBorders>
              <w:top w:val="single" w:sz="8" w:color="auto"/>
            </w:tcBorders>
          </w:tcPr>
          <w:p>
            <w:pPr>
              <w:ind w:left="1480"/>
              <w:spacing w:after="0"/>
              <w:rPr>
                <w:sz w:val="20"/>
                <w:szCs w:val="20"/>
                <w:color w:val="auto"/>
              </w:rPr>
            </w:pPr>
            <w:r>
              <w:rPr>
                <w:rFonts w:ascii="Arial" w:cs="Arial" w:eastAsia="Arial" w:hAnsi="Arial"/>
                <w:sz w:val="16"/>
                <w:szCs w:val="16"/>
                <w:color w:val="auto"/>
              </w:rPr>
              <w:t>(Printed name)</w:t>
            </w: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MIA 184192812v2</w:t>
            </w:r>
          </w:p>
        </w:tc>
        <w:tc>
          <w:tcPr>
            <w:tcW w:w="3900" w:type="dxa"/>
            <w:vAlign w:val="bottom"/>
          </w:tcPr>
          <w:p>
            <w:pPr>
              <w:spacing w:after="0"/>
              <w:rPr>
                <w:sz w:val="15"/>
                <w:szCs w:val="15"/>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40"/>
          </w:cols>
          <w:pgMar w:left="240" w:top="337" w:right="219" w:bottom="1440" w:gutter="0" w:footer="0" w:header="0"/>
        </w:sectPr>
      </w:pPr>
    </w:p>
    <w:bookmarkStart w:id="87" w:name="page88"/>
    <w:bookmarkEnd w:id="87"/>
    <w:p>
      <w:pPr>
        <w:ind w:left="10440"/>
        <w:spacing w:after="0"/>
        <w:rPr>
          <w:sz w:val="20"/>
          <w:szCs w:val="20"/>
          <w:color w:val="auto"/>
        </w:rPr>
      </w:pPr>
      <w:r>
        <w:rPr>
          <w:rFonts w:ascii="Arial" w:cs="Arial" w:eastAsia="Arial" w:hAnsi="Arial"/>
          <w:sz w:val="19"/>
          <w:szCs w:val="19"/>
          <w:color w:val="auto"/>
        </w:rPr>
        <w:t>EXH 10.32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AMENDED AND RESTATED EMPLOYMENT AGREEMENT</w:t>
      </w:r>
    </w:p>
    <w:p>
      <w:pPr>
        <w:spacing w:after="0" w:line="200" w:lineRule="exact"/>
        <w:rPr>
          <w:sz w:val="20"/>
          <w:szCs w:val="20"/>
          <w:color w:val="auto"/>
        </w:rPr>
      </w:pPr>
    </w:p>
    <w:p>
      <w:pPr>
        <w:spacing w:after="0" w:line="255" w:lineRule="exact"/>
        <w:rPr>
          <w:sz w:val="20"/>
          <w:szCs w:val="20"/>
          <w:color w:val="auto"/>
        </w:rPr>
      </w:pPr>
    </w:p>
    <w:p>
      <w:pPr>
        <w:ind w:right="60" w:firstLine="877"/>
        <w:spacing w:after="0" w:line="238" w:lineRule="auto"/>
        <w:rPr>
          <w:sz w:val="20"/>
          <w:szCs w:val="20"/>
          <w:color w:val="auto"/>
        </w:rPr>
      </w:pPr>
      <w:r>
        <w:rPr>
          <w:rFonts w:ascii="Arial" w:cs="Arial" w:eastAsia="Arial" w:hAnsi="Arial"/>
          <w:sz w:val="22"/>
          <w:szCs w:val="22"/>
          <w:color w:val="auto"/>
        </w:rPr>
        <w:t>This Second Amended and Restated Employment Agreement ("Agreement") is made effective as of November 27, 2017 between DESTINATION XL GROUP, INC., a Delaware corporation with an office at 555 Turnpike Street, Canton, Massachusetts, 02021 (the "Company" which term includes any affiliates and subsidiaries), and Peter H. Stratton, Jr. (the “Executive”) having an address at 59 Marshall Avenue, Mansfield, MA 02048.</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20" w:lineRule="exact"/>
        <w:rPr>
          <w:sz w:val="20"/>
          <w:szCs w:val="20"/>
          <w:color w:val="auto"/>
        </w:rPr>
      </w:pPr>
    </w:p>
    <w:p>
      <w:pPr>
        <w:ind w:right="820" w:firstLine="877"/>
        <w:spacing w:after="0" w:line="251" w:lineRule="auto"/>
        <w:rPr>
          <w:sz w:val="20"/>
          <w:szCs w:val="20"/>
          <w:color w:val="auto"/>
        </w:rPr>
      </w:pPr>
      <w:r>
        <w:rPr>
          <w:rFonts w:ascii="Arial" w:cs="Arial" w:eastAsia="Arial" w:hAnsi="Arial"/>
          <w:sz w:val="22"/>
          <w:szCs w:val="22"/>
          <w:color w:val="auto"/>
        </w:rPr>
        <w:t>WHEREAS, the Company desires that Executive serve as Executive Vice President, Chief Financial Officer and Treasurer and Executive desires to be so employed by the Company.</w:t>
      </w:r>
    </w:p>
    <w:p>
      <w:pPr>
        <w:spacing w:after="0" w:line="187" w:lineRule="exact"/>
        <w:rPr>
          <w:sz w:val="20"/>
          <w:szCs w:val="20"/>
          <w:color w:val="auto"/>
        </w:rPr>
      </w:pPr>
    </w:p>
    <w:p>
      <w:pPr>
        <w:ind w:right="720" w:firstLine="877"/>
        <w:spacing w:after="0" w:line="251" w:lineRule="auto"/>
        <w:rPr>
          <w:sz w:val="20"/>
          <w:szCs w:val="20"/>
          <w:color w:val="auto"/>
        </w:rPr>
      </w:pPr>
      <w:r>
        <w:rPr>
          <w:rFonts w:ascii="Arial" w:cs="Arial" w:eastAsia="Arial" w:hAnsi="Arial"/>
          <w:sz w:val="22"/>
          <w:szCs w:val="22"/>
          <w:color w:val="auto"/>
        </w:rPr>
        <w:t>WHEREAS, Executive and the Company desire to set forth in writing the terms and conditions of the Executive's employment with the Company from the date hereof.</w:t>
      </w:r>
    </w:p>
    <w:p>
      <w:pPr>
        <w:spacing w:after="0" w:line="187" w:lineRule="exact"/>
        <w:rPr>
          <w:sz w:val="20"/>
          <w:szCs w:val="20"/>
          <w:color w:val="auto"/>
        </w:rPr>
      </w:pPr>
    </w:p>
    <w:p>
      <w:pPr>
        <w:ind w:right="340" w:firstLine="877"/>
        <w:spacing w:after="0" w:line="251" w:lineRule="auto"/>
        <w:rPr>
          <w:sz w:val="20"/>
          <w:szCs w:val="20"/>
          <w:color w:val="auto"/>
        </w:rPr>
      </w:pPr>
      <w:r>
        <w:rPr>
          <w:rFonts w:ascii="Arial" w:cs="Arial" w:eastAsia="Arial" w:hAnsi="Arial"/>
          <w:sz w:val="22"/>
          <w:szCs w:val="22"/>
          <w:color w:val="auto"/>
        </w:rPr>
        <w:t>NOW, THEREFORE, in consideration of the promises and the mutual promises, representations and covenants herein contained, the parties hereto agree as follows:</w:t>
      </w:r>
    </w:p>
    <w:p>
      <w:pPr>
        <w:spacing w:after="0" w:line="187" w:lineRule="exact"/>
        <w:rPr>
          <w:sz w:val="20"/>
          <w:szCs w:val="20"/>
          <w:color w:val="auto"/>
        </w:rPr>
      </w:pPr>
    </w:p>
    <w:p>
      <w:pPr>
        <w:ind w:left="1700" w:hanging="815"/>
        <w:spacing w:after="0"/>
        <w:tabs>
          <w:tab w:leader="none" w:pos="17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EMPLOYMENT</w:t>
      </w:r>
    </w:p>
    <w:p>
      <w:pPr>
        <w:spacing w:after="0" w:line="220" w:lineRule="exact"/>
        <w:rPr>
          <w:sz w:val="20"/>
          <w:szCs w:val="20"/>
          <w:color w:val="auto"/>
        </w:rPr>
      </w:pPr>
    </w:p>
    <w:p>
      <w:pPr>
        <w:ind w:right="480" w:firstLine="877"/>
        <w:spacing w:after="0" w:line="328" w:lineRule="auto"/>
        <w:rPr>
          <w:sz w:val="20"/>
          <w:szCs w:val="20"/>
          <w:color w:val="auto"/>
        </w:rPr>
      </w:pPr>
      <w:r>
        <w:rPr>
          <w:rFonts w:ascii="Arial" w:cs="Arial" w:eastAsia="Arial" w:hAnsi="Arial"/>
          <w:sz w:val="19"/>
          <w:szCs w:val="19"/>
          <w:color w:val="auto"/>
        </w:rPr>
        <w:t>The Company hereby employs Executive and Executive hereby accepts such employment, subject to the terms and conditions herein set forth. Executive shall hold the office of Executive Vice President, Chief Financial Officer and Treasurer</w:t>
      </w:r>
      <w:r>
        <w:rPr>
          <w:rFonts w:ascii="Arial" w:cs="Arial" w:eastAsia="Arial" w:hAnsi="Arial"/>
          <w:sz w:val="19"/>
          <w:szCs w:val="19"/>
          <w:color w:val="FF0000"/>
        </w:rPr>
        <w:t>.</w:t>
      </w:r>
    </w:p>
    <w:p>
      <w:pPr>
        <w:spacing w:after="0" w:line="119" w:lineRule="exact"/>
        <w:rPr>
          <w:sz w:val="20"/>
          <w:szCs w:val="20"/>
          <w:color w:val="auto"/>
        </w:rPr>
      </w:pPr>
    </w:p>
    <w:p>
      <w:pPr>
        <w:ind w:left="1700" w:hanging="815"/>
        <w:spacing w:after="0"/>
        <w:tabs>
          <w:tab w:leader="none" w:pos="170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TERM</w:t>
      </w:r>
    </w:p>
    <w:p>
      <w:pPr>
        <w:spacing w:after="0" w:line="220" w:lineRule="exact"/>
        <w:rPr>
          <w:sz w:val="20"/>
          <w:szCs w:val="20"/>
          <w:color w:val="auto"/>
        </w:rPr>
      </w:pPr>
    </w:p>
    <w:p>
      <w:pPr>
        <w:ind w:right="160" w:firstLine="877"/>
        <w:spacing w:after="0" w:line="251" w:lineRule="auto"/>
        <w:rPr>
          <w:sz w:val="20"/>
          <w:szCs w:val="20"/>
          <w:color w:val="auto"/>
        </w:rPr>
      </w:pPr>
      <w:r>
        <w:rPr>
          <w:rFonts w:ascii="Arial" w:cs="Arial" w:eastAsia="Arial" w:hAnsi="Arial"/>
          <w:sz w:val="22"/>
          <w:szCs w:val="22"/>
          <w:color w:val="auto"/>
        </w:rPr>
        <w:t>The term of employment under this Agreement (the “Term of Employment”) shall begin on the date set forth above (the "Effective Date") and shall continue until terminated by either party as hereinafter set forth.</w:t>
      </w:r>
    </w:p>
    <w:p>
      <w:pPr>
        <w:spacing w:after="0" w:line="187" w:lineRule="exact"/>
        <w:rPr>
          <w:sz w:val="20"/>
          <w:szCs w:val="20"/>
          <w:color w:val="auto"/>
        </w:rPr>
      </w:pPr>
    </w:p>
    <w:p>
      <w:pPr>
        <w:ind w:left="1700" w:hanging="815"/>
        <w:spacing w:after="0"/>
        <w:tabs>
          <w:tab w:leader="none" w:pos="170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20" w:lineRule="exact"/>
        <w:rPr>
          <w:sz w:val="20"/>
          <w:szCs w:val="20"/>
          <w:color w:val="auto"/>
        </w:rPr>
      </w:pPr>
    </w:p>
    <w:p>
      <w:pPr>
        <w:ind w:firstLine="885"/>
        <w:spacing w:after="0" w:line="282" w:lineRule="auto"/>
        <w:tabs>
          <w:tab w:leader="none" w:pos="1765" w:val="left"/>
        </w:tabs>
        <w:numPr>
          <w:ilvl w:val="0"/>
          <w:numId w:val="37"/>
        </w:numPr>
        <w:rPr>
          <w:rFonts w:ascii="Arial" w:cs="Arial" w:eastAsia="Arial" w:hAnsi="Arial"/>
          <w:sz w:val="19"/>
          <w:szCs w:val="19"/>
          <w:color w:val="auto"/>
        </w:rPr>
      </w:pPr>
      <w:r>
        <w:rPr>
          <w:rFonts w:ascii="Arial" w:cs="Arial" w:eastAsia="Arial" w:hAnsi="Arial"/>
          <w:sz w:val="19"/>
          <w:szCs w:val="19"/>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Three Hundred Ninety-Five Thousand Dollars and 00/100 Cents ($395,000.00)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61" w:lineRule="exact"/>
        <w:rPr>
          <w:rFonts w:ascii="Arial" w:cs="Arial" w:eastAsia="Arial" w:hAnsi="Arial"/>
          <w:sz w:val="19"/>
          <w:szCs w:val="19"/>
          <w:color w:val="auto"/>
        </w:rPr>
      </w:pPr>
    </w:p>
    <w:p>
      <w:pPr>
        <w:ind w:right="340" w:firstLine="885"/>
        <w:spacing w:after="0"/>
        <w:tabs>
          <w:tab w:leader="none" w:pos="1778"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addition to the Base Salary, during the Term of Employment, Executive is eligible to participate in the Company’s Annual Incentive Plan. Such incentive shall be determined and payable in accordance with the Company's incentive program in effect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88" w:name="page89"/>
    <w:bookmarkEnd w:id="88"/>
    <w:p>
      <w:pPr>
        <w:ind w:right="20"/>
        <w:spacing w:after="0" w:line="279" w:lineRule="auto"/>
        <w:rPr>
          <w:sz w:val="20"/>
          <w:szCs w:val="20"/>
          <w:color w:val="auto"/>
        </w:rPr>
      </w:pPr>
      <w:r>
        <w:rPr>
          <w:rFonts w:ascii="Arial" w:cs="Arial" w:eastAsia="Arial" w:hAnsi="Arial"/>
          <w:sz w:val="19"/>
          <w:szCs w:val="19"/>
          <w:color w:val="auto"/>
        </w:rPr>
        <w:t>time, subject to change from year to year in the Company’s sole discretion. Executive will participate in the Company’s incentive program and, commencing with Fiscal 2018, Executive’s target bonus under such plan (if all individual and Company performance conditions are met) shall be 55%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64" w:lineRule="exact"/>
        <w:rPr>
          <w:sz w:val="20"/>
          <w:szCs w:val="20"/>
          <w:color w:val="auto"/>
        </w:rPr>
      </w:pPr>
    </w:p>
    <w:p>
      <w:pPr>
        <w:ind w:right="100" w:firstLine="885"/>
        <w:spacing w:after="0" w:line="279" w:lineRule="auto"/>
        <w:tabs>
          <w:tab w:leader="none" w:pos="1765"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164" w:lineRule="exact"/>
        <w:rPr>
          <w:sz w:val="20"/>
          <w:szCs w:val="20"/>
          <w:color w:val="auto"/>
        </w:rPr>
      </w:pPr>
    </w:p>
    <w:p>
      <w:pPr>
        <w:ind w:left="1700" w:hanging="815"/>
        <w:spacing w:after="0"/>
        <w:tabs>
          <w:tab w:leader="none" w:pos="170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EXPENSES</w:t>
      </w:r>
    </w:p>
    <w:p>
      <w:pPr>
        <w:spacing w:after="0" w:line="220" w:lineRule="exact"/>
        <w:rPr>
          <w:sz w:val="20"/>
          <w:szCs w:val="20"/>
          <w:color w:val="auto"/>
        </w:rPr>
      </w:pPr>
    </w:p>
    <w:p>
      <w:pPr>
        <w:ind w:right="60" w:firstLine="877"/>
        <w:spacing w:after="0" w:line="249" w:lineRule="auto"/>
        <w:rPr>
          <w:sz w:val="20"/>
          <w:szCs w:val="20"/>
          <w:color w:val="auto"/>
        </w:rPr>
      </w:pPr>
      <w:r>
        <w:rPr>
          <w:rFonts w:ascii="Arial" w:cs="Arial" w:eastAsia="Arial" w:hAnsi="Arial"/>
          <w:sz w:val="21"/>
          <w:szCs w:val="21"/>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2" w:lineRule="exact"/>
        <w:rPr>
          <w:sz w:val="20"/>
          <w:szCs w:val="20"/>
          <w:color w:val="auto"/>
        </w:rPr>
      </w:pPr>
    </w:p>
    <w:p>
      <w:pPr>
        <w:ind w:left="1700" w:hanging="815"/>
        <w:spacing w:after="0"/>
        <w:tabs>
          <w:tab w:leader="none" w:pos="17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OTHER BENEFITS</w:t>
      </w:r>
    </w:p>
    <w:p>
      <w:pPr>
        <w:spacing w:after="0" w:line="220" w:lineRule="exact"/>
        <w:rPr>
          <w:sz w:val="20"/>
          <w:szCs w:val="20"/>
          <w:color w:val="auto"/>
        </w:rPr>
      </w:pPr>
    </w:p>
    <w:p>
      <w:pPr>
        <w:ind w:firstLine="885"/>
        <w:spacing w:after="0" w:line="249" w:lineRule="auto"/>
        <w:tabs>
          <w:tab w:leader="none" w:pos="1765" w:val="left"/>
        </w:tabs>
        <w:numPr>
          <w:ilvl w:val="0"/>
          <w:numId w:val="41"/>
        </w:numPr>
        <w:rPr>
          <w:rFonts w:ascii="Arial" w:cs="Arial" w:eastAsia="Arial" w:hAnsi="Arial"/>
          <w:sz w:val="21"/>
          <w:szCs w:val="21"/>
          <w:color w:val="auto"/>
        </w:rPr>
      </w:pPr>
      <w:r>
        <w:rPr>
          <w:rFonts w:ascii="Arial" w:cs="Arial" w:eastAsia="Arial" w:hAnsi="Arial"/>
          <w:sz w:val="21"/>
          <w:szCs w:val="21"/>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92" w:lineRule="exact"/>
        <w:rPr>
          <w:rFonts w:ascii="Arial" w:cs="Arial" w:eastAsia="Arial" w:hAnsi="Arial"/>
          <w:sz w:val="21"/>
          <w:szCs w:val="21"/>
          <w:color w:val="auto"/>
        </w:rPr>
      </w:pPr>
    </w:p>
    <w:p>
      <w:pPr>
        <w:ind w:right="60" w:firstLine="885"/>
        <w:spacing w:after="0" w:line="249" w:lineRule="auto"/>
        <w:tabs>
          <w:tab w:leader="none" w:pos="1778"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89" w:name="page90"/>
    <w:bookmarkEnd w:id="89"/>
    <w:p>
      <w:pPr>
        <w:ind w:left="1780" w:hanging="895"/>
        <w:spacing w:after="0"/>
        <w:tabs>
          <w:tab w:leader="none" w:pos="17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Executive will be eligible to participate in the Company’s annual performance appraisal process.</w:t>
      </w:r>
    </w:p>
    <w:p>
      <w:pPr>
        <w:spacing w:after="0" w:line="220" w:lineRule="exact"/>
        <w:rPr>
          <w:sz w:val="20"/>
          <w:szCs w:val="20"/>
          <w:color w:val="auto"/>
        </w:rPr>
      </w:pPr>
    </w:p>
    <w:p>
      <w:pPr>
        <w:ind w:left="1700" w:hanging="815"/>
        <w:spacing w:after="0"/>
        <w:tabs>
          <w:tab w:leader="none" w:pos="17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DUTIES</w:t>
      </w:r>
    </w:p>
    <w:p>
      <w:pPr>
        <w:spacing w:after="0" w:line="220" w:lineRule="exact"/>
        <w:rPr>
          <w:sz w:val="20"/>
          <w:szCs w:val="20"/>
          <w:color w:val="auto"/>
        </w:rPr>
      </w:pPr>
    </w:p>
    <w:p>
      <w:pPr>
        <w:ind w:right="120" w:firstLine="885"/>
        <w:spacing w:after="0" w:line="258" w:lineRule="auto"/>
        <w:tabs>
          <w:tab w:leader="none" w:pos="1765" w:val="left"/>
        </w:tabs>
        <w:numPr>
          <w:ilvl w:val="0"/>
          <w:numId w:val="44"/>
        </w:numPr>
        <w:rPr>
          <w:rFonts w:ascii="Arial" w:cs="Arial" w:eastAsia="Arial" w:hAnsi="Arial"/>
          <w:sz w:val="21"/>
          <w:szCs w:val="21"/>
          <w:color w:val="auto"/>
        </w:rPr>
      </w:pPr>
      <w:r>
        <w:rPr>
          <w:rFonts w:ascii="Arial" w:cs="Arial" w:eastAsia="Arial" w:hAnsi="Arial"/>
          <w:sz w:val="21"/>
          <w:szCs w:val="21"/>
          <w:color w:val="auto"/>
        </w:rPr>
        <w:t>Executive shall perform such duties and functions consistent with the position of Executive Vice President, Chief Financial Officer and Treasurer and/or as the Company shall from time to time determine and Executive shall comply in the performance of his duties with the policies of, and be subject to the direction of the Company.</w:t>
      </w:r>
    </w:p>
    <w:p>
      <w:pPr>
        <w:spacing w:after="0" w:line="180" w:lineRule="exact"/>
        <w:rPr>
          <w:rFonts w:ascii="Arial" w:cs="Arial" w:eastAsia="Arial" w:hAnsi="Arial"/>
          <w:sz w:val="21"/>
          <w:szCs w:val="21"/>
          <w:color w:val="auto"/>
        </w:rPr>
      </w:pPr>
    </w:p>
    <w:p>
      <w:pPr>
        <w:ind w:right="20" w:firstLine="885"/>
        <w:spacing w:after="0" w:line="282" w:lineRule="auto"/>
        <w:tabs>
          <w:tab w:leader="none" w:pos="1778" w:val="left"/>
        </w:tabs>
        <w:numPr>
          <w:ilvl w:val="0"/>
          <w:numId w:val="44"/>
        </w:numPr>
        <w:rPr>
          <w:rFonts w:ascii="Arial" w:cs="Arial" w:eastAsia="Arial" w:hAnsi="Arial"/>
          <w:sz w:val="19"/>
          <w:szCs w:val="19"/>
          <w:color w:val="auto"/>
        </w:rPr>
      </w:pPr>
      <w:r>
        <w:rPr>
          <w:rFonts w:ascii="Arial" w:cs="Arial" w:eastAsia="Arial" w:hAnsi="Arial"/>
          <w:sz w:val="19"/>
          <w:szCs w:val="19"/>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61" w:lineRule="exact"/>
        <w:rPr>
          <w:rFonts w:ascii="Arial" w:cs="Arial" w:eastAsia="Arial" w:hAnsi="Arial"/>
          <w:sz w:val="19"/>
          <w:szCs w:val="19"/>
          <w:color w:val="auto"/>
        </w:rPr>
      </w:pPr>
    </w:p>
    <w:p>
      <w:pPr>
        <w:ind w:right="40" w:firstLine="885"/>
        <w:spacing w:after="0" w:line="287" w:lineRule="auto"/>
        <w:tabs>
          <w:tab w:leader="none" w:pos="1765"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57" w:lineRule="exact"/>
        <w:rPr>
          <w:sz w:val="20"/>
          <w:szCs w:val="20"/>
          <w:color w:val="auto"/>
        </w:rPr>
      </w:pPr>
    </w:p>
    <w:p>
      <w:pPr>
        <w:ind w:left="1700" w:hanging="815"/>
        <w:spacing w:after="0"/>
        <w:tabs>
          <w:tab w:leader="none" w:pos="17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EFFECT OF TERMINATION</w:t>
      </w:r>
    </w:p>
    <w:p>
      <w:pPr>
        <w:spacing w:after="0" w:line="220" w:lineRule="exact"/>
        <w:rPr>
          <w:sz w:val="20"/>
          <w:szCs w:val="20"/>
          <w:color w:val="auto"/>
        </w:rPr>
      </w:pPr>
    </w:p>
    <w:p>
      <w:pPr>
        <w:ind w:left="1780" w:hanging="895"/>
        <w:spacing w:after="0"/>
        <w:tabs>
          <w:tab w:leader="none" w:pos="17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Term of Employment may be terminated by the Company at any time:</w:t>
      </w:r>
    </w:p>
    <w:p>
      <w:pPr>
        <w:spacing w:after="0" w:line="219" w:lineRule="exact"/>
        <w:rPr>
          <w:rFonts w:ascii="Arial" w:cs="Arial" w:eastAsia="Arial" w:hAnsi="Arial"/>
          <w:sz w:val="22"/>
          <w:szCs w:val="22"/>
          <w:color w:val="auto"/>
        </w:rPr>
      </w:pPr>
    </w:p>
    <w:p>
      <w:pPr>
        <w:ind w:firstLine="1763"/>
        <w:spacing w:after="0" w:line="238" w:lineRule="auto"/>
        <w:tabs>
          <w:tab w:leader="none" w:pos="2607" w:val="left"/>
        </w:tabs>
        <w:numPr>
          <w:ilvl w:val="1"/>
          <w:numId w:val="46"/>
        </w:numPr>
        <w:rPr>
          <w:rFonts w:ascii="Arial" w:cs="Arial" w:eastAsia="Arial" w:hAnsi="Arial"/>
          <w:sz w:val="22"/>
          <w:szCs w:val="22"/>
          <w:color w:val="auto"/>
        </w:rPr>
      </w:pPr>
      <w:r>
        <w:rPr>
          <w:rFonts w:ascii="Arial" w:cs="Arial" w:eastAsia="Arial" w:hAnsi="Arial"/>
          <w:sz w:val="22"/>
          <w:szCs w:val="22"/>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98" w:lineRule="exact"/>
        <w:rPr>
          <w:rFonts w:ascii="Arial" w:cs="Arial" w:eastAsia="Arial" w:hAnsi="Arial"/>
          <w:sz w:val="22"/>
          <w:szCs w:val="22"/>
          <w:color w:val="auto"/>
        </w:rPr>
      </w:pPr>
    </w:p>
    <w:p>
      <w:pPr>
        <w:ind w:left="2680" w:hanging="917"/>
        <w:spacing w:after="0"/>
        <w:tabs>
          <w:tab w:leader="none" w:pos="2680" w:val="left"/>
        </w:tabs>
        <w:numPr>
          <w:ilvl w:val="1"/>
          <w:numId w:val="46"/>
        </w:numPr>
        <w:rPr>
          <w:rFonts w:ascii="Arial" w:cs="Arial" w:eastAsia="Arial" w:hAnsi="Arial"/>
          <w:sz w:val="19"/>
          <w:szCs w:val="19"/>
          <w:color w:val="auto"/>
        </w:rPr>
      </w:pPr>
      <w:r>
        <w:rPr>
          <w:rFonts w:ascii="Arial" w:cs="Arial" w:eastAsia="Arial" w:hAnsi="Arial"/>
          <w:sz w:val="19"/>
          <w:szCs w:val="19"/>
          <w:color w:val="auto"/>
        </w:rPr>
        <w:t>upon the determination of the Company that there is justifiable cause (as hereinafter defined)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termination.</w:t>
      </w:r>
    </w:p>
    <w:p>
      <w:pPr>
        <w:spacing w:after="0" w:line="201" w:lineRule="exact"/>
        <w:rPr>
          <w:rFonts w:ascii="Arial" w:cs="Arial" w:eastAsia="Arial" w:hAnsi="Arial"/>
          <w:sz w:val="19"/>
          <w:szCs w:val="19"/>
          <w:color w:val="auto"/>
        </w:rPr>
      </w:pPr>
    </w:p>
    <w:p>
      <w:pPr>
        <w:ind w:left="1780" w:hanging="895"/>
        <w:spacing w:after="0"/>
        <w:tabs>
          <w:tab w:leader="none" w:pos="17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Term of Employment shall terminate upon:</w:t>
      </w:r>
    </w:p>
    <w:p>
      <w:pPr>
        <w:spacing w:after="0" w:line="219" w:lineRule="exact"/>
        <w:rPr>
          <w:rFonts w:ascii="Arial" w:cs="Arial" w:eastAsia="Arial" w:hAnsi="Arial"/>
          <w:sz w:val="22"/>
          <w:szCs w:val="22"/>
          <w:color w:val="auto"/>
        </w:rPr>
      </w:pPr>
    </w:p>
    <w:p>
      <w:pPr>
        <w:ind w:left="2620" w:hanging="857"/>
        <w:spacing w:after="0"/>
        <w:tabs>
          <w:tab w:leader="none" w:pos="26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death of Executive;</w:t>
      </w:r>
    </w:p>
    <w:p>
      <w:pPr>
        <w:spacing w:after="0" w:line="219" w:lineRule="exact"/>
        <w:rPr>
          <w:rFonts w:ascii="Arial" w:cs="Arial" w:eastAsia="Arial" w:hAnsi="Arial"/>
          <w:sz w:val="22"/>
          <w:szCs w:val="22"/>
          <w:color w:val="auto"/>
        </w:rPr>
      </w:pPr>
    </w:p>
    <w:p>
      <w:pPr>
        <w:ind w:right="600" w:firstLine="1763"/>
        <w:spacing w:after="0" w:line="274" w:lineRule="auto"/>
        <w:tabs>
          <w:tab w:leader="none" w:pos="2667" w:val="left"/>
        </w:tabs>
        <w:numPr>
          <w:ilvl w:val="1"/>
          <w:numId w:val="46"/>
        </w:numPr>
        <w:rPr>
          <w:rFonts w:ascii="Arial" w:cs="Arial" w:eastAsia="Arial" w:hAnsi="Arial"/>
          <w:sz w:val="21"/>
          <w:szCs w:val="21"/>
          <w:color w:val="auto"/>
        </w:rPr>
      </w:pPr>
      <w:r>
        <w:rPr>
          <w:rFonts w:ascii="Arial" w:cs="Arial" w:eastAsia="Arial" w:hAnsi="Arial"/>
          <w:sz w:val="21"/>
          <w:szCs w:val="21"/>
          <w:color w:val="auto"/>
        </w:rPr>
        <w:t>the date on which the Company elects to terminate the Term of Employment by reason of the "disability" of Executive (as hereinafter defined in subsection (c) herein) pursuant to subsection (g) hereof; or</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90" w:name="page91"/>
    <w:bookmarkEnd w:id="90"/>
    <w:p>
      <w:pPr>
        <w:ind w:left="2680" w:hanging="977"/>
        <w:spacing w:after="0"/>
        <w:tabs>
          <w:tab w:leader="none" w:pos="26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Executive’s resignation of employment.</w:t>
      </w:r>
    </w:p>
    <w:p>
      <w:pPr>
        <w:spacing w:after="0" w:line="219" w:lineRule="exact"/>
        <w:rPr>
          <w:rFonts w:ascii="Arial" w:cs="Arial" w:eastAsia="Arial" w:hAnsi="Arial"/>
          <w:sz w:val="22"/>
          <w:szCs w:val="22"/>
          <w:color w:val="auto"/>
        </w:rPr>
      </w:pPr>
    </w:p>
    <w:p>
      <w:pPr>
        <w:ind w:left="-60" w:right="580" w:firstLine="885"/>
        <w:spacing w:after="0" w:line="297" w:lineRule="auto"/>
        <w:tabs>
          <w:tab w:leader="none" w:pos="1705" w:val="left"/>
        </w:tabs>
        <w:numPr>
          <w:ilvl w:val="0"/>
          <w:numId w:val="48"/>
        </w:numPr>
        <w:rPr>
          <w:rFonts w:ascii="Arial" w:cs="Arial" w:eastAsia="Arial" w:hAnsi="Arial"/>
          <w:sz w:val="19"/>
          <w:szCs w:val="19"/>
          <w:color w:val="auto"/>
        </w:rPr>
      </w:pPr>
      <w:r>
        <w:rPr>
          <w:rFonts w:ascii="Arial" w:cs="Arial" w:eastAsia="Arial" w:hAnsi="Arial"/>
          <w:sz w:val="19"/>
          <w:szCs w:val="19"/>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255" w:lineRule="exact"/>
        <w:rPr>
          <w:rFonts w:ascii="Arial" w:cs="Arial" w:eastAsia="Arial" w:hAnsi="Arial"/>
          <w:sz w:val="19"/>
          <w:szCs w:val="19"/>
          <w:color w:val="auto"/>
        </w:rPr>
      </w:pPr>
    </w:p>
    <w:p>
      <w:pPr>
        <w:ind w:left="-60" w:right="120" w:firstLine="885"/>
        <w:spacing w:after="0" w:line="244" w:lineRule="auto"/>
        <w:tabs>
          <w:tab w:leader="none" w:pos="1718" w:val="left"/>
        </w:tabs>
        <w:numPr>
          <w:ilvl w:val="0"/>
          <w:numId w:val="48"/>
        </w:numPr>
        <w:rPr>
          <w:rFonts w:ascii="Arial" w:cs="Arial" w:eastAsia="Arial" w:hAnsi="Arial"/>
          <w:sz w:val="21"/>
          <w:szCs w:val="21"/>
          <w:color w:val="auto"/>
        </w:rPr>
      </w:pPr>
      <w:r>
        <w:rPr>
          <w:rFonts w:ascii="Arial" w:cs="Arial" w:eastAsia="Arial" w:hAnsi="Arial"/>
          <w:sz w:val="21"/>
          <w:szCs w:val="21"/>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98" w:lineRule="exact"/>
        <w:rPr>
          <w:rFonts w:ascii="Arial" w:cs="Arial" w:eastAsia="Arial" w:hAnsi="Arial"/>
          <w:sz w:val="21"/>
          <w:szCs w:val="21"/>
          <w:color w:val="auto"/>
        </w:rPr>
      </w:pPr>
    </w:p>
    <w:p>
      <w:pPr>
        <w:ind w:left="-60" w:firstLine="885"/>
        <w:spacing w:after="0" w:line="245" w:lineRule="auto"/>
        <w:tabs>
          <w:tab w:leader="none" w:pos="1705"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95" w:lineRule="exact"/>
        <w:rPr>
          <w:rFonts w:ascii="Arial" w:cs="Arial" w:eastAsia="Arial" w:hAnsi="Arial"/>
          <w:sz w:val="21"/>
          <w:szCs w:val="21"/>
          <w:color w:val="auto"/>
        </w:rPr>
      </w:pPr>
    </w:p>
    <w:p>
      <w:pPr>
        <w:ind w:left="-60" w:right="200" w:firstLine="885"/>
        <w:spacing w:after="0" w:line="297" w:lineRule="auto"/>
        <w:tabs>
          <w:tab w:leader="none" w:pos="1682" w:val="left"/>
        </w:tabs>
        <w:numPr>
          <w:ilvl w:val="0"/>
          <w:numId w:val="48"/>
        </w:numPr>
        <w:rPr>
          <w:rFonts w:ascii="Arial" w:cs="Arial" w:eastAsia="Arial" w:hAnsi="Arial"/>
          <w:sz w:val="19"/>
          <w:szCs w:val="19"/>
          <w:color w:val="auto"/>
        </w:rPr>
      </w:pPr>
      <w:r>
        <w:rPr>
          <w:rFonts w:ascii="Arial" w:cs="Arial" w:eastAsia="Arial" w:hAnsi="Arial"/>
          <w:sz w:val="19"/>
          <w:szCs w:val="19"/>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63500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348" w:right="299" w:bottom="1440" w:gutter="0" w:footer="0" w:header="0"/>
        </w:sectPr>
      </w:pPr>
    </w:p>
    <w:bookmarkStart w:id="91" w:name="page92"/>
    <w:bookmarkEnd w:id="91"/>
    <w:p>
      <w:pPr>
        <w:ind w:right="200" w:firstLine="885"/>
        <w:spacing w:after="0" w:line="252" w:lineRule="auto"/>
        <w:tabs>
          <w:tab w:leader="none" w:pos="1778" w:val="left"/>
        </w:tabs>
        <w:numPr>
          <w:ilvl w:val="0"/>
          <w:numId w:val="49"/>
        </w:numPr>
        <w:rPr>
          <w:rFonts w:ascii="Arial" w:cs="Arial" w:eastAsia="Arial" w:hAnsi="Arial"/>
          <w:sz w:val="21"/>
          <w:szCs w:val="21"/>
          <w:color w:val="auto"/>
        </w:rPr>
      </w:pPr>
      <w:r>
        <w:rPr>
          <w:rFonts w:ascii="Arial" w:cs="Arial" w:eastAsia="Arial" w:hAnsi="Arial"/>
          <w:sz w:val="21"/>
          <w:szCs w:val="21"/>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187" w:lineRule="exact"/>
        <w:rPr>
          <w:rFonts w:ascii="Arial" w:cs="Arial" w:eastAsia="Arial" w:hAnsi="Arial"/>
          <w:sz w:val="21"/>
          <w:szCs w:val="21"/>
          <w:color w:val="auto"/>
        </w:rPr>
      </w:pPr>
    </w:p>
    <w:p>
      <w:pPr>
        <w:ind w:right="100" w:firstLine="885"/>
        <w:spacing w:after="0" w:line="252" w:lineRule="auto"/>
        <w:tabs>
          <w:tab w:leader="none" w:pos="1778" w:val="left"/>
        </w:tabs>
        <w:numPr>
          <w:ilvl w:val="0"/>
          <w:numId w:val="49"/>
        </w:numPr>
        <w:rPr>
          <w:rFonts w:ascii="Arial" w:cs="Arial" w:eastAsia="Arial" w:hAnsi="Arial"/>
          <w:sz w:val="21"/>
          <w:szCs w:val="21"/>
          <w:color w:val="auto"/>
        </w:rPr>
      </w:pPr>
      <w:r>
        <w:rPr>
          <w:rFonts w:ascii="Arial" w:cs="Arial" w:eastAsia="Arial" w:hAnsi="Arial"/>
          <w:sz w:val="21"/>
          <w:szCs w:val="21"/>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87" w:lineRule="exact"/>
        <w:rPr>
          <w:rFonts w:ascii="Arial" w:cs="Arial" w:eastAsia="Arial" w:hAnsi="Arial"/>
          <w:sz w:val="21"/>
          <w:szCs w:val="21"/>
          <w:color w:val="auto"/>
        </w:rPr>
      </w:pPr>
    </w:p>
    <w:p>
      <w:pPr>
        <w:ind w:firstLine="885"/>
        <w:spacing w:after="0" w:line="268" w:lineRule="auto"/>
        <w:tabs>
          <w:tab w:leader="none" w:pos="1730"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w:t>
      </w:r>
    </w:p>
    <w:p>
      <w:pPr>
        <w:spacing w:after="0" w:line="201" w:lineRule="exact"/>
        <w:rPr>
          <w:rFonts w:ascii="Arial" w:cs="Arial" w:eastAsia="Arial" w:hAnsi="Arial"/>
          <w:sz w:val="19"/>
          <w:szCs w:val="19"/>
          <w:color w:val="auto"/>
        </w:rPr>
      </w:pPr>
    </w:p>
    <w:p>
      <w:pPr>
        <w:ind w:right="180" w:firstLine="885"/>
        <w:spacing w:after="0" w:line="251" w:lineRule="auto"/>
        <w:tabs>
          <w:tab w:leader="none" w:pos="1730" w:val="left"/>
        </w:tabs>
        <w:numPr>
          <w:ilvl w:val="0"/>
          <w:numId w:val="49"/>
        </w:numPr>
        <w:rPr>
          <w:rFonts w:ascii="Arial" w:cs="Arial" w:eastAsia="Arial" w:hAnsi="Arial"/>
          <w:sz w:val="22"/>
          <w:szCs w:val="22"/>
          <w:color w:val="auto"/>
        </w:rPr>
      </w:pPr>
      <w:r>
        <w:rPr>
          <w:rFonts w:ascii="Arial" w:cs="Arial" w:eastAsia="Arial" w:hAnsi="Arial"/>
          <w:sz w:val="22"/>
          <w:szCs w:val="22"/>
          <w:color w:val="auto"/>
        </w:rPr>
        <w:t>Clawback of Certain Compensation and Benefits. If, after the termination of the Term of Employment for any reason other than by the Company for “justifiable cause”:</w:t>
      </w:r>
    </w:p>
    <w:p>
      <w:pPr>
        <w:spacing w:after="0" w:line="187" w:lineRule="exact"/>
        <w:rPr>
          <w:sz w:val="20"/>
          <w:szCs w:val="20"/>
          <w:color w:val="auto"/>
        </w:rPr>
      </w:pPr>
    </w:p>
    <w:p>
      <w:pPr>
        <w:ind w:right="80" w:firstLine="1763"/>
        <w:spacing w:after="0"/>
        <w:tabs>
          <w:tab w:leader="none" w:pos="2607" w:val="left"/>
        </w:tabs>
        <w:numPr>
          <w:ilvl w:val="0"/>
          <w:numId w:val="50"/>
        </w:numPr>
        <w:rPr>
          <w:rFonts w:ascii="Arial" w:cs="Arial" w:eastAsia="Arial" w:hAnsi="Arial"/>
          <w:sz w:val="22"/>
          <w:szCs w:val="22"/>
          <w:color w:val="auto"/>
        </w:rPr>
      </w:pPr>
      <w:r>
        <w:rPr>
          <w:rFonts w:ascii="Arial" w:cs="Arial" w:eastAsia="Arial" w:hAnsi="Arial"/>
          <w:sz w:val="22"/>
          <w:szCs w:val="22"/>
          <w:color w:val="auto"/>
        </w:rPr>
        <w:t>it is determined in good faith by the Company within twelve (12) months after the termination of the Term of Employment (the “Termination Date”) that the Executive’s employment could have been terminated by the Company for justifiable cause under paragraph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92" w:name="page93"/>
    <w:bookmarkEnd w:id="92"/>
    <w:p>
      <w:pPr>
        <w:ind w:right="220"/>
        <w:spacing w:after="0" w:line="251" w:lineRule="auto"/>
        <w:rPr>
          <w:sz w:val="20"/>
          <w:szCs w:val="20"/>
          <w:color w:val="auto"/>
        </w:rPr>
      </w:pPr>
      <w:r>
        <w:rPr>
          <w:rFonts w:ascii="Arial" w:cs="Arial" w:eastAsia="Arial" w:hAnsi="Arial"/>
          <w:sz w:val="22"/>
          <w:szCs w:val="22"/>
          <w:color w:val="auto"/>
        </w:rPr>
        <w:t>7(d) hereof (unless the Company knew or should have known that as of the Termination Date, the Executive’s employment could have been terminated for justifiable cause in accordance with paragraph 7(d) hereof); or</w:t>
      </w:r>
    </w:p>
    <w:p>
      <w:pPr>
        <w:spacing w:after="0" w:line="173" w:lineRule="exact"/>
        <w:rPr>
          <w:sz w:val="20"/>
          <w:szCs w:val="20"/>
          <w:color w:val="auto"/>
        </w:rPr>
      </w:pPr>
    </w:p>
    <w:p>
      <w:pPr>
        <w:ind w:right="120" w:firstLine="1763"/>
        <w:spacing w:after="0" w:line="238" w:lineRule="auto"/>
        <w:tabs>
          <w:tab w:leader="none" w:pos="2667"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85" w:lineRule="exact"/>
        <w:rPr>
          <w:rFonts w:ascii="Arial" w:cs="Arial" w:eastAsia="Arial" w:hAnsi="Arial"/>
          <w:sz w:val="22"/>
          <w:szCs w:val="22"/>
          <w:color w:val="auto"/>
        </w:rPr>
      </w:pPr>
    </w:p>
    <w:p>
      <w:pPr>
        <w:ind w:firstLine="2642"/>
        <w:spacing w:after="0" w:line="234" w:lineRule="auto"/>
        <w:tabs>
          <w:tab w:leader="none" w:pos="3582" w:val="left"/>
        </w:tabs>
        <w:numPr>
          <w:ilvl w:val="2"/>
          <w:numId w:val="51"/>
        </w:numPr>
        <w:rPr>
          <w:rFonts w:ascii="Arial" w:cs="Arial" w:eastAsia="Arial" w:hAnsi="Arial"/>
          <w:sz w:val="22"/>
          <w:szCs w:val="22"/>
          <w:color w:val="auto"/>
        </w:rPr>
      </w:pPr>
      <w:r>
        <w:rPr>
          <w:rFonts w:ascii="Arial" w:cs="Arial" w:eastAsia="Arial" w:hAnsi="Arial"/>
          <w:sz w:val="22"/>
          <w:szCs w:val="22"/>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91" w:lineRule="exact"/>
        <w:rPr>
          <w:rFonts w:ascii="Arial" w:cs="Arial" w:eastAsia="Arial" w:hAnsi="Arial"/>
          <w:sz w:val="22"/>
          <w:szCs w:val="22"/>
          <w:color w:val="auto"/>
        </w:rPr>
      </w:pPr>
    </w:p>
    <w:p>
      <w:pPr>
        <w:ind w:left="3580" w:hanging="938"/>
        <w:spacing w:after="0"/>
        <w:tabs>
          <w:tab w:leader="none" w:pos="3580" w:val="left"/>
        </w:tabs>
        <w:numPr>
          <w:ilvl w:val="2"/>
          <w:numId w:val="51"/>
        </w:numPr>
        <w:rPr>
          <w:rFonts w:ascii="Arial" w:cs="Arial" w:eastAsia="Arial" w:hAnsi="Arial"/>
          <w:sz w:val="22"/>
          <w:szCs w:val="22"/>
          <w:color w:val="auto"/>
        </w:rPr>
      </w:pPr>
      <w:r>
        <w:rPr>
          <w:rFonts w:ascii="Arial" w:cs="Arial" w:eastAsia="Arial" w:hAnsi="Arial"/>
          <w:sz w:val="22"/>
          <w:szCs w:val="22"/>
          <w:color w:val="auto"/>
        </w:rPr>
        <w:t>all vested and unvested Awards (as that term is defined in the 2006 Incentive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Compensation Plan) then held by the Executive shall immediately expire; and</w:t>
      </w:r>
    </w:p>
    <w:p>
      <w:pPr>
        <w:spacing w:after="0" w:line="188" w:lineRule="exact"/>
        <w:rPr>
          <w:rFonts w:ascii="Arial" w:cs="Arial" w:eastAsia="Arial" w:hAnsi="Arial"/>
          <w:sz w:val="22"/>
          <w:szCs w:val="22"/>
          <w:color w:val="auto"/>
        </w:rPr>
      </w:pPr>
    </w:p>
    <w:p>
      <w:pPr>
        <w:ind w:right="20" w:firstLine="2642"/>
        <w:spacing w:after="0" w:line="245" w:lineRule="auto"/>
        <w:tabs>
          <w:tab w:leader="none" w:pos="3570" w:val="left"/>
        </w:tabs>
        <w:numPr>
          <w:ilvl w:val="2"/>
          <w:numId w:val="51"/>
        </w:numPr>
        <w:rPr>
          <w:rFonts w:ascii="Arial" w:cs="Arial" w:eastAsia="Arial" w:hAnsi="Arial"/>
          <w:sz w:val="21"/>
          <w:szCs w:val="21"/>
          <w:color w:val="auto"/>
        </w:rPr>
      </w:pPr>
      <w:r>
        <w:rPr>
          <w:rFonts w:ascii="Arial" w:cs="Arial" w:eastAsia="Arial" w:hAnsi="Arial"/>
          <w:sz w:val="21"/>
          <w:szCs w:val="21"/>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81" w:lineRule="exact"/>
        <w:rPr>
          <w:rFonts w:ascii="Arial" w:cs="Arial" w:eastAsia="Arial" w:hAnsi="Arial"/>
          <w:sz w:val="21"/>
          <w:szCs w:val="21"/>
          <w:color w:val="auto"/>
        </w:rPr>
      </w:pPr>
    </w:p>
    <w:p>
      <w:pPr>
        <w:ind w:right="80" w:firstLine="885"/>
        <w:spacing w:after="0" w:line="328" w:lineRule="auto"/>
        <w:tabs>
          <w:tab w:leader="none" w:pos="1778" w:val="left"/>
        </w:tabs>
        <w:numPr>
          <w:ilvl w:val="0"/>
          <w:numId w:val="52"/>
        </w:numPr>
        <w:rPr>
          <w:rFonts w:ascii="Arial" w:cs="Arial" w:eastAsia="Arial" w:hAnsi="Arial"/>
          <w:sz w:val="19"/>
          <w:szCs w:val="19"/>
          <w:color w:val="auto"/>
        </w:rPr>
      </w:pPr>
      <w:r>
        <w:rPr>
          <w:rFonts w:ascii="Arial" w:cs="Arial" w:eastAsia="Arial" w:hAnsi="Arial"/>
          <w:sz w:val="19"/>
          <w:szCs w:val="19"/>
          <w:color w:val="auto"/>
        </w:rPr>
        <w:t>Any payment pursuant to paragraph 7(e) or 7(j) shall be contingent upon Executive’s execution of the General Release within 21 days after termination of the Term of Employment, and the Executive’s not revoking that release.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93" w:name="page94"/>
    <w:bookmarkEnd w:id="93"/>
    <w:p>
      <w:pPr>
        <w:ind w:left="1680" w:hanging="815"/>
        <w:spacing w:after="0"/>
        <w:tabs>
          <w:tab w:leader="none" w:pos="168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p>
    <w:p>
      <w:pPr>
        <w:spacing w:after="0" w:line="200" w:lineRule="exact"/>
        <w:rPr>
          <w:sz w:val="20"/>
          <w:szCs w:val="20"/>
          <w:color w:val="auto"/>
        </w:rPr>
      </w:pPr>
    </w:p>
    <w:p>
      <w:pPr>
        <w:spacing w:after="0" w:line="236" w:lineRule="exact"/>
        <w:rPr>
          <w:sz w:val="20"/>
          <w:szCs w:val="20"/>
          <w:color w:val="auto"/>
        </w:rPr>
      </w:pPr>
    </w:p>
    <w:p>
      <w:pPr>
        <w:ind w:left="-20" w:firstLine="885"/>
        <w:spacing w:after="0" w:line="277" w:lineRule="auto"/>
        <w:tabs>
          <w:tab w:leader="none" w:pos="1745" w:val="left"/>
        </w:tabs>
        <w:numPr>
          <w:ilvl w:val="0"/>
          <w:numId w:val="54"/>
        </w:numPr>
        <w:rPr>
          <w:rFonts w:ascii="Arial" w:cs="Arial" w:eastAsia="Arial" w:hAnsi="Arial"/>
          <w:sz w:val="19"/>
          <w:szCs w:val="19"/>
          <w:color w:val="auto"/>
        </w:rPr>
      </w:pPr>
      <w:r>
        <w:rPr>
          <w:rFonts w:ascii="Arial" w:cs="Arial" w:eastAsia="Arial" w:hAnsi="Arial"/>
          <w:sz w:val="19"/>
          <w:szCs w:val="19"/>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52" w:lineRule="exact"/>
        <w:rPr>
          <w:rFonts w:ascii="Arial" w:cs="Arial" w:eastAsia="Arial" w:hAnsi="Arial"/>
          <w:sz w:val="19"/>
          <w:szCs w:val="19"/>
          <w:color w:val="auto"/>
        </w:rPr>
      </w:pPr>
    </w:p>
    <w:p>
      <w:pPr>
        <w:ind w:left="-20" w:right="260" w:firstLine="885"/>
        <w:spacing w:after="0" w:line="297" w:lineRule="auto"/>
        <w:tabs>
          <w:tab w:leader="none" w:pos="1758" w:val="left"/>
        </w:tabs>
        <w:numPr>
          <w:ilvl w:val="0"/>
          <w:numId w:val="54"/>
        </w:numPr>
        <w:rPr>
          <w:rFonts w:ascii="Arial" w:cs="Arial" w:eastAsia="Arial" w:hAnsi="Arial"/>
          <w:sz w:val="19"/>
          <w:szCs w:val="19"/>
          <w:color w:val="auto"/>
        </w:rPr>
      </w:pPr>
      <w:r>
        <w:rPr>
          <w:rFonts w:ascii="Arial" w:cs="Arial" w:eastAsia="Arial" w:hAnsi="Arial"/>
          <w:sz w:val="19"/>
          <w:szCs w:val="19"/>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34" w:lineRule="exact"/>
        <w:rPr>
          <w:rFonts w:ascii="Arial" w:cs="Arial" w:eastAsia="Arial" w:hAnsi="Arial"/>
          <w:sz w:val="19"/>
          <w:szCs w:val="19"/>
          <w:color w:val="auto"/>
        </w:rPr>
      </w:pPr>
    </w:p>
    <w:p>
      <w:pPr>
        <w:ind w:left="1760" w:hanging="895"/>
        <w:spacing w:after="0"/>
        <w:tabs>
          <w:tab w:leader="none" w:pos="1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6 Month Delay for “Specified Employees”.</w:t>
      </w:r>
    </w:p>
    <w:p>
      <w:pPr>
        <w:spacing w:after="0" w:line="206" w:lineRule="exact"/>
        <w:rPr>
          <w:rFonts w:ascii="Arial" w:cs="Arial" w:eastAsia="Arial" w:hAnsi="Arial"/>
          <w:sz w:val="22"/>
          <w:szCs w:val="22"/>
          <w:color w:val="auto"/>
        </w:rPr>
      </w:pPr>
    </w:p>
    <w:p>
      <w:pPr>
        <w:ind w:left="-20" w:firstLine="1763"/>
        <w:spacing w:after="0" w:line="274" w:lineRule="auto"/>
        <w:tabs>
          <w:tab w:leader="none" w:pos="2587" w:val="left"/>
        </w:tabs>
        <w:numPr>
          <w:ilvl w:val="1"/>
          <w:numId w:val="54"/>
        </w:numPr>
        <w:rPr>
          <w:rFonts w:ascii="Arial" w:cs="Arial" w:eastAsia="Arial" w:hAnsi="Arial"/>
          <w:sz w:val="19"/>
          <w:szCs w:val="19"/>
          <w:color w:val="auto"/>
        </w:rPr>
      </w:pPr>
      <w:r>
        <w:rPr>
          <w:rFonts w:ascii="Arial" w:cs="Arial" w:eastAsia="Arial" w:hAnsi="Arial"/>
          <w:sz w:val="19"/>
          <w:szCs w:val="19"/>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72" w:lineRule="exact"/>
        <w:rPr>
          <w:rFonts w:ascii="Arial" w:cs="Arial" w:eastAsia="Arial" w:hAnsi="Arial"/>
          <w:sz w:val="19"/>
          <w:szCs w:val="19"/>
          <w:color w:val="auto"/>
        </w:rPr>
      </w:pPr>
    </w:p>
    <w:p>
      <w:pPr>
        <w:ind w:left="-20" w:firstLine="1763"/>
        <w:spacing w:after="0" w:line="287" w:lineRule="auto"/>
        <w:tabs>
          <w:tab w:leader="none" w:pos="2647" w:val="left"/>
        </w:tabs>
        <w:numPr>
          <w:ilvl w:val="1"/>
          <w:numId w:val="54"/>
        </w:numPr>
        <w:rPr>
          <w:rFonts w:ascii="Arial" w:cs="Arial" w:eastAsia="Arial" w:hAnsi="Arial"/>
          <w:sz w:val="19"/>
          <w:szCs w:val="19"/>
          <w:color w:val="auto"/>
        </w:rPr>
      </w:pPr>
      <w:r>
        <w:rPr>
          <w:rFonts w:ascii="Arial" w:cs="Arial" w:eastAsia="Arial" w:hAnsi="Arial"/>
          <w:sz w:val="19"/>
          <w:szCs w:val="19"/>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48" w:right="259" w:bottom="1440" w:gutter="0" w:footer="0" w:header="0"/>
        </w:sectPr>
      </w:pPr>
    </w:p>
    <w:bookmarkStart w:id="94" w:name="page95"/>
    <w:bookmarkEnd w:id="94"/>
    <w:p>
      <w:pPr>
        <w:jc w:val="both"/>
        <w:ind w:right="260" w:firstLine="885"/>
        <w:spacing w:after="0" w:line="238" w:lineRule="auto"/>
        <w:tabs>
          <w:tab w:leader="none" w:pos="1778"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5" w:lineRule="exact"/>
        <w:rPr>
          <w:rFonts w:ascii="Arial" w:cs="Arial" w:eastAsia="Arial" w:hAnsi="Arial"/>
          <w:sz w:val="22"/>
          <w:szCs w:val="22"/>
          <w:color w:val="auto"/>
        </w:rPr>
      </w:pPr>
    </w:p>
    <w:p>
      <w:pPr>
        <w:ind w:firstLine="885"/>
        <w:spacing w:after="0" w:line="238" w:lineRule="auto"/>
        <w:tabs>
          <w:tab w:leader="none" w:pos="1765" w:val="left"/>
        </w:tabs>
        <w:numPr>
          <w:ilvl w:val="0"/>
          <w:numId w:val="55"/>
        </w:numPr>
        <w:rPr>
          <w:rFonts w:ascii="Arial" w:cs="Arial" w:eastAsia="Arial" w:hAnsi="Arial"/>
          <w:sz w:val="22"/>
          <w:szCs w:val="22"/>
          <w:color w:val="auto"/>
        </w:rPr>
      </w:pPr>
      <w:r>
        <w:rPr>
          <w:rFonts w:ascii="Arial" w:cs="Arial" w:eastAsia="Arial" w:hAnsi="Arial"/>
          <w:sz w:val="22"/>
          <w:szCs w:val="22"/>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85" w:lineRule="exact"/>
        <w:rPr>
          <w:rFonts w:ascii="Arial" w:cs="Arial" w:eastAsia="Arial" w:hAnsi="Arial"/>
          <w:sz w:val="22"/>
          <w:szCs w:val="22"/>
          <w:color w:val="auto"/>
        </w:rPr>
      </w:pPr>
    </w:p>
    <w:p>
      <w:pPr>
        <w:ind w:left="1740" w:hanging="855"/>
        <w:spacing w:after="0"/>
        <w:tabs>
          <w:tab w:leader="none" w:pos="17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Taxable Reimbursements.</w:t>
      </w:r>
    </w:p>
    <w:p>
      <w:pPr>
        <w:spacing w:after="0" w:line="206" w:lineRule="exact"/>
        <w:rPr>
          <w:rFonts w:ascii="Arial" w:cs="Arial" w:eastAsia="Arial" w:hAnsi="Arial"/>
          <w:sz w:val="22"/>
          <w:szCs w:val="22"/>
          <w:color w:val="auto"/>
        </w:rPr>
      </w:pPr>
    </w:p>
    <w:p>
      <w:pPr>
        <w:ind w:right="40" w:firstLine="1763"/>
        <w:spacing w:after="0" w:line="287" w:lineRule="auto"/>
        <w:tabs>
          <w:tab w:leader="none" w:pos="2607"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43" w:lineRule="exact"/>
        <w:rPr>
          <w:rFonts w:ascii="Arial" w:cs="Arial" w:eastAsia="Arial" w:hAnsi="Arial"/>
          <w:sz w:val="19"/>
          <w:szCs w:val="19"/>
          <w:color w:val="auto"/>
        </w:rPr>
      </w:pPr>
    </w:p>
    <w:p>
      <w:pPr>
        <w:ind w:right="20" w:firstLine="1763"/>
        <w:spacing w:after="0" w:line="328" w:lineRule="auto"/>
        <w:tabs>
          <w:tab w:leader="none" w:pos="2667"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05" w:lineRule="exact"/>
        <w:rPr>
          <w:rFonts w:ascii="Arial" w:cs="Arial" w:eastAsia="Arial" w:hAnsi="Arial"/>
          <w:sz w:val="19"/>
          <w:szCs w:val="19"/>
          <w:color w:val="auto"/>
        </w:rPr>
      </w:pPr>
    </w:p>
    <w:p>
      <w:pPr>
        <w:ind w:left="2740" w:hanging="977"/>
        <w:spacing w:after="0"/>
        <w:tabs>
          <w:tab w:leader="none" w:pos="2740"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right to Taxable Reimbursements shall not be subject to liquidation or exchange for another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benefit.</w:t>
      </w:r>
    </w:p>
    <w:p>
      <w:pPr>
        <w:spacing w:after="0" w:line="188" w:lineRule="exact"/>
        <w:rPr>
          <w:sz w:val="20"/>
          <w:szCs w:val="20"/>
          <w:color w:val="auto"/>
        </w:rPr>
      </w:pPr>
    </w:p>
    <w:p>
      <w:pPr>
        <w:ind w:left="1700" w:hanging="815"/>
        <w:spacing w:after="0"/>
        <w:tabs>
          <w:tab w:leader="none" w:pos="17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REPRESENTATION AND AGREEMENTS OF EXECUTIVE</w:t>
      </w:r>
    </w:p>
    <w:p>
      <w:pPr>
        <w:spacing w:after="0" w:line="220" w:lineRule="exact"/>
        <w:rPr>
          <w:sz w:val="20"/>
          <w:szCs w:val="20"/>
          <w:color w:val="auto"/>
        </w:rPr>
      </w:pPr>
    </w:p>
    <w:p>
      <w:pPr>
        <w:ind w:right="660" w:firstLine="885"/>
        <w:spacing w:after="0" w:line="258" w:lineRule="auto"/>
        <w:tabs>
          <w:tab w:leader="none" w:pos="1765" w:val="left"/>
        </w:tabs>
        <w:numPr>
          <w:ilvl w:val="0"/>
          <w:numId w:val="57"/>
        </w:numPr>
        <w:rPr>
          <w:rFonts w:ascii="Arial" w:cs="Arial" w:eastAsia="Arial" w:hAnsi="Arial"/>
          <w:sz w:val="21"/>
          <w:szCs w:val="21"/>
          <w:color w:val="auto"/>
        </w:rPr>
      </w:pPr>
      <w:r>
        <w:rPr>
          <w:rFonts w:ascii="Arial" w:cs="Arial" w:eastAsia="Arial" w:hAnsi="Arial"/>
          <w:sz w:val="21"/>
          <w:szCs w:val="21"/>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396" w:lineRule="exact"/>
        <w:rPr>
          <w:rFonts w:ascii="Arial" w:cs="Arial" w:eastAsia="Arial" w:hAnsi="Arial"/>
          <w:sz w:val="21"/>
          <w:szCs w:val="21"/>
          <w:color w:val="auto"/>
        </w:rPr>
      </w:pPr>
    </w:p>
    <w:p>
      <w:pPr>
        <w:jc w:val="both"/>
        <w:ind w:right="160" w:firstLine="885"/>
        <w:spacing w:after="0" w:line="297" w:lineRule="auto"/>
        <w:tabs>
          <w:tab w:leader="none" w:pos="1778"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7" w:lineRule="exact"/>
        <w:rPr>
          <w:rFonts w:ascii="Arial" w:cs="Arial" w:eastAsia="Arial" w:hAnsi="Arial"/>
          <w:sz w:val="19"/>
          <w:szCs w:val="19"/>
          <w:color w:val="auto"/>
        </w:rPr>
      </w:pPr>
    </w:p>
    <w:p>
      <w:pPr>
        <w:ind w:right="20" w:firstLine="885"/>
        <w:spacing w:after="0"/>
        <w:tabs>
          <w:tab w:leader="none" w:pos="1765" w:val="left"/>
        </w:tabs>
        <w:numPr>
          <w:ilvl w:val="0"/>
          <w:numId w:val="57"/>
        </w:numPr>
        <w:rPr>
          <w:rFonts w:ascii="Arial" w:cs="Arial" w:eastAsia="Arial" w:hAnsi="Arial"/>
          <w:sz w:val="22"/>
          <w:szCs w:val="22"/>
          <w:color w:val="auto"/>
        </w:rPr>
      </w:pPr>
      <w:r>
        <w:rPr>
          <w:rFonts w:ascii="Arial" w:cs="Arial" w:eastAsia="Arial" w:hAnsi="Arial"/>
          <w:sz w:val="22"/>
          <w:szCs w:val="22"/>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95" w:name="page96"/>
    <w:bookmarkEnd w:id="95"/>
    <w:p>
      <w:pPr>
        <w:jc w:val="both"/>
        <w:ind w:right="200" w:firstLine="885"/>
        <w:spacing w:after="0" w:line="258" w:lineRule="auto"/>
        <w:tabs>
          <w:tab w:leader="none" w:pos="1778" w:val="left"/>
        </w:tabs>
        <w:numPr>
          <w:ilvl w:val="0"/>
          <w:numId w:val="58"/>
        </w:numPr>
        <w:rPr>
          <w:rFonts w:ascii="Arial" w:cs="Arial" w:eastAsia="Arial" w:hAnsi="Arial"/>
          <w:sz w:val="21"/>
          <w:szCs w:val="21"/>
          <w:color w:val="auto"/>
        </w:rPr>
      </w:pPr>
      <w:r>
        <w:rPr>
          <w:rFonts w:ascii="Arial" w:cs="Arial" w:eastAsia="Arial" w:hAnsi="Arial"/>
          <w:sz w:val="21"/>
          <w:szCs w:val="21"/>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80" w:lineRule="exact"/>
        <w:rPr>
          <w:rFonts w:ascii="Arial" w:cs="Arial" w:eastAsia="Arial" w:hAnsi="Arial"/>
          <w:sz w:val="21"/>
          <w:szCs w:val="21"/>
          <w:color w:val="auto"/>
        </w:rPr>
      </w:pPr>
    </w:p>
    <w:p>
      <w:pPr>
        <w:ind w:left="1780" w:hanging="895"/>
        <w:spacing w:after="0"/>
        <w:tabs>
          <w:tab w:leader="none" w:pos="17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Executive represents and warrants that he has never been accused of any impropriety in connection with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employment;</w:t>
      </w:r>
    </w:p>
    <w:p>
      <w:pPr>
        <w:spacing w:after="0" w:line="202" w:lineRule="exact"/>
        <w:rPr>
          <w:sz w:val="20"/>
          <w:szCs w:val="20"/>
          <w:color w:val="auto"/>
        </w:rPr>
      </w:pPr>
    </w:p>
    <w:p>
      <w:pPr>
        <w:ind w:right="40" w:firstLine="877"/>
        <w:spacing w:after="0" w:line="251" w:lineRule="auto"/>
        <w:rPr>
          <w:sz w:val="20"/>
          <w:szCs w:val="20"/>
          <w:color w:val="auto"/>
        </w:rPr>
      </w:pPr>
      <w:r>
        <w:rPr>
          <w:rFonts w:ascii="Arial" w:cs="Arial" w:eastAsia="Arial" w:hAnsi="Arial"/>
          <w:sz w:val="22"/>
          <w:szCs w:val="22"/>
          <w:color w:val="auto"/>
        </w:rPr>
        <w:t>Any breach of any of the above representations and warranties is "justifiable cause" for termination under paragraph 7(d) of this Agreement.</w:t>
      </w:r>
    </w:p>
    <w:p>
      <w:pPr>
        <w:spacing w:after="0" w:line="187" w:lineRule="exact"/>
        <w:rPr>
          <w:sz w:val="20"/>
          <w:szCs w:val="20"/>
          <w:color w:val="auto"/>
        </w:rPr>
      </w:pPr>
    </w:p>
    <w:p>
      <w:pPr>
        <w:ind w:left="1800" w:hanging="915"/>
        <w:spacing w:after="0"/>
        <w:tabs>
          <w:tab w:leader="none" w:pos="18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NON-COMPETITION</w:t>
      </w:r>
    </w:p>
    <w:p>
      <w:pPr>
        <w:spacing w:after="0" w:line="220" w:lineRule="exact"/>
        <w:rPr>
          <w:sz w:val="20"/>
          <w:szCs w:val="20"/>
          <w:color w:val="auto"/>
        </w:rPr>
      </w:pPr>
    </w:p>
    <w:p>
      <w:pPr>
        <w:ind w:firstLine="885"/>
        <w:spacing w:after="0" w:line="271" w:lineRule="auto"/>
        <w:tabs>
          <w:tab w:leader="none" w:pos="1765" w:val="left"/>
        </w:tabs>
        <w:numPr>
          <w:ilvl w:val="0"/>
          <w:numId w:val="60"/>
        </w:numPr>
        <w:rPr>
          <w:rFonts w:ascii="Arial" w:cs="Arial" w:eastAsia="Arial" w:hAnsi="Arial"/>
          <w:sz w:val="19"/>
          <w:szCs w:val="19"/>
          <w:color w:val="auto"/>
        </w:rPr>
      </w:pPr>
      <w:r>
        <w:rPr>
          <w:rFonts w:ascii="Arial" w:cs="Arial" w:eastAsia="Arial" w:hAnsi="Arial"/>
          <w:sz w:val="19"/>
          <w:szCs w:val="19"/>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right="140" w:firstLine="885"/>
        <w:spacing w:after="0" w:line="282" w:lineRule="auto"/>
        <w:tabs>
          <w:tab w:leader="none" w:pos="1778" w:val="left"/>
        </w:tabs>
        <w:numPr>
          <w:ilvl w:val="0"/>
          <w:numId w:val="60"/>
        </w:numPr>
        <w:rPr>
          <w:rFonts w:ascii="Arial" w:cs="Arial" w:eastAsia="Arial" w:hAnsi="Arial"/>
          <w:sz w:val="19"/>
          <w:szCs w:val="19"/>
          <w:color w:val="auto"/>
        </w:rPr>
      </w:pPr>
      <w:r>
        <w:rPr>
          <w:rFonts w:ascii="Arial" w:cs="Arial" w:eastAsia="Arial" w:hAnsi="Arial"/>
          <w:sz w:val="19"/>
          <w:szCs w:val="19"/>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61" w:lineRule="exact"/>
        <w:rPr>
          <w:rFonts w:ascii="Arial" w:cs="Arial" w:eastAsia="Arial" w:hAnsi="Arial"/>
          <w:sz w:val="19"/>
          <w:szCs w:val="19"/>
          <w:color w:val="auto"/>
        </w:rPr>
      </w:pPr>
    </w:p>
    <w:p>
      <w:pPr>
        <w:jc w:val="both"/>
        <w:ind w:right="200" w:firstLine="885"/>
        <w:spacing w:after="0" w:line="297" w:lineRule="auto"/>
        <w:tabs>
          <w:tab w:leader="none" w:pos="1765" w:val="left"/>
        </w:tabs>
        <w:numPr>
          <w:ilvl w:val="0"/>
          <w:numId w:val="60"/>
        </w:numPr>
        <w:rPr>
          <w:rFonts w:ascii="Arial" w:cs="Arial" w:eastAsia="Arial" w:hAnsi="Arial"/>
          <w:sz w:val="19"/>
          <w:szCs w:val="19"/>
          <w:color w:val="auto"/>
        </w:rPr>
      </w:pPr>
      <w:r>
        <w:rPr>
          <w:rFonts w:ascii="Arial" w:cs="Arial" w:eastAsia="Arial" w:hAnsi="Arial"/>
          <w:sz w:val="19"/>
          <w:szCs w:val="19"/>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96" w:name="page97"/>
    <w:bookmarkEnd w:id="96"/>
    <w:p>
      <w:pPr>
        <w:ind w:right="300"/>
        <w:spacing w:after="0" w:line="258" w:lineRule="auto"/>
        <w:rPr>
          <w:sz w:val="20"/>
          <w:szCs w:val="20"/>
          <w:color w:val="auto"/>
        </w:rPr>
      </w:pPr>
      <w:r>
        <w:rPr>
          <w:rFonts w:ascii="Arial" w:cs="Arial" w:eastAsia="Arial" w:hAnsi="Arial"/>
          <w:sz w:val="21"/>
          <w:szCs w:val="21"/>
          <w:color w:val="auto"/>
        </w:rPr>
        <w:t>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80" w:lineRule="exact"/>
        <w:rPr>
          <w:sz w:val="20"/>
          <w:szCs w:val="20"/>
          <w:color w:val="auto"/>
        </w:rPr>
      </w:pPr>
    </w:p>
    <w:p>
      <w:pPr>
        <w:ind w:firstLine="885"/>
        <w:spacing w:after="0" w:line="236" w:lineRule="auto"/>
        <w:tabs>
          <w:tab w:leader="none" w:pos="1778"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1" w:lineRule="exact"/>
        <w:rPr>
          <w:sz w:val="20"/>
          <w:szCs w:val="20"/>
          <w:color w:val="auto"/>
        </w:rPr>
      </w:pPr>
    </w:p>
    <w:p>
      <w:pPr>
        <w:ind w:left="1800" w:hanging="915"/>
        <w:spacing w:after="0"/>
        <w:tabs>
          <w:tab w:leader="none" w:pos="18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INVENTIONS AND DISCOVERIES</w:t>
      </w:r>
    </w:p>
    <w:p>
      <w:pPr>
        <w:spacing w:after="0" w:line="220" w:lineRule="exact"/>
        <w:rPr>
          <w:sz w:val="20"/>
          <w:szCs w:val="20"/>
          <w:color w:val="auto"/>
        </w:rPr>
      </w:pPr>
    </w:p>
    <w:p>
      <w:pPr>
        <w:ind w:right="40" w:firstLine="885"/>
        <w:spacing w:after="0" w:line="275" w:lineRule="auto"/>
        <w:tabs>
          <w:tab w:leader="none" w:pos="1765" w:val="left"/>
        </w:tabs>
        <w:numPr>
          <w:ilvl w:val="0"/>
          <w:numId w:val="63"/>
        </w:numPr>
        <w:rPr>
          <w:rFonts w:ascii="Arial" w:cs="Arial" w:eastAsia="Arial" w:hAnsi="Arial"/>
          <w:sz w:val="19"/>
          <w:szCs w:val="19"/>
          <w:color w:val="auto"/>
        </w:rPr>
      </w:pPr>
      <w:r>
        <w:rPr>
          <w:rFonts w:ascii="Arial" w:cs="Arial" w:eastAsia="Arial" w:hAnsi="Arial"/>
          <w:sz w:val="19"/>
          <w:szCs w:val="19"/>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71" w:lineRule="exact"/>
        <w:rPr>
          <w:rFonts w:ascii="Arial" w:cs="Arial" w:eastAsia="Arial" w:hAnsi="Arial"/>
          <w:sz w:val="19"/>
          <w:szCs w:val="19"/>
          <w:color w:val="auto"/>
        </w:rPr>
      </w:pPr>
    </w:p>
    <w:p>
      <w:pPr>
        <w:ind w:right="80" w:firstLine="885"/>
        <w:spacing w:after="0" w:line="245" w:lineRule="auto"/>
        <w:tabs>
          <w:tab w:leader="none" w:pos="1778" w:val="left"/>
        </w:tabs>
        <w:numPr>
          <w:ilvl w:val="0"/>
          <w:numId w:val="63"/>
        </w:numPr>
        <w:rPr>
          <w:rFonts w:ascii="Arial" w:cs="Arial" w:eastAsia="Arial" w:hAnsi="Arial"/>
          <w:sz w:val="21"/>
          <w:szCs w:val="21"/>
          <w:color w:val="auto"/>
        </w:rPr>
      </w:pPr>
      <w:r>
        <w:rPr>
          <w:rFonts w:ascii="Arial" w:cs="Arial" w:eastAsia="Arial" w:hAnsi="Arial"/>
          <w:sz w:val="21"/>
          <w:szCs w:val="21"/>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5" w:lineRule="exact"/>
        <w:rPr>
          <w:sz w:val="20"/>
          <w:szCs w:val="20"/>
          <w:color w:val="auto"/>
        </w:rPr>
      </w:pPr>
    </w:p>
    <w:p>
      <w:pPr>
        <w:ind w:left="1800" w:hanging="915"/>
        <w:spacing w:after="0"/>
        <w:tabs>
          <w:tab w:leader="none" w:pos="18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NON-DISCLOSURE OF CONFIDENTIAL INFORMATION</w:t>
      </w:r>
    </w:p>
    <w:p>
      <w:pPr>
        <w:spacing w:after="0" w:line="220" w:lineRule="exact"/>
        <w:rPr>
          <w:sz w:val="20"/>
          <w:szCs w:val="20"/>
          <w:color w:val="auto"/>
        </w:rPr>
      </w:pPr>
    </w:p>
    <w:p>
      <w:pPr>
        <w:ind w:firstLine="885"/>
        <w:spacing w:after="0" w:line="297" w:lineRule="auto"/>
        <w:tabs>
          <w:tab w:leader="none" w:pos="1765" w:val="left"/>
        </w:tabs>
        <w:numPr>
          <w:ilvl w:val="0"/>
          <w:numId w:val="65"/>
        </w:numPr>
        <w:rPr>
          <w:rFonts w:ascii="Arial" w:cs="Arial" w:eastAsia="Arial" w:hAnsi="Arial"/>
          <w:sz w:val="19"/>
          <w:szCs w:val="19"/>
          <w:color w:val="auto"/>
        </w:rPr>
      </w:pPr>
      <w:r>
        <w:rPr>
          <w:rFonts w:ascii="Arial" w:cs="Arial" w:eastAsia="Arial" w:hAnsi="Arial"/>
          <w:sz w:val="19"/>
          <w:szCs w:val="19"/>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97" w:name="page98"/>
    <w:bookmarkEnd w:id="97"/>
    <w:p>
      <w:pPr>
        <w:ind w:right="120"/>
        <w:spacing w:after="0" w:line="271" w:lineRule="auto"/>
        <w:rPr>
          <w:sz w:val="20"/>
          <w:szCs w:val="20"/>
          <w:color w:val="auto"/>
        </w:rPr>
      </w:pPr>
      <w:r>
        <w:rPr>
          <w:rFonts w:ascii="Arial" w:cs="Arial" w:eastAsia="Arial" w:hAnsi="Arial"/>
          <w:sz w:val="19"/>
          <w:szCs w:val="19"/>
          <w:color w:val="auto"/>
        </w:rPr>
        <w:t>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75" w:lineRule="exact"/>
        <w:rPr>
          <w:sz w:val="20"/>
          <w:szCs w:val="20"/>
          <w:color w:val="auto"/>
        </w:rPr>
      </w:pPr>
    </w:p>
    <w:p>
      <w:pPr>
        <w:ind w:right="360" w:firstLine="885"/>
        <w:spacing w:after="0" w:line="282" w:lineRule="auto"/>
        <w:tabs>
          <w:tab w:leader="none" w:pos="1778"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61" w:lineRule="exact"/>
        <w:rPr>
          <w:sz w:val="20"/>
          <w:szCs w:val="20"/>
          <w:color w:val="auto"/>
        </w:rPr>
      </w:pPr>
    </w:p>
    <w:p>
      <w:pPr>
        <w:ind w:left="1800" w:hanging="915"/>
        <w:spacing w:after="0"/>
        <w:tabs>
          <w:tab w:leader="none" w:pos="18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SPECIFIC PERFORMANCE</w:t>
      </w:r>
    </w:p>
    <w:p>
      <w:pPr>
        <w:spacing w:after="0" w:line="220" w:lineRule="exact"/>
        <w:rPr>
          <w:sz w:val="20"/>
          <w:szCs w:val="20"/>
          <w:color w:val="auto"/>
        </w:rPr>
      </w:pPr>
    </w:p>
    <w:p>
      <w:pPr>
        <w:ind w:right="100" w:firstLine="877"/>
        <w:spacing w:after="0" w:line="270" w:lineRule="auto"/>
        <w:rPr>
          <w:sz w:val="20"/>
          <w:szCs w:val="20"/>
          <w:color w:val="auto"/>
        </w:rPr>
      </w:pPr>
      <w:r>
        <w:rPr>
          <w:rFonts w:ascii="Arial" w:cs="Arial" w:eastAsia="Arial" w:hAnsi="Arial"/>
          <w:sz w:val="19"/>
          <w:szCs w:val="19"/>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w:t>
      </w:r>
    </w:p>
    <w:p>
      <w:pPr>
        <w:spacing w:after="0" w:line="4"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8" w:right="319" w:bottom="1440" w:gutter="0" w:footer="0" w:header="0"/>
        </w:sectPr>
      </w:pPr>
    </w:p>
    <w:bookmarkStart w:id="98" w:name="page99"/>
    <w:bookmarkEnd w:id="98"/>
    <w:p>
      <w:pPr>
        <w:ind w:left="1800" w:hanging="915"/>
        <w:spacing w:after="0"/>
        <w:tabs>
          <w:tab w:leader="none" w:pos="18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AMENDMENT OR ALTERATION</w:t>
      </w:r>
    </w:p>
    <w:p>
      <w:pPr>
        <w:spacing w:after="0" w:line="220" w:lineRule="exact"/>
        <w:rPr>
          <w:sz w:val="20"/>
          <w:szCs w:val="20"/>
          <w:color w:val="auto"/>
        </w:rPr>
      </w:pPr>
    </w:p>
    <w:p>
      <w:pPr>
        <w:ind w:right="220" w:firstLine="877"/>
        <w:spacing w:after="0" w:line="251" w:lineRule="auto"/>
        <w:rPr>
          <w:sz w:val="20"/>
          <w:szCs w:val="20"/>
          <w:color w:val="auto"/>
        </w:rPr>
      </w:pPr>
      <w:r>
        <w:rPr>
          <w:rFonts w:ascii="Arial" w:cs="Arial" w:eastAsia="Arial" w:hAnsi="Arial"/>
          <w:sz w:val="22"/>
          <w:szCs w:val="22"/>
          <w:color w:val="auto"/>
        </w:rPr>
        <w:t>No amendment or alteration of the terms of this Agreement shall be valid unless made in writing and signed by both of the parties hereto.</w:t>
      </w:r>
    </w:p>
    <w:p>
      <w:pPr>
        <w:spacing w:after="0" w:line="187" w:lineRule="exact"/>
        <w:rPr>
          <w:sz w:val="20"/>
          <w:szCs w:val="20"/>
          <w:color w:val="auto"/>
        </w:rPr>
      </w:pPr>
    </w:p>
    <w:p>
      <w:pPr>
        <w:ind w:left="1800" w:hanging="915"/>
        <w:spacing w:after="0"/>
        <w:tabs>
          <w:tab w:leader="none" w:pos="18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GOVERNING LAW</w:t>
      </w:r>
    </w:p>
    <w:p>
      <w:pPr>
        <w:spacing w:after="0" w:line="220" w:lineRule="exact"/>
        <w:rPr>
          <w:sz w:val="20"/>
          <w:szCs w:val="20"/>
          <w:color w:val="auto"/>
        </w:rPr>
      </w:pPr>
    </w:p>
    <w:p>
      <w:pPr>
        <w:ind w:right="740" w:firstLine="877"/>
        <w:spacing w:after="0" w:line="251" w:lineRule="auto"/>
        <w:rPr>
          <w:sz w:val="20"/>
          <w:szCs w:val="20"/>
          <w:color w:val="auto"/>
        </w:rPr>
      </w:pPr>
      <w:r>
        <w:rPr>
          <w:rFonts w:ascii="Arial" w:cs="Arial" w:eastAsia="Arial" w:hAnsi="Arial"/>
          <w:sz w:val="22"/>
          <w:szCs w:val="22"/>
          <w:color w:val="auto"/>
        </w:rPr>
        <w:t>This Agreement shall be governed by, and construed and enforced in accordance with the substantive laws of the Commonwealth of Massachusetts, without regard to its principles of conflicts of laws.</w:t>
      </w:r>
    </w:p>
    <w:p>
      <w:pPr>
        <w:spacing w:after="0" w:line="187" w:lineRule="exact"/>
        <w:rPr>
          <w:sz w:val="20"/>
          <w:szCs w:val="20"/>
          <w:color w:val="auto"/>
        </w:rPr>
      </w:pPr>
    </w:p>
    <w:p>
      <w:pPr>
        <w:ind w:left="1800" w:hanging="915"/>
        <w:spacing w:after="0"/>
        <w:tabs>
          <w:tab w:leader="none" w:pos="18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SEVERABILITY</w:t>
      </w:r>
    </w:p>
    <w:p>
      <w:pPr>
        <w:spacing w:after="0" w:line="220" w:lineRule="exact"/>
        <w:rPr>
          <w:sz w:val="20"/>
          <w:szCs w:val="20"/>
          <w:color w:val="auto"/>
        </w:rPr>
      </w:pPr>
    </w:p>
    <w:p>
      <w:pPr>
        <w:ind w:right="100" w:firstLine="877"/>
        <w:spacing w:after="0" w:line="251" w:lineRule="auto"/>
        <w:rPr>
          <w:sz w:val="20"/>
          <w:szCs w:val="20"/>
          <w:color w:val="auto"/>
        </w:rPr>
      </w:pPr>
      <w:r>
        <w:rPr>
          <w:rFonts w:ascii="Arial" w:cs="Arial" w:eastAsia="Arial" w:hAnsi="Arial"/>
          <w:sz w:val="22"/>
          <w:szCs w:val="22"/>
          <w:color w:val="auto"/>
        </w:rPr>
        <w:t>The holding of any provision of this Agreement to be invalid or unenforceable by a court of competent jurisdiction shall not affect any other provision of this Agreement, which shall remain in full force and effect.</w:t>
      </w:r>
    </w:p>
    <w:p>
      <w:pPr>
        <w:spacing w:after="0" w:line="187" w:lineRule="exact"/>
        <w:rPr>
          <w:sz w:val="20"/>
          <w:szCs w:val="20"/>
          <w:color w:val="auto"/>
        </w:rPr>
      </w:pPr>
    </w:p>
    <w:p>
      <w:pPr>
        <w:ind w:left="1800" w:hanging="915"/>
        <w:spacing w:after="0"/>
        <w:tabs>
          <w:tab w:leader="none" w:pos="18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NOTICES</w:t>
      </w:r>
    </w:p>
    <w:p>
      <w:pPr>
        <w:spacing w:after="0" w:line="220" w:lineRule="exact"/>
        <w:rPr>
          <w:sz w:val="20"/>
          <w:szCs w:val="20"/>
          <w:color w:val="auto"/>
        </w:rPr>
      </w:pPr>
    </w:p>
    <w:p>
      <w:pPr>
        <w:ind w:right="40" w:firstLine="877"/>
        <w:spacing w:after="0" w:line="238" w:lineRule="auto"/>
        <w:rPr>
          <w:sz w:val="20"/>
          <w:szCs w:val="20"/>
          <w:color w:val="auto"/>
        </w:rPr>
      </w:pPr>
      <w:r>
        <w:rPr>
          <w:rFonts w:ascii="Arial" w:cs="Arial" w:eastAsia="Arial" w:hAnsi="Arial"/>
          <w:sz w:val="22"/>
          <w:szCs w:val="22"/>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99" w:lineRule="exact"/>
        <w:rPr>
          <w:sz w:val="20"/>
          <w:szCs w:val="20"/>
          <w:color w:val="auto"/>
        </w:rPr>
      </w:pPr>
    </w:p>
    <w:p>
      <w:pPr>
        <w:ind w:left="1800" w:hanging="915"/>
        <w:spacing w:after="0"/>
        <w:tabs>
          <w:tab w:leader="none" w:pos="18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WAIVER OR BREACH</w:t>
      </w:r>
    </w:p>
    <w:p>
      <w:pPr>
        <w:spacing w:after="0" w:line="220"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It is agreed that a waiver by either party of a breach of any provision of this Agreement shall not operate, or be construed as a waiver of any subsequent breach by that same party.</w:t>
      </w:r>
    </w:p>
    <w:p>
      <w:pPr>
        <w:spacing w:after="0" w:line="187" w:lineRule="exact"/>
        <w:rPr>
          <w:sz w:val="20"/>
          <w:szCs w:val="20"/>
          <w:color w:val="auto"/>
        </w:rPr>
      </w:pPr>
    </w:p>
    <w:p>
      <w:pPr>
        <w:ind w:left="1800" w:hanging="915"/>
        <w:spacing w:after="0"/>
        <w:tabs>
          <w:tab w:leader="none" w:pos="180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ENTIRE AGREEMENT AND BINDING EFFECT</w:t>
      </w:r>
    </w:p>
    <w:p>
      <w:pPr>
        <w:spacing w:after="0" w:line="220" w:lineRule="exact"/>
        <w:rPr>
          <w:sz w:val="20"/>
          <w:szCs w:val="20"/>
          <w:color w:val="auto"/>
        </w:rPr>
      </w:pPr>
    </w:p>
    <w:p>
      <w:pPr>
        <w:ind w:firstLine="877"/>
        <w:spacing w:after="0" w:line="245" w:lineRule="auto"/>
        <w:rPr>
          <w:sz w:val="20"/>
          <w:szCs w:val="20"/>
          <w:color w:val="auto"/>
        </w:rPr>
      </w:pPr>
      <w:r>
        <w:rPr>
          <w:rFonts w:ascii="Arial" w:cs="Arial" w:eastAsia="Arial" w:hAnsi="Arial"/>
          <w:sz w:val="21"/>
          <w:szCs w:val="21"/>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99" w:name="page100"/>
    <w:bookmarkEnd w:id="99"/>
    <w:p>
      <w:pPr>
        <w:ind w:left="1800" w:hanging="915"/>
        <w:spacing w:after="0"/>
        <w:tabs>
          <w:tab w:leader="none" w:pos="18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SURVIVAL</w:t>
      </w:r>
    </w:p>
    <w:p>
      <w:pPr>
        <w:spacing w:after="0" w:line="220" w:lineRule="exact"/>
        <w:rPr>
          <w:sz w:val="20"/>
          <w:szCs w:val="20"/>
          <w:color w:val="auto"/>
        </w:rPr>
      </w:pPr>
    </w:p>
    <w:p>
      <w:pPr>
        <w:ind w:firstLine="877"/>
        <w:spacing w:after="0"/>
        <w:rPr>
          <w:sz w:val="20"/>
          <w:szCs w:val="20"/>
          <w:color w:val="auto"/>
        </w:rPr>
      </w:pPr>
      <w:r>
        <w:rPr>
          <w:rFonts w:ascii="Arial" w:cs="Arial" w:eastAsia="Arial" w:hAnsi="Arial"/>
          <w:sz w:val="22"/>
          <w:szCs w:val="22"/>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00" w:lineRule="exact"/>
        <w:rPr>
          <w:sz w:val="20"/>
          <w:szCs w:val="20"/>
          <w:color w:val="auto"/>
        </w:rPr>
      </w:pPr>
    </w:p>
    <w:p>
      <w:pPr>
        <w:ind w:left="1800" w:hanging="915"/>
        <w:spacing w:after="0"/>
        <w:tabs>
          <w:tab w:leader="none" w:pos="18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RESOLUTION OF DISPUTES</w:t>
      </w:r>
    </w:p>
    <w:p>
      <w:pPr>
        <w:spacing w:after="0" w:line="220" w:lineRule="exact"/>
        <w:rPr>
          <w:sz w:val="20"/>
          <w:szCs w:val="20"/>
          <w:color w:val="auto"/>
        </w:rPr>
      </w:pPr>
    </w:p>
    <w:p>
      <w:pPr>
        <w:ind w:right="680" w:firstLine="877"/>
        <w:spacing w:after="0" w:line="251" w:lineRule="auto"/>
        <w:rPr>
          <w:sz w:val="20"/>
          <w:szCs w:val="20"/>
          <w:color w:val="auto"/>
        </w:rPr>
      </w:pPr>
      <w:r>
        <w:rPr>
          <w:rFonts w:ascii="Arial" w:cs="Arial" w:eastAsia="Arial" w:hAnsi="Arial"/>
          <w:sz w:val="22"/>
          <w:szCs w:val="22"/>
          <w:color w:val="auto"/>
        </w:rPr>
        <w:t>Any and all disputes arising under or in connection with this Agreement shall be resolved in accordance with this paragraph 21 and paragraph 15.</w:t>
      </w:r>
    </w:p>
    <w:p>
      <w:pPr>
        <w:spacing w:after="0" w:line="187" w:lineRule="exact"/>
        <w:rPr>
          <w:sz w:val="20"/>
          <w:szCs w:val="20"/>
          <w:color w:val="auto"/>
        </w:rPr>
      </w:pPr>
    </w:p>
    <w:p>
      <w:pPr>
        <w:ind w:right="20" w:firstLine="877"/>
        <w:spacing w:after="0" w:line="236" w:lineRule="auto"/>
        <w:rPr>
          <w:sz w:val="20"/>
          <w:szCs w:val="20"/>
          <w:color w:val="auto"/>
        </w:rPr>
      </w:pPr>
      <w:r>
        <w:rPr>
          <w:rFonts w:ascii="Arial" w:cs="Arial" w:eastAsia="Arial" w:hAnsi="Arial"/>
          <w:sz w:val="22"/>
          <w:szCs w:val="22"/>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01" w:lineRule="exact"/>
        <w:rPr>
          <w:sz w:val="20"/>
          <w:szCs w:val="20"/>
          <w:color w:val="auto"/>
        </w:rPr>
      </w:pPr>
    </w:p>
    <w:p>
      <w:pPr>
        <w:ind w:left="1800" w:hanging="915"/>
        <w:spacing w:after="0"/>
        <w:tabs>
          <w:tab w:leader="none" w:pos="180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NON-DISPARAGEMENT</w:t>
      </w:r>
    </w:p>
    <w:p>
      <w:pPr>
        <w:spacing w:after="0" w:line="220" w:lineRule="exact"/>
        <w:rPr>
          <w:sz w:val="20"/>
          <w:szCs w:val="20"/>
          <w:color w:val="auto"/>
        </w:rPr>
      </w:pPr>
    </w:p>
    <w:p>
      <w:pPr>
        <w:ind w:firstLine="877"/>
        <w:spacing w:after="0" w:line="238" w:lineRule="auto"/>
        <w:rPr>
          <w:sz w:val="20"/>
          <w:szCs w:val="20"/>
          <w:color w:val="auto"/>
        </w:rPr>
      </w:pPr>
      <w:r>
        <w:rPr>
          <w:rFonts w:ascii="Arial" w:cs="Arial" w:eastAsia="Arial" w:hAnsi="Arial"/>
          <w:sz w:val="22"/>
          <w:szCs w:val="22"/>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99" w:lineRule="exact"/>
        <w:rPr>
          <w:sz w:val="20"/>
          <w:szCs w:val="20"/>
          <w:color w:val="auto"/>
        </w:rPr>
      </w:pPr>
    </w:p>
    <w:p>
      <w:pPr>
        <w:ind w:left="1800" w:hanging="915"/>
        <w:spacing w:after="0"/>
        <w:tabs>
          <w:tab w:leader="none" w:pos="18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p>
    <w:p>
      <w:pPr>
        <w:spacing w:after="0" w:line="220" w:lineRule="exact"/>
        <w:rPr>
          <w:sz w:val="20"/>
          <w:szCs w:val="20"/>
          <w:color w:val="auto"/>
        </w:rPr>
      </w:pPr>
    </w:p>
    <w:p>
      <w:pPr>
        <w:ind w:right="60" w:firstLine="877"/>
        <w:spacing w:after="0" w:line="274" w:lineRule="auto"/>
        <w:rPr>
          <w:sz w:val="20"/>
          <w:szCs w:val="20"/>
          <w:color w:val="auto"/>
        </w:rPr>
      </w:pPr>
      <w:r>
        <w:rPr>
          <w:rFonts w:ascii="Arial" w:cs="Arial" w:eastAsia="Arial" w:hAnsi="Arial"/>
          <w:sz w:val="21"/>
          <w:szCs w:val="21"/>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64" w:lineRule="exact"/>
        <w:rPr>
          <w:sz w:val="20"/>
          <w:szCs w:val="20"/>
          <w:color w:val="auto"/>
        </w:rPr>
      </w:pPr>
    </w:p>
    <w:p>
      <w:pPr>
        <w:ind w:left="880" w:right="6320" w:firstLine="5"/>
        <w:spacing w:after="0" w:line="469" w:lineRule="auto"/>
        <w:tabs>
          <w:tab w:leader="none" w:pos="1798" w:val="left"/>
        </w:tabs>
        <w:numPr>
          <w:ilvl w:val="0"/>
          <w:numId w:val="78"/>
        </w:numPr>
        <w:rPr>
          <w:rFonts w:ascii="Arial" w:cs="Arial" w:eastAsia="Arial" w:hAnsi="Arial"/>
          <w:sz w:val="21"/>
          <w:szCs w:val="21"/>
          <w:color w:val="auto"/>
        </w:rPr>
      </w:pPr>
      <w:r>
        <w:rPr>
          <w:rFonts w:ascii="Arial" w:cs="Arial" w:eastAsia="Arial" w:hAnsi="Arial"/>
          <w:sz w:val="21"/>
          <w:szCs w:val="21"/>
          <w:color w:val="auto"/>
        </w:rPr>
        <w:t>SUBSIDIARIES AND AFFILIATES For purposes of this Agreement:</w:t>
      </w:r>
    </w:p>
    <w:p>
      <w:pPr>
        <w:spacing w:after="0" w:line="2" w:lineRule="exact"/>
        <w:rPr>
          <w:sz w:val="20"/>
          <w:szCs w:val="20"/>
          <w:color w:val="auto"/>
        </w:rPr>
      </w:pPr>
    </w:p>
    <w:p>
      <w:pPr>
        <w:ind w:right="20" w:firstLine="885"/>
        <w:spacing w:after="0"/>
        <w:tabs>
          <w:tab w:leader="none" w:pos="1765" w:val="left"/>
        </w:tabs>
        <w:numPr>
          <w:ilvl w:val="0"/>
          <w:numId w:val="79"/>
        </w:numPr>
        <w:rPr>
          <w:rFonts w:ascii="Arial" w:cs="Arial" w:eastAsia="Arial" w:hAnsi="Arial"/>
          <w:sz w:val="22"/>
          <w:szCs w:val="22"/>
          <w:color w:val="auto"/>
        </w:rPr>
      </w:pPr>
      <w:r>
        <w:rPr>
          <w:rFonts w:ascii="Arial" w:cs="Arial" w:eastAsia="Arial" w:hAnsi="Arial"/>
          <w:sz w:val="22"/>
          <w:szCs w:val="22"/>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100" w:name="page101"/>
    <w:bookmarkEnd w:id="100"/>
    <w:p>
      <w:pPr>
        <w:ind w:right="100" w:firstLine="885"/>
        <w:spacing w:after="0" w:line="236" w:lineRule="auto"/>
        <w:tabs>
          <w:tab w:leader="none" w:pos="1778" w:val="left"/>
        </w:tabs>
        <w:numPr>
          <w:ilvl w:val="0"/>
          <w:numId w:val="80"/>
        </w:numPr>
        <w:rPr>
          <w:rFonts w:ascii="Arial" w:cs="Arial" w:eastAsia="Arial" w:hAnsi="Arial"/>
          <w:sz w:val="22"/>
          <w:szCs w:val="22"/>
          <w:color w:val="auto"/>
        </w:rPr>
      </w:pPr>
      <w:r>
        <w:rPr>
          <w:rFonts w:ascii="Arial" w:cs="Arial" w:eastAsia="Arial" w:hAnsi="Arial"/>
          <w:sz w:val="22"/>
          <w:szCs w:val="22"/>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01" w:lineRule="exact"/>
        <w:rPr>
          <w:sz w:val="20"/>
          <w:szCs w:val="20"/>
          <w:color w:val="auto"/>
        </w:rPr>
      </w:pPr>
    </w:p>
    <w:p>
      <w:pPr>
        <w:ind w:left="1800" w:hanging="915"/>
        <w:spacing w:after="0"/>
        <w:tabs>
          <w:tab w:leader="none" w:pos="18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HEADINGS</w:t>
      </w:r>
    </w:p>
    <w:p>
      <w:pPr>
        <w:spacing w:after="0" w:line="220"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The paragraph headings appearing in this Agreement are for the purposes of easy reference and shall not be considered a part of this Agreement or in any way modify, amend or affect its provisions.</w:t>
      </w:r>
    </w:p>
    <w:p>
      <w:pPr>
        <w:spacing w:after="0" w:line="187" w:lineRule="exact"/>
        <w:rPr>
          <w:sz w:val="20"/>
          <w:szCs w:val="20"/>
          <w:color w:val="auto"/>
        </w:rPr>
      </w:pPr>
    </w:p>
    <w:p>
      <w:pPr>
        <w:ind w:left="1800" w:hanging="915"/>
        <w:spacing w:after="0"/>
        <w:tabs>
          <w:tab w:leader="none" w:pos="18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COUNTERPARTS</w:t>
      </w:r>
    </w:p>
    <w:p>
      <w:pPr>
        <w:spacing w:after="0" w:line="220" w:lineRule="exact"/>
        <w:rPr>
          <w:sz w:val="20"/>
          <w:szCs w:val="20"/>
          <w:color w:val="auto"/>
        </w:rPr>
      </w:pPr>
    </w:p>
    <w:p>
      <w:pPr>
        <w:ind w:right="460" w:firstLine="877"/>
        <w:spacing w:after="0" w:line="251" w:lineRule="auto"/>
        <w:rPr>
          <w:sz w:val="20"/>
          <w:szCs w:val="20"/>
          <w:color w:val="auto"/>
        </w:rPr>
      </w:pPr>
      <w:r>
        <w:rPr>
          <w:rFonts w:ascii="Arial" w:cs="Arial" w:eastAsia="Arial" w:hAnsi="Arial"/>
          <w:sz w:val="22"/>
          <w:szCs w:val="22"/>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8" w:right="339" w:bottom="1440" w:gutter="0" w:footer="0" w:header="0"/>
        </w:sectPr>
      </w:pPr>
    </w:p>
    <w:bookmarkStart w:id="101" w:name="page102"/>
    <w:bookmarkEnd w:id="101"/>
    <w:p>
      <w:pPr>
        <w:ind w:right="420" w:firstLine="877"/>
        <w:spacing w:after="0" w:line="251" w:lineRule="auto"/>
        <w:rPr>
          <w:sz w:val="20"/>
          <w:szCs w:val="20"/>
          <w:color w:val="auto"/>
        </w:rPr>
      </w:pPr>
      <w:r>
        <w:rPr>
          <w:rFonts w:ascii="Arial" w:cs="Arial" w:eastAsia="Arial" w:hAnsi="Arial"/>
          <w:sz w:val="22"/>
          <w:szCs w:val="22"/>
          <w:color w:val="auto"/>
        </w:rPr>
        <w:t>IN WITNESS WHEREOF, the parties hereto have executed this Agreement, under seal, as of the date and year first above written.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DESTINATION XL GROUP, INC.</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/s/ David A. Levin</w:t>
            </w:r>
          </w:p>
        </w:tc>
        <w:tc>
          <w:tcPr>
            <w:tcW w:w="2120" w:type="dxa"/>
            <w:vAlign w:val="bottom"/>
          </w:tcPr>
          <w:p>
            <w:pPr>
              <w:ind w:left="1540"/>
              <w:spacing w:after="0"/>
              <w:rPr>
                <w:sz w:val="20"/>
                <w:szCs w:val="20"/>
                <w:color w:val="auto"/>
              </w:rPr>
            </w:pPr>
            <w:r>
              <w:rPr>
                <w:rFonts w:ascii="Arial" w:cs="Arial" w:eastAsia="Arial" w:hAnsi="Arial"/>
                <w:sz w:val="18"/>
                <w:szCs w:val="18"/>
                <w:color w:val="auto"/>
              </w:rPr>
              <w:t>Date:</w:t>
            </w: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December 22, 2017</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Levin</w:t>
            </w: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00" w:type="dxa"/>
            <w:vAlign w:val="bottom"/>
            <w:tcBorders>
              <w:top w:val="single" w:sz="8" w:color="auto"/>
            </w:tcBorders>
          </w:tcPr>
          <w:p>
            <w:pPr>
              <w:spacing w:after="0"/>
              <w:rPr>
                <w:sz w:val="16"/>
                <w:szCs w:val="16"/>
                <w:color w:val="auto"/>
              </w:rPr>
            </w:pP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President, Chief Executive Officer</w:t>
            </w: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/s/ Peter H. Stratton, Jr.</w:t>
            </w:r>
          </w:p>
        </w:tc>
        <w:tc>
          <w:tcPr>
            <w:tcW w:w="2120" w:type="dxa"/>
            <w:vAlign w:val="bottom"/>
          </w:tcPr>
          <w:p>
            <w:pPr>
              <w:ind w:left="1540"/>
              <w:spacing w:after="0"/>
              <w:rPr>
                <w:sz w:val="20"/>
                <w:szCs w:val="20"/>
                <w:color w:val="auto"/>
              </w:rPr>
            </w:pPr>
            <w:r>
              <w:rPr>
                <w:rFonts w:ascii="Arial" w:cs="Arial" w:eastAsia="Arial" w:hAnsi="Arial"/>
                <w:sz w:val="18"/>
                <w:szCs w:val="18"/>
                <w:color w:val="auto"/>
              </w:rPr>
              <w:t>Date:</w:t>
            </w: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December 22, 2017</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19"/>
                <w:szCs w:val="19"/>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Peter H. Stratton, Jr.</w:t>
            </w: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tcBorders>
              <w:top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8" w:right="3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i w:val="1"/>
          <w:iCs w:val="1"/>
          <w:color w:val="auto"/>
        </w:rPr>
        <w:t>EXHIBIT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FORM OF RELEASE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GENERAL RELEASE OF CLAIMS</w:t>
      </w:r>
    </w:p>
    <w:p>
      <w:pPr>
        <w:spacing w:after="0" w:line="220" w:lineRule="exact"/>
        <w:rPr>
          <w:sz w:val="20"/>
          <w:szCs w:val="20"/>
          <w:color w:val="auto"/>
        </w:rPr>
      </w:pPr>
    </w:p>
    <w:p>
      <w:pPr>
        <w:ind w:left="-40" w:firstLine="885"/>
        <w:spacing w:after="0" w:line="269" w:lineRule="auto"/>
        <w:tabs>
          <w:tab w:leader="none" w:pos="1648" w:val="left"/>
        </w:tabs>
        <w:numPr>
          <w:ilvl w:val="0"/>
          <w:numId w:val="83"/>
        </w:numPr>
        <w:rPr>
          <w:rFonts w:ascii="Arial" w:cs="Arial" w:eastAsia="Arial" w:hAnsi="Arial"/>
          <w:sz w:val="19"/>
          <w:szCs w:val="19"/>
          <w:color w:val="auto"/>
        </w:rPr>
      </w:pPr>
      <w:r>
        <w:rPr>
          <w:rFonts w:ascii="Arial" w:cs="Arial" w:eastAsia="Arial" w:hAnsi="Arial"/>
          <w:sz w:val="19"/>
          <w:szCs w:val="19"/>
          <w:color w:val="auto"/>
        </w:rPr>
        <w:t>Peter H. Stratton, Jr. (“</w:t>
      </w:r>
      <w:r>
        <w:rPr>
          <w:rFonts w:ascii="Arial" w:cs="Arial" w:eastAsia="Arial" w:hAnsi="Arial"/>
          <w:sz w:val="19"/>
          <w:szCs w:val="19"/>
          <w:u w:val="single" w:color="auto"/>
          <w:color w:val="auto"/>
        </w:rPr>
        <w:t>Executive</w:t>
      </w:r>
      <w:r>
        <w:rPr>
          <w:rFonts w:ascii="Arial" w:cs="Arial" w:eastAsia="Arial" w:hAnsi="Arial"/>
          <w:sz w:val="19"/>
          <w:szCs w:val="19"/>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does hereby release and forever discharge Destination XL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348" w:right="259" w:bottom="1440" w:gutter="0" w:footer="0" w:header="0"/>
        </w:sectPr>
      </w:pPr>
    </w:p>
    <w:bookmarkStart w:id="103" w:name="page104"/>
    <w:bookmarkEnd w:id="103"/>
    <w:p>
      <w:pPr>
        <w:ind w:right="40" w:firstLine="885"/>
        <w:spacing w:after="0" w:line="279" w:lineRule="auto"/>
        <w:tabs>
          <w:tab w:leader="none" w:pos="1688" w:val="left"/>
        </w:tabs>
        <w:numPr>
          <w:ilvl w:val="0"/>
          <w:numId w:val="84"/>
        </w:numPr>
        <w:rPr>
          <w:rFonts w:ascii="Arial" w:cs="Arial" w:eastAsia="Arial" w:hAnsi="Arial"/>
          <w:sz w:val="19"/>
          <w:szCs w:val="19"/>
          <w:color w:val="auto"/>
        </w:rPr>
      </w:pPr>
      <w:r>
        <w:rPr>
          <w:rFonts w:ascii="Arial" w:cs="Arial" w:eastAsia="Arial" w:hAnsi="Arial"/>
          <w:sz w:val="19"/>
          <w:szCs w:val="19"/>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Executive shall not have relinquished his right to commence a Proceeding to challenge whether Executive knowingly and voluntarily waived his rights under ADEA.</w:t>
      </w:r>
    </w:p>
    <w:p>
      <w:pPr>
        <w:spacing w:after="0" w:line="150" w:lineRule="exact"/>
        <w:rPr>
          <w:rFonts w:ascii="Arial" w:cs="Arial" w:eastAsia="Arial" w:hAnsi="Arial"/>
          <w:sz w:val="19"/>
          <w:szCs w:val="19"/>
          <w:color w:val="auto"/>
        </w:rPr>
      </w:pPr>
    </w:p>
    <w:p>
      <w:pPr>
        <w:jc w:val="both"/>
        <w:ind w:right="180" w:firstLine="885"/>
        <w:spacing w:after="0" w:line="287" w:lineRule="auto"/>
        <w:tabs>
          <w:tab w:leader="none" w:pos="1688" w:val="left"/>
        </w:tabs>
        <w:numPr>
          <w:ilvl w:val="0"/>
          <w:numId w:val="84"/>
        </w:numPr>
        <w:rPr>
          <w:rFonts w:ascii="Arial" w:cs="Arial" w:eastAsia="Arial" w:hAnsi="Arial"/>
          <w:sz w:val="19"/>
          <w:szCs w:val="19"/>
          <w:color w:val="auto"/>
        </w:rPr>
      </w:pPr>
      <w:r>
        <w:rPr>
          <w:rFonts w:ascii="Arial" w:cs="Arial" w:eastAsia="Arial" w:hAnsi="Arial"/>
          <w:sz w:val="19"/>
          <w:szCs w:val="19"/>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9"/>
          <w:szCs w:val="19"/>
          <w:color w:val="auto"/>
        </w:rPr>
      </w:pPr>
    </w:p>
    <w:p>
      <w:pPr>
        <w:ind w:right="40" w:firstLine="885"/>
        <w:spacing w:after="0"/>
        <w:tabs>
          <w:tab w:leader="none" w:pos="1688" w:val="left"/>
        </w:tabs>
        <w:numPr>
          <w:ilvl w:val="0"/>
          <w:numId w:val="84"/>
        </w:numPr>
        <w:rPr>
          <w:rFonts w:ascii="Arial" w:cs="Arial" w:eastAsia="Arial" w:hAnsi="Arial"/>
          <w:sz w:val="22"/>
          <w:szCs w:val="22"/>
          <w:color w:val="auto"/>
        </w:rPr>
      </w:pPr>
      <w:r>
        <w:rPr>
          <w:rFonts w:ascii="Arial" w:cs="Arial" w:eastAsia="Arial" w:hAnsi="Arial"/>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86" w:lineRule="exact"/>
        <w:rPr>
          <w:rFonts w:ascii="Arial" w:cs="Arial" w:eastAsia="Arial" w:hAnsi="Arial"/>
          <w:sz w:val="22"/>
          <w:szCs w:val="22"/>
          <w:color w:val="auto"/>
        </w:rPr>
      </w:pPr>
    </w:p>
    <w:p>
      <w:pPr>
        <w:jc w:val="both"/>
        <w:ind w:right="600" w:firstLine="885"/>
        <w:spacing w:after="0" w:line="297" w:lineRule="auto"/>
        <w:tabs>
          <w:tab w:leader="none" w:pos="1688" w:val="left"/>
        </w:tabs>
        <w:numPr>
          <w:ilvl w:val="0"/>
          <w:numId w:val="84"/>
        </w:numPr>
        <w:rPr>
          <w:rFonts w:ascii="Arial" w:cs="Arial" w:eastAsia="Arial" w:hAnsi="Arial"/>
          <w:sz w:val="19"/>
          <w:szCs w:val="19"/>
          <w:color w:val="auto"/>
        </w:rPr>
      </w:pPr>
      <w:r>
        <w:rPr>
          <w:rFonts w:ascii="Arial" w:cs="Arial" w:eastAsia="Arial" w:hAnsi="Arial"/>
          <w:sz w:val="19"/>
          <w:szCs w:val="19"/>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34" w:lineRule="exact"/>
        <w:rPr>
          <w:rFonts w:ascii="Arial" w:cs="Arial" w:eastAsia="Arial" w:hAnsi="Arial"/>
          <w:sz w:val="19"/>
          <w:szCs w:val="19"/>
          <w:color w:val="auto"/>
        </w:rPr>
      </w:pPr>
    </w:p>
    <w:p>
      <w:pPr>
        <w:jc w:val="both"/>
        <w:ind w:right="520" w:firstLine="885"/>
        <w:spacing w:after="0"/>
        <w:tabs>
          <w:tab w:leader="none" w:pos="1688"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48"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color w:val="auto"/>
        </w:rPr>
        <w:t>EXH 10.38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EMPLOYMENT AGREEMENT</w:t>
      </w:r>
    </w:p>
    <w:p>
      <w:pPr>
        <w:spacing w:after="0" w:line="212"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This Amended and Restated Employment Agreement ("Agreement") is made effective as of November 27, 2017 (the “Effective Date”) between DESTINATION XL GROUP, INC., a Delaware corporation with an office at 555 Turnpike Street, Canton, Massachusetts, 02021 (the "Company" which term includes any affiliates and subsidiaries), and Brian S. Reaves (the “Executive”) having an address at 875 Saints Drive, Marietta, Georgia 3000.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06" w:lineRule="exact"/>
        <w:rPr>
          <w:sz w:val="20"/>
          <w:szCs w:val="20"/>
          <w:color w:val="auto"/>
        </w:rPr>
      </w:pPr>
    </w:p>
    <w:p>
      <w:pPr>
        <w:ind w:right="540" w:firstLine="439"/>
        <w:spacing w:after="0" w:line="251" w:lineRule="auto"/>
        <w:rPr>
          <w:sz w:val="20"/>
          <w:szCs w:val="20"/>
          <w:color w:val="auto"/>
        </w:rPr>
      </w:pPr>
      <w:r>
        <w:rPr>
          <w:rFonts w:ascii="Arial" w:cs="Arial" w:eastAsia="Arial" w:hAnsi="Arial"/>
          <w:sz w:val="22"/>
          <w:szCs w:val="22"/>
          <w:color w:val="auto"/>
        </w:rPr>
        <w:t>WHEREAS, the Company desires that Executive work for the Company and Executive desires to be so employed by the Company as its Executive Vice President, Chief Customer Officer.</w:t>
      </w:r>
    </w:p>
    <w:p>
      <w:pPr>
        <w:spacing w:after="0" w:line="173" w:lineRule="exact"/>
        <w:rPr>
          <w:sz w:val="20"/>
          <w:szCs w:val="20"/>
          <w:color w:val="auto"/>
        </w:rPr>
      </w:pPr>
    </w:p>
    <w:p>
      <w:pPr>
        <w:ind w:right="20" w:firstLine="439"/>
        <w:spacing w:after="0" w:line="251" w:lineRule="auto"/>
        <w:rPr>
          <w:sz w:val="20"/>
          <w:szCs w:val="20"/>
          <w:color w:val="auto"/>
        </w:rPr>
      </w:pPr>
      <w:r>
        <w:rPr>
          <w:rFonts w:ascii="Arial" w:cs="Arial" w:eastAsia="Arial" w:hAnsi="Arial"/>
          <w:sz w:val="22"/>
          <w:szCs w:val="22"/>
          <w:color w:val="auto"/>
        </w:rPr>
        <w:t>WHEREAS, Executive and the Company desire to set forth in writing the terms and conditions of the Executive's employment with the Company from the date hereof.</w:t>
      </w:r>
    </w:p>
    <w:p>
      <w:pPr>
        <w:spacing w:after="0" w:line="173" w:lineRule="exact"/>
        <w:rPr>
          <w:sz w:val="20"/>
          <w:szCs w:val="20"/>
          <w:color w:val="auto"/>
        </w:rPr>
      </w:pPr>
    </w:p>
    <w:p>
      <w:pPr>
        <w:ind w:right="780" w:firstLine="439"/>
        <w:spacing w:after="0" w:line="251" w:lineRule="auto"/>
        <w:rPr>
          <w:sz w:val="20"/>
          <w:szCs w:val="20"/>
          <w:color w:val="auto"/>
        </w:rPr>
      </w:pPr>
      <w:r>
        <w:rPr>
          <w:rFonts w:ascii="Arial" w:cs="Arial" w:eastAsia="Arial" w:hAnsi="Arial"/>
          <w:sz w:val="22"/>
          <w:szCs w:val="22"/>
          <w:color w:val="auto"/>
        </w:rPr>
        <w:t>NOW, THEREFORE, in consideration of the promises and the mutual promises, representations and covenants herein contained, the parties hereto agree as follows:</w:t>
      </w:r>
    </w:p>
    <w:p>
      <w:pPr>
        <w:spacing w:after="0" w:line="173" w:lineRule="exact"/>
        <w:rPr>
          <w:sz w:val="20"/>
          <w:szCs w:val="20"/>
          <w:color w:val="auto"/>
        </w:rPr>
      </w:pPr>
    </w:p>
    <w:p>
      <w:pPr>
        <w:ind w:left="880" w:hanging="440"/>
        <w:spacing w:after="0"/>
        <w:tabs>
          <w:tab w:leader="none" w:pos="88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EMPLOYMENT</w:t>
      </w:r>
    </w:p>
    <w:p>
      <w:pPr>
        <w:spacing w:after="0" w:line="206" w:lineRule="exact"/>
        <w:rPr>
          <w:sz w:val="20"/>
          <w:szCs w:val="20"/>
          <w:color w:val="auto"/>
        </w:rPr>
      </w:pPr>
    </w:p>
    <w:p>
      <w:pPr>
        <w:ind w:right="600" w:firstLine="877"/>
        <w:spacing w:after="0" w:line="251" w:lineRule="auto"/>
        <w:rPr>
          <w:sz w:val="20"/>
          <w:szCs w:val="20"/>
          <w:color w:val="auto"/>
        </w:rPr>
      </w:pPr>
      <w:r>
        <w:rPr>
          <w:rFonts w:ascii="Arial" w:cs="Arial" w:eastAsia="Arial" w:hAnsi="Arial"/>
          <w:sz w:val="22"/>
          <w:szCs w:val="22"/>
          <w:color w:val="auto"/>
        </w:rPr>
        <w:t>The Company hereby employs Executive and Executive hereby accepts such employment, subject to the terms and conditions herein set forth.</w:t>
      </w:r>
    </w:p>
    <w:p>
      <w:pPr>
        <w:spacing w:after="0" w:line="173" w:lineRule="exact"/>
        <w:rPr>
          <w:sz w:val="20"/>
          <w:szCs w:val="20"/>
          <w:color w:val="auto"/>
        </w:rPr>
      </w:pPr>
    </w:p>
    <w:p>
      <w:pPr>
        <w:ind w:left="880" w:hanging="440"/>
        <w:spacing w:after="0"/>
        <w:tabs>
          <w:tab w:leader="none" w:pos="88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TERM</w:t>
      </w:r>
    </w:p>
    <w:p>
      <w:pPr>
        <w:spacing w:after="0" w:line="206" w:lineRule="exact"/>
        <w:rPr>
          <w:sz w:val="20"/>
          <w:szCs w:val="20"/>
          <w:color w:val="auto"/>
        </w:rPr>
      </w:pPr>
    </w:p>
    <w:p>
      <w:pPr>
        <w:ind w:right="180" w:firstLine="877"/>
        <w:spacing w:after="0" w:line="251" w:lineRule="auto"/>
        <w:rPr>
          <w:sz w:val="20"/>
          <w:szCs w:val="20"/>
          <w:color w:val="auto"/>
        </w:rPr>
      </w:pPr>
      <w:r>
        <w:rPr>
          <w:rFonts w:ascii="Arial" w:cs="Arial" w:eastAsia="Arial" w:hAnsi="Arial"/>
          <w:sz w:val="22"/>
          <w:szCs w:val="22"/>
          <w:color w:val="auto"/>
        </w:rPr>
        <w:t>The term of employment under this Agreement (the “Term of Employment”) shall begin on the Effective Date and shall continue until terminated by either party as hereinafter set forth.</w:t>
      </w:r>
    </w:p>
    <w:p>
      <w:pPr>
        <w:spacing w:after="0" w:line="173" w:lineRule="exact"/>
        <w:rPr>
          <w:sz w:val="20"/>
          <w:szCs w:val="20"/>
          <w:color w:val="auto"/>
        </w:rPr>
      </w:pPr>
    </w:p>
    <w:p>
      <w:pPr>
        <w:ind w:left="880" w:hanging="440"/>
        <w:spacing w:after="0"/>
        <w:tabs>
          <w:tab w:leader="none" w:pos="88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06" w:lineRule="exact"/>
        <w:rPr>
          <w:rFonts w:ascii="Arial" w:cs="Arial" w:eastAsia="Arial" w:hAnsi="Arial"/>
          <w:sz w:val="22"/>
          <w:szCs w:val="22"/>
          <w:color w:val="auto"/>
        </w:rPr>
      </w:pPr>
    </w:p>
    <w:p>
      <w:pPr>
        <w:ind w:right="80" w:firstLine="885"/>
        <w:spacing w:after="0" w:line="235" w:lineRule="auto"/>
        <w:tabs>
          <w:tab w:leader="none" w:pos="1765" w:val="left"/>
        </w:tabs>
        <w:numPr>
          <w:ilvl w:val="1"/>
          <w:numId w:val="87"/>
        </w:numPr>
        <w:rPr>
          <w:rFonts w:ascii="Arial" w:cs="Arial" w:eastAsia="Arial" w:hAnsi="Arial"/>
          <w:sz w:val="22"/>
          <w:szCs w:val="22"/>
          <w:color w:val="auto"/>
        </w:rPr>
      </w:pPr>
      <w:r>
        <w:rPr>
          <w:rFonts w:ascii="Arial" w:cs="Arial" w:eastAsia="Arial" w:hAnsi="Arial"/>
          <w:sz w:val="22"/>
          <w:szCs w:val="22"/>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Four Hundred Thousand Dollars and 00/100 Cents ($400,000.00)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188" w:lineRule="exact"/>
        <w:rPr>
          <w:rFonts w:ascii="Arial" w:cs="Arial" w:eastAsia="Arial" w:hAnsi="Arial"/>
          <w:sz w:val="22"/>
          <w:szCs w:val="22"/>
          <w:color w:val="auto"/>
        </w:rPr>
      </w:pPr>
    </w:p>
    <w:p>
      <w:pPr>
        <w:ind w:right="40" w:firstLine="885"/>
        <w:spacing w:after="0" w:line="252" w:lineRule="auto"/>
        <w:tabs>
          <w:tab w:leader="none" w:pos="1778" w:val="left"/>
        </w:tabs>
        <w:numPr>
          <w:ilvl w:val="1"/>
          <w:numId w:val="87"/>
        </w:numPr>
        <w:rPr>
          <w:rFonts w:ascii="Arial" w:cs="Arial" w:eastAsia="Arial" w:hAnsi="Arial"/>
          <w:sz w:val="21"/>
          <w:szCs w:val="21"/>
          <w:color w:val="auto"/>
        </w:rPr>
      </w:pPr>
      <w:r>
        <w:rPr>
          <w:rFonts w:ascii="Arial" w:cs="Arial" w:eastAsia="Arial" w:hAnsi="Arial"/>
          <w:sz w:val="21"/>
          <w:szCs w:val="21"/>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commencing with Fiscal 2018,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5" w:name="page106"/>
    <w:bookmarkEnd w:id="105"/>
    <w:p>
      <w:pPr>
        <w:ind w:right="220"/>
        <w:spacing w:after="0" w:line="236" w:lineRule="auto"/>
        <w:rPr>
          <w:sz w:val="20"/>
          <w:szCs w:val="20"/>
          <w:color w:val="auto"/>
        </w:rPr>
      </w:pPr>
      <w:r>
        <w:rPr>
          <w:rFonts w:ascii="Arial" w:cs="Arial" w:eastAsia="Arial" w:hAnsi="Arial"/>
          <w:sz w:val="22"/>
          <w:szCs w:val="22"/>
          <w:color w:val="auto"/>
        </w:rPr>
        <w:t>target bonus under such plan (if all individual and Company performance conditions are met) shall be 55%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88" w:lineRule="exact"/>
        <w:rPr>
          <w:sz w:val="20"/>
          <w:szCs w:val="20"/>
          <w:color w:val="auto"/>
        </w:rPr>
      </w:pPr>
    </w:p>
    <w:p>
      <w:pPr>
        <w:ind w:right="100" w:firstLine="885"/>
        <w:spacing w:after="0" w:line="279" w:lineRule="auto"/>
        <w:tabs>
          <w:tab w:leader="none" w:pos="1765" w:val="left"/>
        </w:tabs>
        <w:numPr>
          <w:ilvl w:val="1"/>
          <w:numId w:val="88"/>
        </w:numPr>
        <w:rPr>
          <w:rFonts w:ascii="Arial" w:cs="Arial" w:eastAsia="Arial" w:hAnsi="Arial"/>
          <w:sz w:val="19"/>
          <w:szCs w:val="19"/>
          <w:color w:val="auto"/>
        </w:rPr>
      </w:pPr>
      <w:r>
        <w:rPr>
          <w:rFonts w:ascii="Arial" w:cs="Arial" w:eastAsia="Arial" w:hAnsi="Arial"/>
          <w:sz w:val="19"/>
          <w:szCs w:val="19"/>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150" w:lineRule="exact"/>
        <w:rPr>
          <w:rFonts w:ascii="Arial" w:cs="Arial" w:eastAsia="Arial" w:hAnsi="Arial"/>
          <w:sz w:val="19"/>
          <w:szCs w:val="19"/>
          <w:color w:val="auto"/>
        </w:rPr>
      </w:pPr>
    </w:p>
    <w:p>
      <w:pPr>
        <w:ind w:left="880" w:hanging="440"/>
        <w:spacing w:after="0"/>
        <w:tabs>
          <w:tab w:leader="none" w:pos="88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EXPENSES</w:t>
      </w:r>
    </w:p>
    <w:p>
      <w:pPr>
        <w:spacing w:after="0" w:line="206"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19"/>
          <w:szCs w:val="19"/>
          <w:color w:val="auto"/>
        </w:rPr>
        <w:t>The Company shall pay or reimburse Executive, in accordance with the Company's policies and procedures and upon</w:t>
      </w:r>
    </w:p>
    <w:p>
      <w:pPr>
        <w:spacing w:after="0" w:line="43"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80" w:lineRule="exact"/>
        <w:rPr>
          <w:sz w:val="20"/>
          <w:szCs w:val="20"/>
          <w:color w:val="auto"/>
        </w:rPr>
      </w:pPr>
    </w:p>
    <w:p>
      <w:pPr>
        <w:ind w:left="880" w:hanging="440"/>
        <w:spacing w:after="0"/>
        <w:tabs>
          <w:tab w:leader="none" w:pos="88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OTHER BENEFITS</w:t>
      </w:r>
    </w:p>
    <w:p>
      <w:pPr>
        <w:spacing w:after="0" w:line="206" w:lineRule="exact"/>
        <w:rPr>
          <w:rFonts w:ascii="Arial" w:cs="Arial" w:eastAsia="Arial" w:hAnsi="Arial"/>
          <w:sz w:val="22"/>
          <w:szCs w:val="22"/>
          <w:color w:val="auto"/>
        </w:rPr>
      </w:pPr>
    </w:p>
    <w:p>
      <w:pPr>
        <w:ind w:firstLine="885"/>
        <w:spacing w:after="0" w:line="249" w:lineRule="auto"/>
        <w:tabs>
          <w:tab w:leader="none" w:pos="1765" w:val="left"/>
        </w:tabs>
        <w:numPr>
          <w:ilvl w:val="1"/>
          <w:numId w:val="90"/>
        </w:numPr>
        <w:rPr>
          <w:rFonts w:ascii="Arial" w:cs="Arial" w:eastAsia="Arial" w:hAnsi="Arial"/>
          <w:sz w:val="21"/>
          <w:szCs w:val="21"/>
          <w:color w:val="auto"/>
        </w:rPr>
      </w:pPr>
      <w:r>
        <w:rPr>
          <w:rFonts w:ascii="Arial" w:cs="Arial" w:eastAsia="Arial" w:hAnsi="Arial"/>
          <w:sz w:val="21"/>
          <w:szCs w:val="21"/>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78" w:lineRule="exact"/>
        <w:rPr>
          <w:rFonts w:ascii="Arial" w:cs="Arial" w:eastAsia="Arial" w:hAnsi="Arial"/>
          <w:sz w:val="21"/>
          <w:szCs w:val="21"/>
          <w:color w:val="auto"/>
        </w:rPr>
      </w:pPr>
    </w:p>
    <w:p>
      <w:pPr>
        <w:ind w:right="60" w:firstLine="885"/>
        <w:spacing w:after="0" w:line="249" w:lineRule="auto"/>
        <w:tabs>
          <w:tab w:leader="none" w:pos="1778" w:val="left"/>
        </w:tabs>
        <w:numPr>
          <w:ilvl w:val="1"/>
          <w:numId w:val="90"/>
        </w:numPr>
        <w:rPr>
          <w:rFonts w:ascii="Arial" w:cs="Arial" w:eastAsia="Arial" w:hAnsi="Arial"/>
          <w:sz w:val="21"/>
          <w:szCs w:val="21"/>
          <w:color w:val="auto"/>
        </w:rPr>
      </w:pPr>
      <w:r>
        <w:rPr>
          <w:rFonts w:ascii="Arial" w:cs="Arial" w:eastAsia="Arial" w:hAnsi="Arial"/>
          <w:sz w:val="21"/>
          <w:szCs w:val="21"/>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78" w:lineRule="exact"/>
        <w:rPr>
          <w:rFonts w:ascii="Arial" w:cs="Arial" w:eastAsia="Arial" w:hAnsi="Arial"/>
          <w:sz w:val="21"/>
          <w:szCs w:val="21"/>
          <w:color w:val="auto"/>
        </w:rPr>
      </w:pPr>
    </w:p>
    <w:p>
      <w:pPr>
        <w:ind w:left="1780" w:hanging="895"/>
        <w:spacing w:after="0"/>
        <w:tabs>
          <w:tab w:leader="none" w:pos="17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Executive will be eligible to participate in the Company’s annual performance appraisal process.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06" w:name="page107"/>
    <w:bookmarkEnd w:id="106"/>
    <w:p>
      <w:pPr>
        <w:ind w:left="880" w:hanging="440"/>
        <w:spacing w:after="0"/>
        <w:tabs>
          <w:tab w:leader="none" w:pos="88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DUTIES</w:t>
      </w:r>
    </w:p>
    <w:p>
      <w:pPr>
        <w:spacing w:after="0" w:line="206" w:lineRule="exact"/>
        <w:rPr>
          <w:rFonts w:ascii="Arial" w:cs="Arial" w:eastAsia="Arial" w:hAnsi="Arial"/>
          <w:sz w:val="22"/>
          <w:szCs w:val="22"/>
          <w:color w:val="auto"/>
        </w:rPr>
      </w:pPr>
    </w:p>
    <w:p>
      <w:pPr>
        <w:ind w:right="40" w:firstLine="885"/>
        <w:spacing w:after="0"/>
        <w:tabs>
          <w:tab w:leader="none" w:pos="1765" w:val="left"/>
        </w:tabs>
        <w:numPr>
          <w:ilvl w:val="1"/>
          <w:numId w:val="91"/>
        </w:numPr>
        <w:rPr>
          <w:rFonts w:ascii="Arial" w:cs="Arial" w:eastAsia="Arial" w:hAnsi="Arial"/>
          <w:sz w:val="22"/>
          <w:szCs w:val="22"/>
          <w:color w:val="auto"/>
        </w:rPr>
      </w:pPr>
      <w:r>
        <w:rPr>
          <w:rFonts w:ascii="Arial" w:cs="Arial" w:eastAsia="Arial" w:hAnsi="Arial"/>
          <w:sz w:val="22"/>
          <w:szCs w:val="22"/>
          <w:color w:val="auto"/>
        </w:rPr>
        <w:t>Executive shall perform such duties and functions consistent with the position of Executive Vice President and Chief Customer Officer and/or as the Company shall from time to time determine and Executive shall comply in the performance of his duties with the policies of, and be subject to the direction of the Company.</w:t>
      </w:r>
    </w:p>
    <w:p>
      <w:pPr>
        <w:spacing w:after="0" w:line="186" w:lineRule="exact"/>
        <w:rPr>
          <w:rFonts w:ascii="Arial" w:cs="Arial" w:eastAsia="Arial" w:hAnsi="Arial"/>
          <w:sz w:val="22"/>
          <w:szCs w:val="22"/>
          <w:color w:val="auto"/>
        </w:rPr>
      </w:pPr>
    </w:p>
    <w:p>
      <w:pPr>
        <w:ind w:right="20" w:firstLine="885"/>
        <w:spacing w:after="0" w:line="282" w:lineRule="auto"/>
        <w:tabs>
          <w:tab w:leader="none" w:pos="1778" w:val="left"/>
        </w:tabs>
        <w:numPr>
          <w:ilvl w:val="1"/>
          <w:numId w:val="91"/>
        </w:numPr>
        <w:rPr>
          <w:rFonts w:ascii="Arial" w:cs="Arial" w:eastAsia="Arial" w:hAnsi="Arial"/>
          <w:sz w:val="19"/>
          <w:szCs w:val="19"/>
          <w:color w:val="auto"/>
        </w:rPr>
      </w:pPr>
      <w:r>
        <w:rPr>
          <w:rFonts w:ascii="Arial" w:cs="Arial" w:eastAsia="Arial" w:hAnsi="Arial"/>
          <w:sz w:val="19"/>
          <w:szCs w:val="19"/>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47" w:lineRule="exact"/>
        <w:rPr>
          <w:rFonts w:ascii="Arial" w:cs="Arial" w:eastAsia="Arial" w:hAnsi="Arial"/>
          <w:sz w:val="19"/>
          <w:szCs w:val="19"/>
          <w:color w:val="auto"/>
        </w:rPr>
      </w:pPr>
    </w:p>
    <w:p>
      <w:pPr>
        <w:ind w:right="40" w:firstLine="885"/>
        <w:spacing w:after="0" w:line="287" w:lineRule="auto"/>
        <w:tabs>
          <w:tab w:leader="none" w:pos="1765"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43" w:lineRule="exact"/>
        <w:rPr>
          <w:rFonts w:ascii="Arial" w:cs="Arial" w:eastAsia="Arial" w:hAnsi="Arial"/>
          <w:sz w:val="19"/>
          <w:szCs w:val="19"/>
          <w:color w:val="auto"/>
        </w:rPr>
      </w:pPr>
    </w:p>
    <w:p>
      <w:pPr>
        <w:ind w:left="880" w:hanging="440"/>
        <w:spacing w:after="0"/>
        <w:tabs>
          <w:tab w:leader="none" w:pos="88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EFFECT OF TERMINATION</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Term of Employment may be terminated by the Company at any time:</w:t>
      </w:r>
    </w:p>
    <w:p>
      <w:pPr>
        <w:spacing w:after="0" w:line="206" w:lineRule="exact"/>
        <w:rPr>
          <w:rFonts w:ascii="Arial" w:cs="Arial" w:eastAsia="Arial" w:hAnsi="Arial"/>
          <w:sz w:val="22"/>
          <w:szCs w:val="22"/>
          <w:color w:val="auto"/>
        </w:rPr>
      </w:pPr>
    </w:p>
    <w:p>
      <w:pPr>
        <w:ind w:firstLine="1763"/>
        <w:spacing w:after="0" w:line="238" w:lineRule="auto"/>
        <w:tabs>
          <w:tab w:leader="none" w:pos="2607" w:val="left"/>
        </w:tabs>
        <w:numPr>
          <w:ilvl w:val="2"/>
          <w:numId w:val="91"/>
        </w:numPr>
        <w:rPr>
          <w:rFonts w:ascii="Arial" w:cs="Arial" w:eastAsia="Arial" w:hAnsi="Arial"/>
          <w:sz w:val="22"/>
          <w:szCs w:val="22"/>
          <w:color w:val="auto"/>
        </w:rPr>
      </w:pPr>
      <w:r>
        <w:rPr>
          <w:rFonts w:ascii="Arial" w:cs="Arial" w:eastAsia="Arial" w:hAnsi="Arial"/>
          <w:sz w:val="22"/>
          <w:szCs w:val="22"/>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85" w:lineRule="exact"/>
        <w:rPr>
          <w:rFonts w:ascii="Arial" w:cs="Arial" w:eastAsia="Arial" w:hAnsi="Arial"/>
          <w:sz w:val="22"/>
          <w:szCs w:val="22"/>
          <w:color w:val="auto"/>
        </w:rPr>
      </w:pPr>
    </w:p>
    <w:p>
      <w:pPr>
        <w:ind w:left="2680" w:hanging="917"/>
        <w:spacing w:after="0"/>
        <w:tabs>
          <w:tab w:leader="none" w:pos="2680" w:val="left"/>
        </w:tabs>
        <w:numPr>
          <w:ilvl w:val="2"/>
          <w:numId w:val="91"/>
        </w:numPr>
        <w:rPr>
          <w:rFonts w:ascii="Arial" w:cs="Arial" w:eastAsia="Arial" w:hAnsi="Arial"/>
          <w:sz w:val="19"/>
          <w:szCs w:val="19"/>
          <w:color w:val="auto"/>
        </w:rPr>
      </w:pPr>
      <w:r>
        <w:rPr>
          <w:rFonts w:ascii="Arial" w:cs="Arial" w:eastAsia="Arial" w:hAnsi="Arial"/>
          <w:sz w:val="19"/>
          <w:szCs w:val="19"/>
          <w:color w:val="auto"/>
        </w:rPr>
        <w:t>upon the determination of the Company that there is justifiable cause (as hereinafter defined)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termination.</w:t>
      </w:r>
    </w:p>
    <w:p>
      <w:pPr>
        <w:spacing w:after="0" w:line="188" w:lineRule="exact"/>
        <w:rPr>
          <w:rFonts w:ascii="Arial" w:cs="Arial" w:eastAsia="Arial" w:hAnsi="Arial"/>
          <w:sz w:val="19"/>
          <w:szCs w:val="19"/>
          <w:color w:val="auto"/>
        </w:rPr>
      </w:pPr>
    </w:p>
    <w:p>
      <w:pPr>
        <w:ind w:left="1780" w:hanging="895"/>
        <w:spacing w:after="0"/>
        <w:tabs>
          <w:tab w:leader="none" w:pos="1780"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Term of Employment shall terminate upon:</w:t>
      </w:r>
    </w:p>
    <w:p>
      <w:pPr>
        <w:spacing w:after="0" w:line="206" w:lineRule="exact"/>
        <w:rPr>
          <w:rFonts w:ascii="Arial" w:cs="Arial" w:eastAsia="Arial" w:hAnsi="Arial"/>
          <w:sz w:val="22"/>
          <w:szCs w:val="22"/>
          <w:color w:val="auto"/>
        </w:rPr>
      </w:pPr>
    </w:p>
    <w:p>
      <w:pPr>
        <w:ind w:left="2620" w:hanging="857"/>
        <w:spacing w:after="0"/>
        <w:tabs>
          <w:tab w:leader="none" w:pos="2620"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death of Executive;</w:t>
      </w:r>
    </w:p>
    <w:p>
      <w:pPr>
        <w:spacing w:after="0" w:line="206" w:lineRule="exact"/>
        <w:rPr>
          <w:rFonts w:ascii="Arial" w:cs="Arial" w:eastAsia="Arial" w:hAnsi="Arial"/>
          <w:sz w:val="22"/>
          <w:szCs w:val="22"/>
          <w:color w:val="auto"/>
        </w:rPr>
      </w:pPr>
    </w:p>
    <w:p>
      <w:pPr>
        <w:ind w:right="600" w:firstLine="1763"/>
        <w:spacing w:after="0" w:line="274" w:lineRule="auto"/>
        <w:tabs>
          <w:tab w:leader="none" w:pos="2667" w:val="left"/>
        </w:tabs>
        <w:numPr>
          <w:ilvl w:val="2"/>
          <w:numId w:val="91"/>
        </w:numPr>
        <w:rPr>
          <w:rFonts w:ascii="Arial" w:cs="Arial" w:eastAsia="Arial" w:hAnsi="Arial"/>
          <w:sz w:val="21"/>
          <w:szCs w:val="21"/>
          <w:color w:val="auto"/>
        </w:rPr>
      </w:pPr>
      <w:r>
        <w:rPr>
          <w:rFonts w:ascii="Arial" w:cs="Arial" w:eastAsia="Arial" w:hAnsi="Arial"/>
          <w:sz w:val="21"/>
          <w:szCs w:val="21"/>
          <w:color w:val="auto"/>
        </w:rPr>
        <w:t>the date on which the Company elects to terminate the Term of Employment by reason of the "disability" of Executive (as hereinafter defined in subsection (c) herein) pursuant to subsection (g) hereof; or</w:t>
      </w:r>
    </w:p>
    <w:p>
      <w:pPr>
        <w:spacing w:after="0" w:line="150" w:lineRule="exact"/>
        <w:rPr>
          <w:rFonts w:ascii="Arial" w:cs="Arial" w:eastAsia="Arial" w:hAnsi="Arial"/>
          <w:sz w:val="21"/>
          <w:szCs w:val="21"/>
          <w:color w:val="auto"/>
        </w:rPr>
      </w:pPr>
    </w:p>
    <w:p>
      <w:pPr>
        <w:ind w:left="2740" w:hanging="977"/>
        <w:spacing w:after="0"/>
        <w:tabs>
          <w:tab w:leader="none" w:pos="2740" w:val="left"/>
        </w:tabs>
        <w:numPr>
          <w:ilvl w:val="2"/>
          <w:numId w:val="91"/>
        </w:numPr>
        <w:rPr>
          <w:rFonts w:ascii="Arial" w:cs="Arial" w:eastAsia="Arial" w:hAnsi="Arial"/>
          <w:sz w:val="22"/>
          <w:szCs w:val="22"/>
          <w:color w:val="auto"/>
        </w:rPr>
      </w:pPr>
      <w:r>
        <w:rPr>
          <w:rFonts w:ascii="Arial" w:cs="Arial" w:eastAsia="Arial" w:hAnsi="Arial"/>
          <w:sz w:val="22"/>
          <w:szCs w:val="22"/>
          <w:color w:val="auto"/>
        </w:rPr>
        <w:t>Executive’s resignation of employment.</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107" w:name="page108"/>
    <w:bookmarkEnd w:id="107"/>
    <w:p>
      <w:pPr>
        <w:ind w:left="-60" w:right="580" w:firstLine="885"/>
        <w:spacing w:after="0" w:line="297" w:lineRule="auto"/>
        <w:tabs>
          <w:tab w:leader="none" w:pos="1705" w:val="left"/>
        </w:tabs>
        <w:numPr>
          <w:ilvl w:val="0"/>
          <w:numId w:val="92"/>
        </w:numPr>
        <w:rPr>
          <w:rFonts w:ascii="Arial" w:cs="Arial" w:eastAsia="Arial" w:hAnsi="Arial"/>
          <w:sz w:val="19"/>
          <w:szCs w:val="19"/>
          <w:color w:val="auto"/>
        </w:rPr>
      </w:pPr>
      <w:r>
        <w:rPr>
          <w:rFonts w:ascii="Arial" w:cs="Arial" w:eastAsia="Arial" w:hAnsi="Arial"/>
          <w:sz w:val="19"/>
          <w:szCs w:val="19"/>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34" w:lineRule="exact"/>
        <w:rPr>
          <w:rFonts w:ascii="Arial" w:cs="Arial" w:eastAsia="Arial" w:hAnsi="Arial"/>
          <w:sz w:val="19"/>
          <w:szCs w:val="19"/>
          <w:color w:val="auto"/>
        </w:rPr>
      </w:pPr>
    </w:p>
    <w:p>
      <w:pPr>
        <w:ind w:left="-60" w:right="120" w:firstLine="885"/>
        <w:spacing w:after="0" w:line="244" w:lineRule="auto"/>
        <w:tabs>
          <w:tab w:leader="none" w:pos="1718" w:val="left"/>
        </w:tabs>
        <w:numPr>
          <w:ilvl w:val="0"/>
          <w:numId w:val="92"/>
        </w:numPr>
        <w:rPr>
          <w:rFonts w:ascii="Arial" w:cs="Arial" w:eastAsia="Arial" w:hAnsi="Arial"/>
          <w:sz w:val="21"/>
          <w:szCs w:val="21"/>
          <w:color w:val="auto"/>
        </w:rPr>
      </w:pPr>
      <w:r>
        <w:rPr>
          <w:rFonts w:ascii="Arial" w:cs="Arial" w:eastAsia="Arial" w:hAnsi="Arial"/>
          <w:sz w:val="21"/>
          <w:szCs w:val="21"/>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84" w:lineRule="exact"/>
        <w:rPr>
          <w:rFonts w:ascii="Arial" w:cs="Arial" w:eastAsia="Arial" w:hAnsi="Arial"/>
          <w:sz w:val="21"/>
          <w:szCs w:val="21"/>
          <w:color w:val="auto"/>
        </w:rPr>
      </w:pPr>
    </w:p>
    <w:p>
      <w:pPr>
        <w:ind w:left="-60" w:firstLine="885"/>
        <w:spacing w:after="0" w:line="245" w:lineRule="auto"/>
        <w:tabs>
          <w:tab w:leader="none" w:pos="1705" w:val="left"/>
        </w:tabs>
        <w:numPr>
          <w:ilvl w:val="0"/>
          <w:numId w:val="92"/>
        </w:numPr>
        <w:rPr>
          <w:rFonts w:ascii="Arial" w:cs="Arial" w:eastAsia="Arial" w:hAnsi="Arial"/>
          <w:sz w:val="21"/>
          <w:szCs w:val="21"/>
          <w:color w:val="auto"/>
        </w:rPr>
      </w:pPr>
      <w:r>
        <w:rPr>
          <w:rFonts w:ascii="Arial" w:cs="Arial" w:eastAsia="Arial" w:hAnsi="Arial"/>
          <w:sz w:val="21"/>
          <w:szCs w:val="21"/>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81" w:lineRule="exact"/>
        <w:rPr>
          <w:rFonts w:ascii="Arial" w:cs="Arial" w:eastAsia="Arial" w:hAnsi="Arial"/>
          <w:sz w:val="21"/>
          <w:szCs w:val="21"/>
          <w:color w:val="auto"/>
        </w:rPr>
      </w:pPr>
    </w:p>
    <w:p>
      <w:pPr>
        <w:ind w:left="-60" w:right="180" w:firstLine="885"/>
        <w:spacing w:after="0" w:line="297" w:lineRule="auto"/>
        <w:tabs>
          <w:tab w:leader="none" w:pos="1682"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63500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334" w:right="299" w:bottom="1440" w:gutter="0" w:footer="0" w:header="0"/>
        </w:sectPr>
      </w:pPr>
    </w:p>
    <w:bookmarkStart w:id="108" w:name="page109"/>
    <w:bookmarkEnd w:id="108"/>
    <w:p>
      <w:pPr>
        <w:ind w:left="-40" w:right="180" w:firstLine="885"/>
        <w:spacing w:after="0" w:line="252" w:lineRule="auto"/>
        <w:tabs>
          <w:tab w:leader="none" w:pos="1738" w:val="left"/>
        </w:tabs>
        <w:numPr>
          <w:ilvl w:val="0"/>
          <w:numId w:val="93"/>
        </w:numPr>
        <w:rPr>
          <w:rFonts w:ascii="Arial" w:cs="Arial" w:eastAsia="Arial" w:hAnsi="Arial"/>
          <w:sz w:val="21"/>
          <w:szCs w:val="21"/>
          <w:color w:val="auto"/>
        </w:rPr>
      </w:pPr>
      <w:r>
        <w:rPr>
          <w:rFonts w:ascii="Arial" w:cs="Arial" w:eastAsia="Arial" w:hAnsi="Arial"/>
          <w:sz w:val="21"/>
          <w:szCs w:val="21"/>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174" w:lineRule="exact"/>
        <w:rPr>
          <w:rFonts w:ascii="Arial" w:cs="Arial" w:eastAsia="Arial" w:hAnsi="Arial"/>
          <w:sz w:val="21"/>
          <w:szCs w:val="21"/>
          <w:color w:val="auto"/>
        </w:rPr>
      </w:pPr>
    </w:p>
    <w:p>
      <w:pPr>
        <w:ind w:left="-40" w:right="80" w:firstLine="885"/>
        <w:spacing w:after="0" w:line="252" w:lineRule="auto"/>
        <w:tabs>
          <w:tab w:leader="none" w:pos="1738" w:val="left"/>
        </w:tabs>
        <w:numPr>
          <w:ilvl w:val="0"/>
          <w:numId w:val="93"/>
        </w:numPr>
        <w:rPr>
          <w:rFonts w:ascii="Arial" w:cs="Arial" w:eastAsia="Arial" w:hAnsi="Arial"/>
          <w:sz w:val="21"/>
          <w:szCs w:val="21"/>
          <w:color w:val="auto"/>
        </w:rPr>
      </w:pPr>
      <w:r>
        <w:rPr>
          <w:rFonts w:ascii="Arial" w:cs="Arial" w:eastAsia="Arial" w:hAnsi="Arial"/>
          <w:sz w:val="21"/>
          <w:szCs w:val="21"/>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74" w:lineRule="exact"/>
        <w:rPr>
          <w:rFonts w:ascii="Arial" w:cs="Arial" w:eastAsia="Arial" w:hAnsi="Arial"/>
          <w:sz w:val="21"/>
          <w:szCs w:val="21"/>
          <w:color w:val="auto"/>
        </w:rPr>
      </w:pPr>
    </w:p>
    <w:p>
      <w:pPr>
        <w:ind w:left="-40" w:firstLine="885"/>
        <w:spacing w:after="0" w:line="270" w:lineRule="auto"/>
        <w:tabs>
          <w:tab w:leader="none" w:pos="1690"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63500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80" w:top="334" w:right="279" w:bottom="1440" w:gutter="0" w:footer="0" w:header="0"/>
        </w:sectPr>
      </w:pPr>
    </w:p>
    <w:bookmarkStart w:id="109" w:name="page110"/>
    <w:bookmarkEnd w:id="109"/>
    <w:p>
      <w:pPr>
        <w:ind w:right="120" w:firstLine="885"/>
        <w:spacing w:after="0" w:line="251" w:lineRule="auto"/>
        <w:tabs>
          <w:tab w:leader="none" w:pos="1730" w:val="left"/>
        </w:tabs>
        <w:numPr>
          <w:ilvl w:val="0"/>
          <w:numId w:val="94"/>
        </w:numPr>
        <w:rPr>
          <w:rFonts w:ascii="Arial" w:cs="Arial" w:eastAsia="Arial" w:hAnsi="Arial"/>
          <w:sz w:val="22"/>
          <w:szCs w:val="22"/>
          <w:color w:val="auto"/>
        </w:rPr>
      </w:pPr>
      <w:r>
        <w:rPr>
          <w:rFonts w:ascii="Arial" w:cs="Arial" w:eastAsia="Arial" w:hAnsi="Arial"/>
          <w:sz w:val="22"/>
          <w:szCs w:val="22"/>
          <w:color w:val="auto"/>
        </w:rPr>
        <w:t>Clawback of Certain Compensation and Benefits. If, after the termination of the Term of Employment for any reason other than by the Company for “justifiable cause”:</w:t>
      </w:r>
    </w:p>
    <w:p>
      <w:pPr>
        <w:spacing w:after="0" w:line="173" w:lineRule="exact"/>
        <w:rPr>
          <w:rFonts w:ascii="Arial" w:cs="Arial" w:eastAsia="Arial" w:hAnsi="Arial"/>
          <w:sz w:val="22"/>
          <w:szCs w:val="22"/>
          <w:color w:val="auto"/>
        </w:rPr>
      </w:pPr>
    </w:p>
    <w:p>
      <w:pPr>
        <w:ind w:right="40" w:firstLine="1763"/>
        <w:spacing w:after="0" w:line="287" w:lineRule="auto"/>
        <w:tabs>
          <w:tab w:leader="none" w:pos="2607" w:val="left"/>
        </w:tabs>
        <w:numPr>
          <w:ilvl w:val="1"/>
          <w:numId w:val="94"/>
        </w:numPr>
        <w:rPr>
          <w:rFonts w:ascii="Arial" w:cs="Arial" w:eastAsia="Arial" w:hAnsi="Arial"/>
          <w:sz w:val="19"/>
          <w:szCs w:val="19"/>
          <w:color w:val="auto"/>
        </w:rPr>
      </w:pPr>
      <w:r>
        <w:rPr>
          <w:rFonts w:ascii="Arial" w:cs="Arial" w:eastAsia="Arial" w:hAnsi="Arial"/>
          <w:sz w:val="19"/>
          <w:szCs w:val="19"/>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43" w:lineRule="exact"/>
        <w:rPr>
          <w:rFonts w:ascii="Arial" w:cs="Arial" w:eastAsia="Arial" w:hAnsi="Arial"/>
          <w:sz w:val="19"/>
          <w:szCs w:val="19"/>
          <w:color w:val="auto"/>
        </w:rPr>
      </w:pPr>
    </w:p>
    <w:p>
      <w:pPr>
        <w:ind w:right="120" w:firstLine="1763"/>
        <w:spacing w:after="0" w:line="238" w:lineRule="auto"/>
        <w:tabs>
          <w:tab w:leader="none" w:pos="2667"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44" w:lineRule="exact"/>
        <w:rPr>
          <w:rFonts w:ascii="Arial" w:cs="Arial" w:eastAsia="Arial" w:hAnsi="Arial"/>
          <w:sz w:val="22"/>
          <w:szCs w:val="22"/>
          <w:color w:val="auto"/>
        </w:rPr>
      </w:pPr>
    </w:p>
    <w:p>
      <w:pPr>
        <w:ind w:firstLine="2642"/>
        <w:spacing w:after="0" w:line="234" w:lineRule="auto"/>
        <w:tabs>
          <w:tab w:leader="none" w:pos="3582" w:val="left"/>
        </w:tabs>
        <w:numPr>
          <w:ilvl w:val="2"/>
          <w:numId w:val="94"/>
        </w:numPr>
        <w:rPr>
          <w:rFonts w:ascii="Arial" w:cs="Arial" w:eastAsia="Arial" w:hAnsi="Arial"/>
          <w:sz w:val="22"/>
          <w:szCs w:val="22"/>
          <w:color w:val="auto"/>
        </w:rPr>
      </w:pPr>
      <w:r>
        <w:rPr>
          <w:rFonts w:ascii="Arial" w:cs="Arial" w:eastAsia="Arial" w:hAnsi="Arial"/>
          <w:sz w:val="22"/>
          <w:szCs w:val="22"/>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64" w:lineRule="exact"/>
        <w:rPr>
          <w:rFonts w:ascii="Arial" w:cs="Arial" w:eastAsia="Arial" w:hAnsi="Arial"/>
          <w:sz w:val="22"/>
          <w:szCs w:val="22"/>
          <w:color w:val="auto"/>
        </w:rPr>
      </w:pPr>
    </w:p>
    <w:p>
      <w:pPr>
        <w:ind w:left="3580" w:hanging="938"/>
        <w:spacing w:after="0"/>
        <w:tabs>
          <w:tab w:leader="none" w:pos="3580" w:val="left"/>
        </w:tabs>
        <w:numPr>
          <w:ilvl w:val="2"/>
          <w:numId w:val="94"/>
        </w:numPr>
        <w:rPr>
          <w:rFonts w:ascii="Arial" w:cs="Arial" w:eastAsia="Arial" w:hAnsi="Arial"/>
          <w:sz w:val="22"/>
          <w:szCs w:val="22"/>
          <w:color w:val="auto"/>
        </w:rPr>
      </w:pPr>
      <w:r>
        <w:rPr>
          <w:rFonts w:ascii="Arial" w:cs="Arial" w:eastAsia="Arial" w:hAnsi="Arial"/>
          <w:sz w:val="22"/>
          <w:szCs w:val="22"/>
          <w:color w:val="auto"/>
        </w:rPr>
        <w:t>all vested and unvested Awards (as that term is defined in the 2006 Incentive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Compensation Plan) then held by the Executive shall immediately expire; and</w:t>
      </w:r>
    </w:p>
    <w:p>
      <w:pPr>
        <w:spacing w:after="0" w:line="147" w:lineRule="exact"/>
        <w:rPr>
          <w:rFonts w:ascii="Arial" w:cs="Arial" w:eastAsia="Arial" w:hAnsi="Arial"/>
          <w:sz w:val="22"/>
          <w:szCs w:val="22"/>
          <w:color w:val="auto"/>
        </w:rPr>
      </w:pPr>
    </w:p>
    <w:p>
      <w:pPr>
        <w:ind w:right="20" w:firstLine="2642"/>
        <w:spacing w:after="0" w:line="245" w:lineRule="auto"/>
        <w:tabs>
          <w:tab w:leader="none" w:pos="3570" w:val="left"/>
        </w:tabs>
        <w:numPr>
          <w:ilvl w:val="2"/>
          <w:numId w:val="94"/>
        </w:numPr>
        <w:rPr>
          <w:rFonts w:ascii="Arial" w:cs="Arial" w:eastAsia="Arial" w:hAnsi="Arial"/>
          <w:sz w:val="21"/>
          <w:szCs w:val="21"/>
          <w:color w:val="auto"/>
        </w:rPr>
      </w:pPr>
      <w:r>
        <w:rPr>
          <w:rFonts w:ascii="Arial" w:cs="Arial" w:eastAsia="Arial" w:hAnsi="Arial"/>
          <w:sz w:val="21"/>
          <w:szCs w:val="21"/>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41" w:lineRule="exact"/>
        <w:rPr>
          <w:rFonts w:ascii="Arial" w:cs="Arial" w:eastAsia="Arial" w:hAnsi="Arial"/>
          <w:sz w:val="21"/>
          <w:szCs w:val="21"/>
          <w:color w:val="auto"/>
        </w:rPr>
      </w:pPr>
    </w:p>
    <w:p>
      <w:pPr>
        <w:ind w:right="80" w:firstLine="885"/>
        <w:spacing w:after="0" w:line="328" w:lineRule="auto"/>
        <w:tabs>
          <w:tab w:leader="none" w:pos="1778" w:val="left"/>
        </w:tabs>
        <w:numPr>
          <w:ilvl w:val="0"/>
          <w:numId w:val="94"/>
        </w:numPr>
        <w:rPr>
          <w:rFonts w:ascii="Arial" w:cs="Arial" w:eastAsia="Arial" w:hAnsi="Arial"/>
          <w:sz w:val="19"/>
          <w:szCs w:val="19"/>
          <w:color w:val="auto"/>
        </w:rPr>
      </w:pPr>
      <w:r>
        <w:rPr>
          <w:rFonts w:ascii="Arial" w:cs="Arial" w:eastAsia="Arial" w:hAnsi="Arial"/>
          <w:sz w:val="19"/>
          <w:szCs w:val="19"/>
          <w:color w:val="auto"/>
        </w:rPr>
        <w:t>Any payment pursuant to paragraph 7(e) or 7(j) shall be contingent upon Executive’s execution of the General Release within 21 days after termination of the Term of Employment, and the Executive’s not revoking that release.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10" w:name="page111"/>
    <w:bookmarkEnd w:id="110"/>
    <w:p>
      <w:pPr>
        <w:ind w:left="860" w:hanging="440"/>
        <w:spacing w:after="0"/>
        <w:tabs>
          <w:tab w:leader="none" w:pos="86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p>
    <w:p>
      <w:pPr>
        <w:spacing w:after="0" w:line="206" w:lineRule="exact"/>
        <w:rPr>
          <w:rFonts w:ascii="Arial" w:cs="Arial" w:eastAsia="Arial" w:hAnsi="Arial"/>
          <w:sz w:val="22"/>
          <w:szCs w:val="22"/>
          <w:color w:val="auto"/>
        </w:rPr>
      </w:pPr>
    </w:p>
    <w:p>
      <w:pPr>
        <w:ind w:left="-20" w:firstLine="885"/>
        <w:spacing w:after="0" w:line="277" w:lineRule="auto"/>
        <w:tabs>
          <w:tab w:leader="none" w:pos="1745" w:val="left"/>
        </w:tabs>
        <w:numPr>
          <w:ilvl w:val="1"/>
          <w:numId w:val="95"/>
        </w:numPr>
        <w:rPr>
          <w:rFonts w:ascii="Arial" w:cs="Arial" w:eastAsia="Arial" w:hAnsi="Arial"/>
          <w:sz w:val="19"/>
          <w:szCs w:val="19"/>
          <w:color w:val="auto"/>
        </w:rPr>
      </w:pPr>
      <w:r>
        <w:rPr>
          <w:rFonts w:ascii="Arial" w:cs="Arial" w:eastAsia="Arial" w:hAnsi="Arial"/>
          <w:sz w:val="19"/>
          <w:szCs w:val="19"/>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52" w:lineRule="exact"/>
        <w:rPr>
          <w:rFonts w:ascii="Arial" w:cs="Arial" w:eastAsia="Arial" w:hAnsi="Arial"/>
          <w:sz w:val="19"/>
          <w:szCs w:val="19"/>
          <w:color w:val="auto"/>
        </w:rPr>
      </w:pPr>
    </w:p>
    <w:p>
      <w:pPr>
        <w:ind w:left="-20" w:right="260" w:firstLine="885"/>
        <w:spacing w:after="0" w:line="297" w:lineRule="auto"/>
        <w:tabs>
          <w:tab w:leader="none" w:pos="1758" w:val="left"/>
        </w:tabs>
        <w:numPr>
          <w:ilvl w:val="1"/>
          <w:numId w:val="95"/>
        </w:numPr>
        <w:rPr>
          <w:rFonts w:ascii="Arial" w:cs="Arial" w:eastAsia="Arial" w:hAnsi="Arial"/>
          <w:sz w:val="19"/>
          <w:szCs w:val="19"/>
          <w:color w:val="auto"/>
        </w:rPr>
      </w:pPr>
      <w:r>
        <w:rPr>
          <w:rFonts w:ascii="Arial" w:cs="Arial" w:eastAsia="Arial" w:hAnsi="Arial"/>
          <w:sz w:val="19"/>
          <w:szCs w:val="19"/>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34" w:lineRule="exact"/>
        <w:rPr>
          <w:rFonts w:ascii="Arial" w:cs="Arial" w:eastAsia="Arial" w:hAnsi="Arial"/>
          <w:sz w:val="19"/>
          <w:szCs w:val="19"/>
          <w:color w:val="auto"/>
        </w:rPr>
      </w:pPr>
    </w:p>
    <w:p>
      <w:pPr>
        <w:ind w:left="1760" w:hanging="895"/>
        <w:spacing w:after="0"/>
        <w:tabs>
          <w:tab w:leader="none" w:pos="17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6 Month Delay for “Specified Employees”.</w:t>
      </w:r>
    </w:p>
    <w:p>
      <w:pPr>
        <w:spacing w:after="0" w:line="165" w:lineRule="exact"/>
        <w:rPr>
          <w:rFonts w:ascii="Arial" w:cs="Arial" w:eastAsia="Arial" w:hAnsi="Arial"/>
          <w:sz w:val="22"/>
          <w:szCs w:val="22"/>
          <w:color w:val="auto"/>
        </w:rPr>
      </w:pPr>
    </w:p>
    <w:p>
      <w:pPr>
        <w:ind w:left="-20" w:firstLine="1763"/>
        <w:spacing w:after="0" w:line="274" w:lineRule="auto"/>
        <w:tabs>
          <w:tab w:leader="none" w:pos="2587" w:val="left"/>
        </w:tabs>
        <w:numPr>
          <w:ilvl w:val="3"/>
          <w:numId w:val="95"/>
        </w:numPr>
        <w:rPr>
          <w:rFonts w:ascii="Arial" w:cs="Arial" w:eastAsia="Arial" w:hAnsi="Arial"/>
          <w:sz w:val="19"/>
          <w:szCs w:val="19"/>
          <w:color w:val="auto"/>
        </w:rPr>
      </w:pPr>
      <w:r>
        <w:rPr>
          <w:rFonts w:ascii="Arial" w:cs="Arial" w:eastAsia="Arial" w:hAnsi="Arial"/>
          <w:sz w:val="19"/>
          <w:szCs w:val="19"/>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58" w:lineRule="exact"/>
        <w:rPr>
          <w:rFonts w:ascii="Arial" w:cs="Arial" w:eastAsia="Arial" w:hAnsi="Arial"/>
          <w:sz w:val="19"/>
          <w:szCs w:val="19"/>
          <w:color w:val="auto"/>
        </w:rPr>
      </w:pPr>
    </w:p>
    <w:p>
      <w:pPr>
        <w:ind w:left="-20" w:firstLine="1763"/>
        <w:spacing w:after="0" w:line="287" w:lineRule="auto"/>
        <w:tabs>
          <w:tab w:leader="none" w:pos="2647" w:val="left"/>
        </w:tabs>
        <w:numPr>
          <w:ilvl w:val="3"/>
          <w:numId w:val="95"/>
        </w:numPr>
        <w:rPr>
          <w:rFonts w:ascii="Arial" w:cs="Arial" w:eastAsia="Arial" w:hAnsi="Arial"/>
          <w:sz w:val="19"/>
          <w:szCs w:val="19"/>
          <w:color w:val="auto"/>
        </w:rPr>
      </w:pPr>
      <w:r>
        <w:rPr>
          <w:rFonts w:ascii="Arial" w:cs="Arial" w:eastAsia="Arial" w:hAnsi="Arial"/>
          <w:sz w:val="19"/>
          <w:szCs w:val="19"/>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9"/>
          <w:szCs w:val="19"/>
          <w:color w:val="auto"/>
        </w:rPr>
      </w:pPr>
    </w:p>
    <w:p>
      <w:pPr>
        <w:ind w:left="-20" w:right="140" w:firstLine="995"/>
        <w:spacing w:after="0" w:line="238" w:lineRule="auto"/>
        <w:tabs>
          <w:tab w:leader="none" w:pos="1867" w:val="left"/>
        </w:tabs>
        <w:numPr>
          <w:ilvl w:val="2"/>
          <w:numId w:val="95"/>
        </w:numPr>
        <w:rPr>
          <w:rFonts w:ascii="Arial" w:cs="Arial" w:eastAsia="Arial" w:hAnsi="Arial"/>
          <w:sz w:val="22"/>
          <w:szCs w:val="22"/>
          <w:color w:val="auto"/>
        </w:rPr>
      </w:pPr>
      <w:r>
        <w:rPr>
          <w:rFonts w:ascii="Arial" w:cs="Arial" w:eastAsia="Arial" w:hAnsi="Arial"/>
          <w:sz w:val="22"/>
          <w:szCs w:val="22"/>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34" w:right="259" w:bottom="1440" w:gutter="0" w:footer="0" w:header="0"/>
        </w:sectPr>
      </w:pPr>
    </w:p>
    <w:bookmarkStart w:id="111" w:name="page112"/>
    <w:bookmarkEnd w:id="111"/>
    <w:p>
      <w:pPr>
        <w:ind w:right="60" w:firstLine="995"/>
        <w:spacing w:after="0" w:line="238" w:lineRule="auto"/>
        <w:tabs>
          <w:tab w:leader="none" w:pos="1875" w:val="left"/>
        </w:tabs>
        <w:numPr>
          <w:ilvl w:val="2"/>
          <w:numId w:val="96"/>
        </w:numPr>
        <w:rPr>
          <w:rFonts w:ascii="Arial" w:cs="Arial" w:eastAsia="Arial" w:hAnsi="Arial"/>
          <w:sz w:val="22"/>
          <w:szCs w:val="22"/>
          <w:color w:val="auto"/>
        </w:rPr>
      </w:pPr>
      <w:r>
        <w:rPr>
          <w:rFonts w:ascii="Arial" w:cs="Arial" w:eastAsia="Arial" w:hAnsi="Arial"/>
          <w:sz w:val="22"/>
          <w:szCs w:val="22"/>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85" w:lineRule="exact"/>
        <w:rPr>
          <w:rFonts w:ascii="Arial" w:cs="Arial" w:eastAsia="Arial" w:hAnsi="Arial"/>
          <w:sz w:val="22"/>
          <w:szCs w:val="22"/>
          <w:color w:val="auto"/>
        </w:rPr>
      </w:pPr>
    </w:p>
    <w:p>
      <w:pPr>
        <w:ind w:left="1860" w:hanging="865"/>
        <w:spacing w:after="0"/>
        <w:tabs>
          <w:tab w:leader="none" w:pos="1860" w:val="left"/>
        </w:tabs>
        <w:numPr>
          <w:ilvl w:val="2"/>
          <w:numId w:val="96"/>
        </w:numPr>
        <w:rPr>
          <w:rFonts w:ascii="Arial" w:cs="Arial" w:eastAsia="Arial" w:hAnsi="Arial"/>
          <w:sz w:val="22"/>
          <w:szCs w:val="22"/>
          <w:color w:val="auto"/>
        </w:rPr>
      </w:pPr>
      <w:r>
        <w:rPr>
          <w:rFonts w:ascii="Arial" w:cs="Arial" w:eastAsia="Arial" w:hAnsi="Arial"/>
          <w:sz w:val="22"/>
          <w:szCs w:val="22"/>
          <w:color w:val="auto"/>
        </w:rPr>
        <w:t>Taxable Reimbursements.</w:t>
      </w:r>
    </w:p>
    <w:p>
      <w:pPr>
        <w:spacing w:after="0" w:line="206" w:lineRule="exact"/>
        <w:rPr>
          <w:rFonts w:ascii="Arial" w:cs="Arial" w:eastAsia="Arial" w:hAnsi="Arial"/>
          <w:sz w:val="22"/>
          <w:szCs w:val="22"/>
          <w:color w:val="auto"/>
        </w:rPr>
      </w:pPr>
    </w:p>
    <w:p>
      <w:pPr>
        <w:ind w:right="20" w:firstLine="1763"/>
        <w:spacing w:after="0" w:line="287" w:lineRule="auto"/>
        <w:tabs>
          <w:tab w:leader="none" w:pos="2013" w:val="left"/>
        </w:tabs>
        <w:numPr>
          <w:ilvl w:val="3"/>
          <w:numId w:val="96"/>
        </w:numPr>
        <w:rPr>
          <w:rFonts w:ascii="Arial" w:cs="Arial" w:eastAsia="Arial" w:hAnsi="Arial"/>
          <w:sz w:val="19"/>
          <w:szCs w:val="19"/>
          <w:color w:val="auto"/>
        </w:rPr>
      </w:pPr>
      <w:r>
        <w:rPr>
          <w:rFonts w:ascii="Arial" w:cs="Arial" w:eastAsia="Arial" w:hAnsi="Arial"/>
          <w:sz w:val="19"/>
          <w:szCs w:val="19"/>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43" w:lineRule="exact"/>
        <w:rPr>
          <w:rFonts w:ascii="Arial" w:cs="Arial" w:eastAsia="Arial" w:hAnsi="Arial"/>
          <w:sz w:val="19"/>
          <w:szCs w:val="19"/>
          <w:color w:val="auto"/>
        </w:rPr>
      </w:pPr>
    </w:p>
    <w:p>
      <w:pPr>
        <w:ind w:right="40" w:firstLine="1763"/>
        <w:spacing w:after="0" w:line="328" w:lineRule="auto"/>
        <w:tabs>
          <w:tab w:leader="none" w:pos="2073" w:val="left"/>
        </w:tabs>
        <w:numPr>
          <w:ilvl w:val="3"/>
          <w:numId w:val="96"/>
        </w:numPr>
        <w:rPr>
          <w:rFonts w:ascii="Arial" w:cs="Arial" w:eastAsia="Arial" w:hAnsi="Arial"/>
          <w:sz w:val="19"/>
          <w:szCs w:val="19"/>
          <w:color w:val="auto"/>
        </w:rPr>
      </w:pPr>
      <w:r>
        <w:rPr>
          <w:rFonts w:ascii="Arial" w:cs="Arial" w:eastAsia="Arial" w:hAnsi="Arial"/>
          <w:sz w:val="19"/>
          <w:szCs w:val="19"/>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05" w:lineRule="exact"/>
        <w:rPr>
          <w:rFonts w:ascii="Arial" w:cs="Arial" w:eastAsia="Arial" w:hAnsi="Arial"/>
          <w:sz w:val="19"/>
          <w:szCs w:val="19"/>
          <w:color w:val="auto"/>
        </w:rPr>
      </w:pPr>
    </w:p>
    <w:p>
      <w:pPr>
        <w:ind w:left="2140" w:hanging="377"/>
        <w:spacing w:after="0"/>
        <w:tabs>
          <w:tab w:leader="none" w:pos="2140" w:val="left"/>
        </w:tabs>
        <w:numPr>
          <w:ilvl w:val="3"/>
          <w:numId w:val="96"/>
        </w:numPr>
        <w:rPr>
          <w:rFonts w:ascii="Arial" w:cs="Arial" w:eastAsia="Arial" w:hAnsi="Arial"/>
          <w:sz w:val="19"/>
          <w:szCs w:val="19"/>
          <w:color w:val="auto"/>
        </w:rPr>
      </w:pPr>
      <w:r>
        <w:rPr>
          <w:rFonts w:ascii="Arial" w:cs="Arial" w:eastAsia="Arial" w:hAnsi="Arial"/>
          <w:sz w:val="19"/>
          <w:szCs w:val="19"/>
          <w:color w:val="auto"/>
        </w:rPr>
        <w:t>The right to Taxable Reimbursements shall not be subject to liquidation or exchange for another benefit.</w:t>
      </w:r>
    </w:p>
    <w:p>
      <w:pPr>
        <w:spacing w:after="0" w:line="240" w:lineRule="exact"/>
        <w:rPr>
          <w:rFonts w:ascii="Arial" w:cs="Arial" w:eastAsia="Arial" w:hAnsi="Arial"/>
          <w:sz w:val="19"/>
          <w:szCs w:val="19"/>
          <w:color w:val="auto"/>
        </w:rPr>
      </w:pPr>
    </w:p>
    <w:p>
      <w:pPr>
        <w:ind w:left="880" w:hanging="440"/>
        <w:spacing w:after="0"/>
        <w:tabs>
          <w:tab w:leader="none" w:pos="88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REPRESENTATION AND AGREEMENTS OF EXECUTIVE</w:t>
      </w:r>
    </w:p>
    <w:p>
      <w:pPr>
        <w:spacing w:after="0" w:line="206" w:lineRule="exact"/>
        <w:rPr>
          <w:rFonts w:ascii="Arial" w:cs="Arial" w:eastAsia="Arial" w:hAnsi="Arial"/>
          <w:sz w:val="22"/>
          <w:szCs w:val="22"/>
          <w:color w:val="auto"/>
        </w:rPr>
      </w:pPr>
    </w:p>
    <w:p>
      <w:pPr>
        <w:ind w:right="640" w:firstLine="885"/>
        <w:spacing w:after="0" w:line="258" w:lineRule="auto"/>
        <w:tabs>
          <w:tab w:leader="none" w:pos="1765" w:val="left"/>
        </w:tabs>
        <w:numPr>
          <w:ilvl w:val="1"/>
          <w:numId w:val="97"/>
        </w:numPr>
        <w:rPr>
          <w:rFonts w:ascii="Arial" w:cs="Arial" w:eastAsia="Arial" w:hAnsi="Arial"/>
          <w:sz w:val="21"/>
          <w:szCs w:val="21"/>
          <w:color w:val="auto"/>
        </w:rPr>
      </w:pPr>
      <w:r>
        <w:rPr>
          <w:rFonts w:ascii="Arial" w:cs="Arial" w:eastAsia="Arial" w:hAnsi="Arial"/>
          <w:sz w:val="21"/>
          <w:szCs w:val="21"/>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66" w:lineRule="exact"/>
        <w:rPr>
          <w:rFonts w:ascii="Arial" w:cs="Arial" w:eastAsia="Arial" w:hAnsi="Arial"/>
          <w:sz w:val="21"/>
          <w:szCs w:val="21"/>
          <w:color w:val="auto"/>
        </w:rPr>
      </w:pPr>
    </w:p>
    <w:p>
      <w:pPr>
        <w:jc w:val="both"/>
        <w:ind w:right="140" w:firstLine="885"/>
        <w:spacing w:after="0" w:line="297" w:lineRule="auto"/>
        <w:tabs>
          <w:tab w:leader="none" w:pos="1778" w:val="left"/>
        </w:tabs>
        <w:numPr>
          <w:ilvl w:val="1"/>
          <w:numId w:val="97"/>
        </w:numPr>
        <w:rPr>
          <w:rFonts w:ascii="Arial" w:cs="Arial" w:eastAsia="Arial" w:hAnsi="Arial"/>
          <w:sz w:val="19"/>
          <w:szCs w:val="19"/>
          <w:color w:val="auto"/>
        </w:rPr>
      </w:pPr>
      <w:r>
        <w:rPr>
          <w:rFonts w:ascii="Arial" w:cs="Arial" w:eastAsia="Arial" w:hAnsi="Arial"/>
          <w:sz w:val="19"/>
          <w:szCs w:val="19"/>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34" w:lineRule="exact"/>
        <w:rPr>
          <w:rFonts w:ascii="Arial" w:cs="Arial" w:eastAsia="Arial" w:hAnsi="Arial"/>
          <w:sz w:val="19"/>
          <w:szCs w:val="19"/>
          <w:color w:val="auto"/>
        </w:rPr>
      </w:pPr>
    </w:p>
    <w:p>
      <w:pPr>
        <w:ind w:firstLine="885"/>
        <w:spacing w:after="0"/>
        <w:tabs>
          <w:tab w:leader="none" w:pos="1765" w:val="left"/>
        </w:tabs>
        <w:numPr>
          <w:ilvl w:val="1"/>
          <w:numId w:val="97"/>
        </w:numPr>
        <w:rPr>
          <w:rFonts w:ascii="Arial" w:cs="Arial" w:eastAsia="Arial" w:hAnsi="Arial"/>
          <w:sz w:val="22"/>
          <w:szCs w:val="22"/>
          <w:color w:val="auto"/>
        </w:rPr>
      </w:pPr>
      <w:r>
        <w:rPr>
          <w:rFonts w:ascii="Arial" w:cs="Arial" w:eastAsia="Arial" w:hAnsi="Arial"/>
          <w:sz w:val="22"/>
          <w:szCs w:val="22"/>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86" w:lineRule="exact"/>
        <w:rPr>
          <w:rFonts w:ascii="Arial" w:cs="Arial" w:eastAsia="Arial" w:hAnsi="Arial"/>
          <w:sz w:val="22"/>
          <w:szCs w:val="22"/>
          <w:color w:val="auto"/>
        </w:rPr>
      </w:pPr>
    </w:p>
    <w:p>
      <w:pPr>
        <w:jc w:val="both"/>
        <w:ind w:right="200" w:firstLine="885"/>
        <w:spacing w:after="0" w:line="258" w:lineRule="auto"/>
        <w:tabs>
          <w:tab w:leader="none" w:pos="1778" w:val="left"/>
        </w:tabs>
        <w:numPr>
          <w:ilvl w:val="1"/>
          <w:numId w:val="97"/>
        </w:numPr>
        <w:rPr>
          <w:rFonts w:ascii="Arial" w:cs="Arial" w:eastAsia="Arial" w:hAnsi="Arial"/>
          <w:sz w:val="21"/>
          <w:szCs w:val="21"/>
          <w:color w:val="auto"/>
        </w:rPr>
      </w:pPr>
      <w:r>
        <w:rPr>
          <w:rFonts w:ascii="Arial" w:cs="Arial" w:eastAsia="Arial" w:hAnsi="Arial"/>
          <w:sz w:val="21"/>
          <w:szCs w:val="21"/>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66" w:lineRule="exact"/>
        <w:rPr>
          <w:rFonts w:ascii="Arial" w:cs="Arial" w:eastAsia="Arial" w:hAnsi="Arial"/>
          <w:sz w:val="21"/>
          <w:szCs w:val="21"/>
          <w:color w:val="auto"/>
        </w:rPr>
      </w:pPr>
    </w:p>
    <w:p>
      <w:pPr>
        <w:ind w:left="1780" w:hanging="895"/>
        <w:spacing w:after="0"/>
        <w:tabs>
          <w:tab w:leader="none" w:pos="1780" w:val="left"/>
        </w:tabs>
        <w:numPr>
          <w:ilvl w:val="1"/>
          <w:numId w:val="97"/>
        </w:numPr>
        <w:rPr>
          <w:rFonts w:ascii="Arial" w:cs="Arial" w:eastAsia="Arial" w:hAnsi="Arial"/>
          <w:sz w:val="19"/>
          <w:szCs w:val="19"/>
          <w:color w:val="auto"/>
        </w:rPr>
      </w:pPr>
      <w:r>
        <w:rPr>
          <w:rFonts w:ascii="Arial" w:cs="Arial" w:eastAsia="Arial" w:hAnsi="Arial"/>
          <w:sz w:val="19"/>
          <w:szCs w:val="19"/>
          <w:color w:val="auto"/>
        </w:rPr>
        <w:t>Executive represents and warrants that he has never been accused of any impropriety in connection with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employment;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112" w:name="page113"/>
    <w:bookmarkEnd w:id="112"/>
    <w:p>
      <w:pPr>
        <w:ind w:right="40" w:firstLine="877"/>
        <w:spacing w:after="0" w:line="251" w:lineRule="auto"/>
        <w:rPr>
          <w:sz w:val="20"/>
          <w:szCs w:val="20"/>
          <w:color w:val="auto"/>
        </w:rPr>
      </w:pPr>
      <w:r>
        <w:rPr>
          <w:rFonts w:ascii="Arial" w:cs="Arial" w:eastAsia="Arial" w:hAnsi="Arial"/>
          <w:sz w:val="22"/>
          <w:szCs w:val="22"/>
          <w:color w:val="auto"/>
        </w:rPr>
        <w:t>Any breach of any of the above representations and warranties is "justifiable cause" for termination under paragraph 7(d) of this Agreement.</w:t>
      </w:r>
    </w:p>
    <w:p>
      <w:pPr>
        <w:spacing w:after="0" w:line="173" w:lineRule="exact"/>
        <w:rPr>
          <w:sz w:val="20"/>
          <w:szCs w:val="20"/>
          <w:color w:val="auto"/>
        </w:rPr>
      </w:pPr>
    </w:p>
    <w:p>
      <w:pPr>
        <w:ind w:left="880" w:hanging="440"/>
        <w:spacing w:after="0"/>
        <w:tabs>
          <w:tab w:leader="none" w:pos="8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NON-COMPETITION</w:t>
      </w:r>
    </w:p>
    <w:p>
      <w:pPr>
        <w:spacing w:after="0" w:line="206" w:lineRule="exact"/>
        <w:rPr>
          <w:rFonts w:ascii="Arial" w:cs="Arial" w:eastAsia="Arial" w:hAnsi="Arial"/>
          <w:sz w:val="22"/>
          <w:szCs w:val="22"/>
          <w:color w:val="auto"/>
        </w:rPr>
      </w:pPr>
    </w:p>
    <w:p>
      <w:pPr>
        <w:ind w:firstLine="885"/>
        <w:spacing w:after="0" w:line="271" w:lineRule="auto"/>
        <w:tabs>
          <w:tab w:leader="none" w:pos="1765" w:val="left"/>
        </w:tabs>
        <w:numPr>
          <w:ilvl w:val="1"/>
          <w:numId w:val="98"/>
        </w:numPr>
        <w:rPr>
          <w:rFonts w:ascii="Arial" w:cs="Arial" w:eastAsia="Arial" w:hAnsi="Arial"/>
          <w:sz w:val="19"/>
          <w:szCs w:val="19"/>
          <w:color w:val="auto"/>
        </w:rPr>
      </w:pPr>
      <w:r>
        <w:rPr>
          <w:rFonts w:ascii="Arial" w:cs="Arial" w:eastAsia="Arial" w:hAnsi="Arial"/>
          <w:sz w:val="19"/>
          <w:szCs w:val="19"/>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140" w:firstLine="885"/>
        <w:spacing w:after="0" w:line="282" w:lineRule="auto"/>
        <w:tabs>
          <w:tab w:leader="none" w:pos="1778" w:val="left"/>
        </w:tabs>
        <w:numPr>
          <w:ilvl w:val="1"/>
          <w:numId w:val="98"/>
        </w:numPr>
        <w:rPr>
          <w:rFonts w:ascii="Arial" w:cs="Arial" w:eastAsia="Arial" w:hAnsi="Arial"/>
          <w:sz w:val="19"/>
          <w:szCs w:val="19"/>
          <w:color w:val="auto"/>
        </w:rPr>
      </w:pPr>
      <w:r>
        <w:rPr>
          <w:rFonts w:ascii="Arial" w:cs="Arial" w:eastAsia="Arial" w:hAnsi="Arial"/>
          <w:sz w:val="19"/>
          <w:szCs w:val="19"/>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7" w:lineRule="exact"/>
        <w:rPr>
          <w:rFonts w:ascii="Arial" w:cs="Arial" w:eastAsia="Arial" w:hAnsi="Arial"/>
          <w:sz w:val="19"/>
          <w:szCs w:val="19"/>
          <w:color w:val="auto"/>
        </w:rPr>
      </w:pPr>
    </w:p>
    <w:p>
      <w:pPr>
        <w:ind w:right="200" w:firstLine="885"/>
        <w:spacing w:after="0" w:line="279" w:lineRule="auto"/>
        <w:tabs>
          <w:tab w:leader="none" w:pos="1765" w:val="left"/>
        </w:tabs>
        <w:numPr>
          <w:ilvl w:val="1"/>
          <w:numId w:val="98"/>
        </w:numPr>
        <w:rPr>
          <w:rFonts w:ascii="Arial" w:cs="Arial" w:eastAsia="Arial" w:hAnsi="Arial"/>
          <w:sz w:val="19"/>
          <w:szCs w:val="19"/>
          <w:color w:val="auto"/>
        </w:rPr>
      </w:pPr>
      <w:r>
        <w:rPr>
          <w:rFonts w:ascii="Arial" w:cs="Arial" w:eastAsia="Arial" w:hAnsi="Arial"/>
          <w:sz w:val="19"/>
          <w:szCs w:val="19"/>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50" w:lineRule="exact"/>
        <w:rPr>
          <w:rFonts w:ascii="Arial" w:cs="Arial" w:eastAsia="Arial" w:hAnsi="Arial"/>
          <w:sz w:val="19"/>
          <w:szCs w:val="19"/>
          <w:color w:val="auto"/>
        </w:rPr>
      </w:pPr>
    </w:p>
    <w:p>
      <w:pPr>
        <w:ind w:firstLine="885"/>
        <w:spacing w:after="0"/>
        <w:tabs>
          <w:tab w:leader="none" w:pos="1778"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13" w:name="page114"/>
    <w:bookmarkEnd w:id="113"/>
    <w:p>
      <w:pPr>
        <w:ind w:right="760"/>
        <w:spacing w:after="0" w:line="328" w:lineRule="auto"/>
        <w:rPr>
          <w:sz w:val="20"/>
          <w:szCs w:val="20"/>
          <w:color w:val="auto"/>
        </w:rPr>
      </w:pPr>
      <w:r>
        <w:rPr>
          <w:rFonts w:ascii="Arial" w:cs="Arial" w:eastAsia="Arial" w:hAnsi="Arial"/>
          <w:sz w:val="19"/>
          <w:szCs w:val="19"/>
          <w:color w:val="auto"/>
        </w:rPr>
        <w:t>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05" w:lineRule="exact"/>
        <w:rPr>
          <w:sz w:val="20"/>
          <w:szCs w:val="20"/>
          <w:color w:val="auto"/>
        </w:rPr>
      </w:pPr>
    </w:p>
    <w:p>
      <w:pPr>
        <w:ind w:left="880" w:hanging="440"/>
        <w:spacing w:after="0"/>
        <w:tabs>
          <w:tab w:leader="none" w:pos="88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INVENTIONS AND DISCOVERIES</w:t>
      </w:r>
    </w:p>
    <w:p>
      <w:pPr>
        <w:spacing w:after="0" w:line="206" w:lineRule="exact"/>
        <w:rPr>
          <w:rFonts w:ascii="Arial" w:cs="Arial" w:eastAsia="Arial" w:hAnsi="Arial"/>
          <w:sz w:val="22"/>
          <w:szCs w:val="22"/>
          <w:color w:val="auto"/>
        </w:rPr>
      </w:pPr>
    </w:p>
    <w:p>
      <w:pPr>
        <w:ind w:right="40" w:firstLine="885"/>
        <w:spacing w:after="0" w:line="275" w:lineRule="auto"/>
        <w:tabs>
          <w:tab w:leader="none" w:pos="1765" w:val="left"/>
        </w:tabs>
        <w:numPr>
          <w:ilvl w:val="1"/>
          <w:numId w:val="99"/>
        </w:numPr>
        <w:rPr>
          <w:rFonts w:ascii="Arial" w:cs="Arial" w:eastAsia="Arial" w:hAnsi="Arial"/>
          <w:sz w:val="19"/>
          <w:szCs w:val="19"/>
          <w:color w:val="auto"/>
        </w:rPr>
      </w:pPr>
      <w:r>
        <w:rPr>
          <w:rFonts w:ascii="Arial" w:cs="Arial" w:eastAsia="Arial" w:hAnsi="Arial"/>
          <w:sz w:val="19"/>
          <w:szCs w:val="19"/>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58" w:lineRule="exact"/>
        <w:rPr>
          <w:rFonts w:ascii="Arial" w:cs="Arial" w:eastAsia="Arial" w:hAnsi="Arial"/>
          <w:sz w:val="19"/>
          <w:szCs w:val="19"/>
          <w:color w:val="auto"/>
        </w:rPr>
      </w:pPr>
    </w:p>
    <w:p>
      <w:pPr>
        <w:ind w:right="80" w:firstLine="885"/>
        <w:spacing w:after="0" w:line="245" w:lineRule="auto"/>
        <w:tabs>
          <w:tab w:leader="none" w:pos="1778" w:val="left"/>
        </w:tabs>
        <w:numPr>
          <w:ilvl w:val="1"/>
          <w:numId w:val="99"/>
        </w:numPr>
        <w:rPr>
          <w:rFonts w:ascii="Arial" w:cs="Arial" w:eastAsia="Arial" w:hAnsi="Arial"/>
          <w:sz w:val="21"/>
          <w:szCs w:val="21"/>
          <w:color w:val="auto"/>
        </w:rPr>
      </w:pPr>
      <w:r>
        <w:rPr>
          <w:rFonts w:ascii="Arial" w:cs="Arial" w:eastAsia="Arial" w:hAnsi="Arial"/>
          <w:sz w:val="21"/>
          <w:szCs w:val="21"/>
          <w:color w:val="auto"/>
        </w:rPr>
        <w:t>Executive hereby assigns and transfers, and agrees to assign and transfer, to the Company, allhis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81" w:lineRule="exact"/>
        <w:rPr>
          <w:rFonts w:ascii="Arial" w:cs="Arial" w:eastAsia="Arial" w:hAnsi="Arial"/>
          <w:sz w:val="21"/>
          <w:szCs w:val="21"/>
          <w:color w:val="auto"/>
        </w:rPr>
      </w:pPr>
    </w:p>
    <w:p>
      <w:pPr>
        <w:ind w:left="880" w:hanging="440"/>
        <w:spacing w:after="0"/>
        <w:tabs>
          <w:tab w:leader="none" w:pos="88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w:t>
      </w:r>
    </w:p>
    <w:p>
      <w:pPr>
        <w:spacing w:after="0" w:line="206" w:lineRule="exact"/>
        <w:rPr>
          <w:rFonts w:ascii="Arial" w:cs="Arial" w:eastAsia="Arial" w:hAnsi="Arial"/>
          <w:sz w:val="22"/>
          <w:szCs w:val="22"/>
          <w:color w:val="auto"/>
        </w:rPr>
      </w:pPr>
    </w:p>
    <w:p>
      <w:pPr>
        <w:ind w:firstLine="885"/>
        <w:spacing w:after="0" w:line="274" w:lineRule="auto"/>
        <w:tabs>
          <w:tab w:leader="none" w:pos="1765" w:val="left"/>
        </w:tabs>
        <w:numPr>
          <w:ilvl w:val="1"/>
          <w:numId w:val="99"/>
        </w:numPr>
        <w:rPr>
          <w:rFonts w:ascii="Arial" w:cs="Arial" w:eastAsia="Arial" w:hAnsi="Arial"/>
          <w:sz w:val="19"/>
          <w:szCs w:val="19"/>
          <w:color w:val="auto"/>
        </w:rPr>
      </w:pPr>
      <w:r>
        <w:rPr>
          <w:rFonts w:ascii="Arial" w:cs="Arial" w:eastAsia="Arial" w:hAnsi="Arial"/>
          <w:sz w:val="19"/>
          <w:szCs w:val="19"/>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auto"/>
        </w:rPr>
        <w:t>directors of the Company or its subsidiaries or affiliates, any supplier or customer of the Company or any of their subsidiaries or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affiliates, or any corporation, partnership or other entity owned or controlled, directly or indirectly, by any of the foregoing, or in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which any of the foregoing has a beneficial interest, including, but not limited to, the business affairs of each of the</w:t>
      </w:r>
    </w:p>
    <w:p>
      <w:pPr>
        <w:spacing w:after="0"/>
        <w:rPr>
          <w:sz w:val="20"/>
          <w:szCs w:val="20"/>
          <w:color w:val="auto"/>
        </w:rPr>
      </w:pPr>
      <w:r>
        <w:rPr>
          <w:rFonts w:ascii="Arial" w:cs="Arial" w:eastAsia="Arial" w:hAnsi="Arial"/>
          <w:sz w:val="19"/>
          <w:szCs w:val="19"/>
          <w:color w:val="auto"/>
        </w:rPr>
        <w:t>foregoing. Such confidential information shall include, but shall not be limited to, proprietary technology, trade secrets, patented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processes, research and development data, know-how, market studies and forecasts, financial data, competitive analyses, pricing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policies, employee lists, personnel policies, the substance of agreements with customers, suppliers and others, marketing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dealership arrangements, servicing and training programs and arrangements, supplier lists, customer lists and any other documents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embodying such confidential information. This confidentiality obligation shall not apply to any confidential information, which is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or becomes publicly available other than pursuant to a breach of this paragraph 12(a) by Executive.</w:t>
      </w:r>
    </w:p>
    <w:p>
      <w:pPr>
        <w:spacing w:after="0" w:line="188" w:lineRule="exact"/>
        <w:rPr>
          <w:sz w:val="20"/>
          <w:szCs w:val="20"/>
          <w:color w:val="auto"/>
        </w:rPr>
      </w:pPr>
    </w:p>
    <w:p>
      <w:pPr>
        <w:ind w:right="360" w:firstLine="885"/>
        <w:spacing w:after="0" w:line="282" w:lineRule="auto"/>
        <w:tabs>
          <w:tab w:leader="none" w:pos="1778"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47" w:lineRule="exact"/>
        <w:rPr>
          <w:rFonts w:ascii="Arial" w:cs="Arial" w:eastAsia="Arial" w:hAnsi="Arial"/>
          <w:sz w:val="19"/>
          <w:szCs w:val="19"/>
          <w:color w:val="auto"/>
        </w:rPr>
      </w:pPr>
    </w:p>
    <w:p>
      <w:pPr>
        <w:ind w:left="880" w:hanging="440"/>
        <w:spacing w:after="0"/>
        <w:tabs>
          <w:tab w:leader="none" w:pos="88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p>
    <w:p>
      <w:pPr>
        <w:spacing w:after="0" w:line="206"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19"/>
          <w:szCs w:val="19"/>
          <w:color w:val="auto"/>
        </w:rPr>
        <w:t>Executive agrees that if he breaches, or threatens to commit a breach of, any enforceable provision of paragraphs 10, 11</w:t>
      </w:r>
    </w:p>
    <w:p>
      <w:pPr>
        <w:spacing w:after="0" w:line="43" w:lineRule="exact"/>
        <w:rPr>
          <w:sz w:val="20"/>
          <w:szCs w:val="20"/>
          <w:color w:val="auto"/>
        </w:rPr>
      </w:pPr>
    </w:p>
    <w:p>
      <w:pPr>
        <w:ind w:right="240"/>
        <w:spacing w:after="0" w:line="267" w:lineRule="auto"/>
        <w:rPr>
          <w:sz w:val="20"/>
          <w:szCs w:val="20"/>
          <w:color w:val="auto"/>
        </w:rPr>
      </w:pPr>
      <w:r>
        <w:rPr>
          <w:rFonts w:ascii="Arial" w:cs="Arial" w:eastAsia="Arial" w:hAnsi="Arial"/>
          <w:sz w:val="19"/>
          <w:szCs w:val="19"/>
          <w:color w:val="auto"/>
        </w:rPr>
        <w:t>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w:t>
      </w:r>
    </w:p>
    <w:p>
      <w:pPr>
        <w:spacing w:after="0" w:line="232" w:lineRule="auto"/>
        <w:rPr>
          <w:sz w:val="20"/>
          <w:szCs w:val="20"/>
          <w:color w:val="auto"/>
        </w:rPr>
      </w:pPr>
      <w:r>
        <w:rPr>
          <w:rFonts w:ascii="Arial" w:cs="Arial" w:eastAsia="Arial" w:hAnsi="Arial"/>
          <w:sz w:val="22"/>
          <w:szCs w:val="22"/>
          <w:color w:val="auto"/>
        </w:rPr>
        <w:t>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89" w:lineRule="exact"/>
        <w:rPr>
          <w:sz w:val="20"/>
          <w:szCs w:val="20"/>
          <w:color w:val="auto"/>
        </w:rPr>
      </w:pPr>
    </w:p>
    <w:p>
      <w:pPr>
        <w:ind w:left="880" w:hanging="440"/>
        <w:spacing w:after="0"/>
        <w:tabs>
          <w:tab w:leader="none" w:pos="88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AMENDMENT OR ALTERATION</w:t>
      </w:r>
    </w:p>
    <w:p>
      <w:pPr>
        <w:spacing w:after="0" w:line="206" w:lineRule="exact"/>
        <w:rPr>
          <w:sz w:val="20"/>
          <w:szCs w:val="20"/>
          <w:color w:val="auto"/>
        </w:rPr>
      </w:pPr>
    </w:p>
    <w:p>
      <w:pPr>
        <w:ind w:right="180" w:firstLine="877"/>
        <w:spacing w:after="0" w:line="251" w:lineRule="auto"/>
        <w:rPr>
          <w:sz w:val="20"/>
          <w:szCs w:val="20"/>
          <w:color w:val="auto"/>
        </w:rPr>
      </w:pPr>
      <w:r>
        <w:rPr>
          <w:rFonts w:ascii="Arial" w:cs="Arial" w:eastAsia="Arial" w:hAnsi="Arial"/>
          <w:sz w:val="22"/>
          <w:szCs w:val="22"/>
          <w:color w:val="auto"/>
        </w:rPr>
        <w:t>No amendment or alteration of the terms of this Agreement shall be valid unless made in writing and signed by both of the parties hereto.</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115" w:name="page116"/>
    <w:bookmarkEnd w:id="115"/>
    <w:p>
      <w:pPr>
        <w:ind w:left="880" w:hanging="440"/>
        <w:spacing w:after="0"/>
        <w:tabs>
          <w:tab w:leader="none" w:pos="88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GOVERNING LAW</w:t>
      </w:r>
    </w:p>
    <w:p>
      <w:pPr>
        <w:spacing w:after="0" w:line="206" w:lineRule="exact"/>
        <w:rPr>
          <w:sz w:val="20"/>
          <w:szCs w:val="20"/>
          <w:color w:val="auto"/>
        </w:rPr>
      </w:pPr>
    </w:p>
    <w:p>
      <w:pPr>
        <w:ind w:right="740" w:firstLine="877"/>
        <w:spacing w:after="0" w:line="251" w:lineRule="auto"/>
        <w:rPr>
          <w:sz w:val="20"/>
          <w:szCs w:val="20"/>
          <w:color w:val="auto"/>
        </w:rPr>
      </w:pPr>
      <w:r>
        <w:rPr>
          <w:rFonts w:ascii="Arial" w:cs="Arial" w:eastAsia="Arial" w:hAnsi="Arial"/>
          <w:sz w:val="22"/>
          <w:szCs w:val="22"/>
          <w:color w:val="auto"/>
        </w:rPr>
        <w:t>This Agreement shall be governed by, and construed and enforced in accordance with the substantive laws of the Commonwealth of Massachusetts, without regard to its principles of conflicts of laws.</w:t>
      </w:r>
    </w:p>
    <w:p>
      <w:pPr>
        <w:spacing w:after="0" w:line="173" w:lineRule="exact"/>
        <w:rPr>
          <w:sz w:val="20"/>
          <w:szCs w:val="20"/>
          <w:color w:val="auto"/>
        </w:rPr>
      </w:pPr>
    </w:p>
    <w:p>
      <w:pPr>
        <w:ind w:left="880" w:hanging="440"/>
        <w:spacing w:after="0"/>
        <w:tabs>
          <w:tab w:leader="none" w:pos="88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SEVERABILITY</w:t>
      </w:r>
    </w:p>
    <w:p>
      <w:pPr>
        <w:spacing w:after="0" w:line="206" w:lineRule="exact"/>
        <w:rPr>
          <w:sz w:val="20"/>
          <w:szCs w:val="20"/>
          <w:color w:val="auto"/>
        </w:rPr>
      </w:pPr>
    </w:p>
    <w:p>
      <w:pPr>
        <w:ind w:right="100" w:firstLine="877"/>
        <w:spacing w:after="0" w:line="251" w:lineRule="auto"/>
        <w:rPr>
          <w:sz w:val="20"/>
          <w:szCs w:val="20"/>
          <w:color w:val="auto"/>
        </w:rPr>
      </w:pPr>
      <w:r>
        <w:rPr>
          <w:rFonts w:ascii="Arial" w:cs="Arial" w:eastAsia="Arial" w:hAnsi="Arial"/>
          <w:sz w:val="22"/>
          <w:szCs w:val="22"/>
          <w:color w:val="auto"/>
        </w:rPr>
        <w:t>The holding of any provision of this Agreement to be invalid or unenforceable by a court of competent jurisdiction shall not affect any other provision of this Agreement, which shall remain in full force and effect.</w:t>
      </w:r>
    </w:p>
    <w:p>
      <w:pPr>
        <w:spacing w:after="0" w:line="173" w:lineRule="exact"/>
        <w:rPr>
          <w:sz w:val="20"/>
          <w:szCs w:val="20"/>
          <w:color w:val="auto"/>
        </w:rPr>
      </w:pPr>
    </w:p>
    <w:p>
      <w:pPr>
        <w:ind w:left="880" w:hanging="440"/>
        <w:spacing w:after="0"/>
        <w:tabs>
          <w:tab w:leader="none" w:pos="88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NOTICES</w:t>
      </w:r>
    </w:p>
    <w:p>
      <w:pPr>
        <w:spacing w:after="0" w:line="206" w:lineRule="exact"/>
        <w:rPr>
          <w:sz w:val="20"/>
          <w:szCs w:val="20"/>
          <w:color w:val="auto"/>
        </w:rPr>
      </w:pPr>
    </w:p>
    <w:p>
      <w:pPr>
        <w:ind w:right="40" w:firstLine="877"/>
        <w:spacing w:after="0" w:line="238" w:lineRule="auto"/>
        <w:rPr>
          <w:sz w:val="20"/>
          <w:szCs w:val="20"/>
          <w:color w:val="auto"/>
        </w:rPr>
      </w:pPr>
      <w:r>
        <w:rPr>
          <w:rFonts w:ascii="Arial" w:cs="Arial" w:eastAsia="Arial" w:hAnsi="Arial"/>
          <w:sz w:val="22"/>
          <w:szCs w:val="22"/>
          <w:color w:val="auto"/>
        </w:rPr>
        <w:t>Any notices required or permitted to be given hereunder shall be sufficient if inwriting,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85" w:lineRule="exact"/>
        <w:rPr>
          <w:sz w:val="20"/>
          <w:szCs w:val="20"/>
          <w:color w:val="auto"/>
        </w:rPr>
      </w:pPr>
    </w:p>
    <w:p>
      <w:pPr>
        <w:ind w:left="880" w:hanging="440"/>
        <w:spacing w:after="0"/>
        <w:tabs>
          <w:tab w:leader="none" w:pos="88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WAIVER OR BREACH</w:t>
      </w:r>
    </w:p>
    <w:p>
      <w:pPr>
        <w:spacing w:after="0" w:line="206"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It is agreed that a waiver by either party of a breach of any provision of this Agreement shall not operate, or be construed as a waiver of any subsequent breach by that same party.</w:t>
      </w:r>
    </w:p>
    <w:p>
      <w:pPr>
        <w:spacing w:after="0" w:line="173" w:lineRule="exact"/>
        <w:rPr>
          <w:sz w:val="20"/>
          <w:szCs w:val="20"/>
          <w:color w:val="auto"/>
        </w:rPr>
      </w:pPr>
    </w:p>
    <w:p>
      <w:pPr>
        <w:ind w:left="880" w:hanging="440"/>
        <w:spacing w:after="0"/>
        <w:tabs>
          <w:tab w:leader="none" w:pos="88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ENTIRE AGREEMENT AND BINDING EFFECT</w:t>
      </w:r>
    </w:p>
    <w:p>
      <w:pPr>
        <w:spacing w:after="0" w:line="206" w:lineRule="exact"/>
        <w:rPr>
          <w:sz w:val="20"/>
          <w:szCs w:val="20"/>
          <w:color w:val="auto"/>
        </w:rPr>
      </w:pPr>
    </w:p>
    <w:p>
      <w:pPr>
        <w:ind w:firstLine="877"/>
        <w:spacing w:after="0" w:line="245" w:lineRule="auto"/>
        <w:rPr>
          <w:sz w:val="20"/>
          <w:szCs w:val="20"/>
          <w:color w:val="auto"/>
        </w:rPr>
      </w:pPr>
      <w:r>
        <w:rPr>
          <w:rFonts w:ascii="Arial" w:cs="Arial" w:eastAsia="Arial" w:hAnsi="Arial"/>
          <w:sz w:val="21"/>
          <w:szCs w:val="21"/>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82" w:lineRule="exact"/>
        <w:rPr>
          <w:sz w:val="20"/>
          <w:szCs w:val="20"/>
          <w:color w:val="auto"/>
        </w:rPr>
      </w:pPr>
    </w:p>
    <w:p>
      <w:pPr>
        <w:ind w:left="880" w:hanging="440"/>
        <w:spacing w:after="0"/>
        <w:tabs>
          <w:tab w:leader="none" w:pos="88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SURVIVAL</w:t>
      </w:r>
    </w:p>
    <w:p>
      <w:pPr>
        <w:spacing w:after="0" w:line="206" w:lineRule="exact"/>
        <w:rPr>
          <w:sz w:val="20"/>
          <w:szCs w:val="20"/>
          <w:color w:val="auto"/>
        </w:rPr>
      </w:pPr>
    </w:p>
    <w:p>
      <w:pPr>
        <w:ind w:right="20" w:firstLine="877"/>
        <w:spacing w:after="0"/>
        <w:rPr>
          <w:sz w:val="20"/>
          <w:szCs w:val="20"/>
          <w:color w:val="auto"/>
        </w:rPr>
      </w:pPr>
      <w:r>
        <w:rPr>
          <w:rFonts w:ascii="Arial" w:cs="Arial" w:eastAsia="Arial" w:hAnsi="Arial"/>
          <w:sz w:val="22"/>
          <w:szCs w:val="22"/>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116" w:name="page117"/>
    <w:bookmarkEnd w:id="116"/>
    <w:p>
      <w:pPr>
        <w:ind w:left="880" w:hanging="440"/>
        <w:spacing w:after="0"/>
        <w:tabs>
          <w:tab w:leader="none" w:pos="88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RESOLUTION OF DISPUTES</w:t>
      </w:r>
    </w:p>
    <w:p>
      <w:pPr>
        <w:spacing w:after="0" w:line="206" w:lineRule="exact"/>
        <w:rPr>
          <w:sz w:val="20"/>
          <w:szCs w:val="20"/>
          <w:color w:val="auto"/>
        </w:rPr>
      </w:pPr>
    </w:p>
    <w:p>
      <w:pPr>
        <w:ind w:right="720" w:firstLine="877"/>
        <w:spacing w:after="0" w:line="251" w:lineRule="auto"/>
        <w:rPr>
          <w:sz w:val="20"/>
          <w:szCs w:val="20"/>
          <w:color w:val="auto"/>
        </w:rPr>
      </w:pPr>
      <w:r>
        <w:rPr>
          <w:rFonts w:ascii="Arial" w:cs="Arial" w:eastAsia="Arial" w:hAnsi="Arial"/>
          <w:sz w:val="22"/>
          <w:szCs w:val="22"/>
          <w:color w:val="auto"/>
        </w:rPr>
        <w:t>Any and all disputes arising under or in connection with this Agreement shall be resolved in accordance with this paragraph 21 and paragraph 15.</w:t>
      </w:r>
    </w:p>
    <w:p>
      <w:pPr>
        <w:spacing w:after="0" w:line="173" w:lineRule="exact"/>
        <w:rPr>
          <w:sz w:val="20"/>
          <w:szCs w:val="20"/>
          <w:color w:val="auto"/>
        </w:rPr>
      </w:pPr>
    </w:p>
    <w:p>
      <w:pPr>
        <w:ind w:right="60" w:firstLine="877"/>
        <w:spacing w:after="0" w:line="236" w:lineRule="auto"/>
        <w:rPr>
          <w:sz w:val="20"/>
          <w:szCs w:val="20"/>
          <w:color w:val="auto"/>
        </w:rPr>
      </w:pPr>
      <w:r>
        <w:rPr>
          <w:rFonts w:ascii="Arial" w:cs="Arial" w:eastAsia="Arial" w:hAnsi="Arial"/>
          <w:sz w:val="22"/>
          <w:szCs w:val="22"/>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88" w:lineRule="exact"/>
        <w:rPr>
          <w:sz w:val="20"/>
          <w:szCs w:val="20"/>
          <w:color w:val="auto"/>
        </w:rPr>
      </w:pPr>
    </w:p>
    <w:p>
      <w:pPr>
        <w:ind w:left="880" w:hanging="440"/>
        <w:spacing w:after="0"/>
        <w:tabs>
          <w:tab w:leader="none" w:pos="88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NON-DISPARAGEMENT</w:t>
      </w:r>
    </w:p>
    <w:p>
      <w:pPr>
        <w:spacing w:after="0" w:line="206" w:lineRule="exact"/>
        <w:rPr>
          <w:sz w:val="20"/>
          <w:szCs w:val="20"/>
          <w:color w:val="auto"/>
        </w:rPr>
      </w:pPr>
    </w:p>
    <w:p>
      <w:pPr>
        <w:ind w:right="40" w:firstLine="877"/>
        <w:spacing w:after="0" w:line="238" w:lineRule="auto"/>
        <w:rPr>
          <w:sz w:val="20"/>
          <w:szCs w:val="20"/>
          <w:color w:val="auto"/>
        </w:rPr>
      </w:pPr>
      <w:r>
        <w:rPr>
          <w:rFonts w:ascii="Arial" w:cs="Arial" w:eastAsia="Arial" w:hAnsi="Arial"/>
          <w:sz w:val="22"/>
          <w:szCs w:val="22"/>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85" w:lineRule="exact"/>
        <w:rPr>
          <w:sz w:val="20"/>
          <w:szCs w:val="20"/>
          <w:color w:val="auto"/>
        </w:rPr>
      </w:pPr>
    </w:p>
    <w:p>
      <w:pPr>
        <w:ind w:left="880" w:hanging="440"/>
        <w:spacing w:after="0"/>
        <w:tabs>
          <w:tab w:leader="none" w:pos="88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p>
    <w:p>
      <w:pPr>
        <w:spacing w:after="0" w:line="206" w:lineRule="exact"/>
        <w:rPr>
          <w:sz w:val="20"/>
          <w:szCs w:val="20"/>
          <w:color w:val="auto"/>
        </w:rPr>
      </w:pPr>
    </w:p>
    <w:p>
      <w:pPr>
        <w:ind w:right="100" w:firstLine="877"/>
        <w:spacing w:after="0" w:line="274" w:lineRule="auto"/>
        <w:rPr>
          <w:sz w:val="20"/>
          <w:szCs w:val="20"/>
          <w:color w:val="auto"/>
        </w:rPr>
      </w:pPr>
      <w:r>
        <w:rPr>
          <w:rFonts w:ascii="Arial" w:cs="Arial" w:eastAsia="Arial" w:hAnsi="Arial"/>
          <w:sz w:val="21"/>
          <w:szCs w:val="21"/>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51" w:lineRule="exact"/>
        <w:rPr>
          <w:sz w:val="20"/>
          <w:szCs w:val="20"/>
          <w:color w:val="auto"/>
        </w:rPr>
      </w:pPr>
    </w:p>
    <w:p>
      <w:pPr>
        <w:ind w:left="880" w:right="7300" w:hanging="440"/>
        <w:spacing w:after="0" w:line="456" w:lineRule="auto"/>
        <w:tabs>
          <w:tab w:leader="none" w:pos="867"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 xml:space="preserve">SUBSIDIARIES AND AFFILIATES </w:t>
      </w:r>
      <w:r>
        <w:rPr>
          <w:rFonts w:ascii="Arial" w:cs="Arial" w:eastAsia="Arial" w:hAnsi="Arial"/>
          <w:sz w:val="21"/>
          <w:szCs w:val="21"/>
          <w:color w:val="auto"/>
        </w:rPr>
        <w:t>For purposes of this Agreement:</w:t>
      </w:r>
    </w:p>
    <w:p>
      <w:pPr>
        <w:ind w:right="280" w:firstLine="885"/>
        <w:spacing w:after="0"/>
        <w:tabs>
          <w:tab w:leader="none" w:pos="122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86" w:lineRule="exact"/>
        <w:rPr>
          <w:rFonts w:ascii="Arial" w:cs="Arial" w:eastAsia="Arial" w:hAnsi="Arial"/>
          <w:sz w:val="22"/>
          <w:szCs w:val="22"/>
          <w:color w:val="auto"/>
        </w:rPr>
      </w:pPr>
    </w:p>
    <w:p>
      <w:pPr>
        <w:ind w:firstLine="885"/>
        <w:spacing w:after="0" w:line="287" w:lineRule="auto"/>
        <w:tabs>
          <w:tab w:leader="none" w:pos="1237" w:val="left"/>
        </w:tabs>
        <w:numPr>
          <w:ilvl w:val="1"/>
          <w:numId w:val="112"/>
        </w:numPr>
        <w:rPr>
          <w:rFonts w:ascii="Arial" w:cs="Arial" w:eastAsia="Arial" w:hAnsi="Arial"/>
          <w:sz w:val="19"/>
          <w:szCs w:val="19"/>
          <w:color w:val="auto"/>
        </w:rPr>
      </w:pPr>
      <w:r>
        <w:rPr>
          <w:rFonts w:ascii="Arial" w:cs="Arial" w:eastAsia="Arial" w:hAnsi="Arial"/>
          <w:sz w:val="19"/>
          <w:szCs w:val="19"/>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117" w:name="page118"/>
    <w:bookmarkEnd w:id="117"/>
    <w:p>
      <w:pPr>
        <w:ind w:left="880" w:hanging="440"/>
        <w:spacing w:after="0"/>
        <w:tabs>
          <w:tab w:leader="none" w:pos="88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HEADINGS</w:t>
      </w:r>
    </w:p>
    <w:p>
      <w:pPr>
        <w:spacing w:after="0" w:line="206" w:lineRule="exact"/>
        <w:rPr>
          <w:sz w:val="20"/>
          <w:szCs w:val="20"/>
          <w:color w:val="auto"/>
        </w:rPr>
      </w:pPr>
    </w:p>
    <w:p>
      <w:pPr>
        <w:ind w:right="120" w:firstLine="877"/>
        <w:spacing w:after="0" w:line="251" w:lineRule="auto"/>
        <w:rPr>
          <w:sz w:val="20"/>
          <w:szCs w:val="20"/>
          <w:color w:val="auto"/>
        </w:rPr>
      </w:pPr>
      <w:r>
        <w:rPr>
          <w:rFonts w:ascii="Arial" w:cs="Arial" w:eastAsia="Arial" w:hAnsi="Arial"/>
          <w:sz w:val="22"/>
          <w:szCs w:val="22"/>
          <w:color w:val="auto"/>
        </w:rPr>
        <w:t>The paragraph headings appearing in this Agreement are for the purposes of easy reference and shall not be considered a part of this Agreement or in any way modify, amend or affect its provisions.</w:t>
      </w:r>
    </w:p>
    <w:p>
      <w:pPr>
        <w:spacing w:after="0" w:line="173" w:lineRule="exact"/>
        <w:rPr>
          <w:sz w:val="20"/>
          <w:szCs w:val="20"/>
          <w:color w:val="auto"/>
        </w:rPr>
      </w:pPr>
    </w:p>
    <w:p>
      <w:pPr>
        <w:ind w:left="880" w:hanging="440"/>
        <w:spacing w:after="0"/>
        <w:tabs>
          <w:tab w:leader="none" w:pos="88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COUNTERPARTS</w:t>
      </w:r>
    </w:p>
    <w:p>
      <w:pPr>
        <w:spacing w:after="0" w:line="206" w:lineRule="exact"/>
        <w:rPr>
          <w:sz w:val="20"/>
          <w:szCs w:val="20"/>
          <w:color w:val="auto"/>
        </w:rPr>
      </w:pPr>
    </w:p>
    <w:p>
      <w:pPr>
        <w:ind w:right="580" w:firstLine="877"/>
        <w:spacing w:after="0" w:line="251" w:lineRule="auto"/>
        <w:rPr>
          <w:sz w:val="20"/>
          <w:szCs w:val="20"/>
          <w:color w:val="auto"/>
        </w:rPr>
      </w:pPr>
      <w:r>
        <w:rPr>
          <w:rFonts w:ascii="Arial" w:cs="Arial" w:eastAsia="Arial" w:hAnsi="Arial"/>
          <w:sz w:val="22"/>
          <w:szCs w:val="22"/>
          <w:color w:val="auto"/>
        </w:rPr>
        <w:t>This Agreement may be executed in one or more counterparts, each of which shall be deemed an original and all of which together shall constitute one and the same agreement.</w:t>
      </w:r>
    </w:p>
    <w:p>
      <w:pPr>
        <w:spacing w:after="0" w:line="173" w:lineRule="exact"/>
        <w:rPr>
          <w:sz w:val="20"/>
          <w:szCs w:val="20"/>
          <w:color w:val="auto"/>
        </w:rPr>
      </w:pPr>
    </w:p>
    <w:p>
      <w:pPr>
        <w:ind w:right="560" w:firstLine="877"/>
        <w:spacing w:after="0" w:line="251" w:lineRule="auto"/>
        <w:rPr>
          <w:sz w:val="20"/>
          <w:szCs w:val="20"/>
          <w:color w:val="auto"/>
        </w:rPr>
      </w:pPr>
      <w:r>
        <w:rPr>
          <w:rFonts w:ascii="Arial" w:cs="Arial" w:eastAsia="Arial" w:hAnsi="Arial"/>
          <w:sz w:val="22"/>
          <w:szCs w:val="22"/>
          <w:color w:val="auto"/>
        </w:rPr>
        <w:t>IN WITNESS WHEREOF, the parties hereto have executed this Agreement, under seal, as of the date and year first above written.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DESTINATION XL GROUP,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Pr>
          <w:p>
            <w:pPr>
              <w:spacing w:after="0"/>
              <w:rPr>
                <w:sz w:val="20"/>
                <w:szCs w:val="20"/>
                <w:color w:val="auto"/>
              </w:rPr>
            </w:pPr>
            <w:r>
              <w:rPr>
                <w:rFonts w:ascii="Arial" w:cs="Arial" w:eastAsia="Arial" w:hAnsi="Arial"/>
                <w:sz w:val="22"/>
                <w:szCs w:val="22"/>
                <w:color w:val="auto"/>
              </w:rPr>
              <w:t>/s/ David A. Levin</w:t>
            </w:r>
          </w:p>
        </w:tc>
        <w:tc>
          <w:tcPr>
            <w:tcW w:w="1880" w:type="dxa"/>
            <w:vAlign w:val="bottom"/>
          </w:tcPr>
          <w:p>
            <w:pPr>
              <w:ind w:left="1320"/>
              <w:spacing w:after="0"/>
              <w:rPr>
                <w:sz w:val="20"/>
                <w:szCs w:val="20"/>
                <w:color w:val="auto"/>
              </w:rPr>
            </w:pPr>
            <w:r>
              <w:rPr>
                <w:rFonts w:ascii="Arial" w:cs="Arial" w:eastAsia="Arial" w:hAnsi="Arial"/>
                <w:sz w:val="22"/>
                <w:szCs w:val="22"/>
                <w:color w:val="auto"/>
              </w:rPr>
              <w:t>Date:</w:t>
            </w:r>
          </w:p>
        </w:tc>
        <w:tc>
          <w:tcPr>
            <w:tcW w:w="4340" w:type="dxa"/>
            <w:vAlign w:val="bottom"/>
            <w:gridSpan w:val="2"/>
          </w:tcPr>
          <w:p>
            <w:pPr>
              <w:ind w:left="120"/>
              <w:spacing w:after="0"/>
              <w:rPr>
                <w:sz w:val="20"/>
                <w:szCs w:val="20"/>
                <w:color w:val="auto"/>
              </w:rPr>
            </w:pPr>
            <w:r>
              <w:rPr>
                <w:rFonts w:ascii="Arial" w:cs="Arial" w:eastAsia="Arial" w:hAnsi="Arial"/>
                <w:sz w:val="22"/>
                <w:szCs w:val="22"/>
                <w:color w:val="auto"/>
              </w:rPr>
              <w:t>December 22, 2017</w:t>
            </w:r>
          </w:p>
        </w:tc>
        <w:tc>
          <w:tcPr>
            <w:tcW w:w="20" w:type="dxa"/>
            <w:vAlign w:val="bottom"/>
          </w:tcPr>
          <w:p>
            <w:pPr>
              <w:spacing w:after="0"/>
              <w:rPr>
                <w:sz w:val="23"/>
                <w:szCs w:val="23"/>
                <w:color w:val="auto"/>
              </w:rPr>
            </w:pP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David A. Levin</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75"/>
        </w:trPr>
        <w:tc>
          <w:tcPr>
            <w:tcW w:w="900" w:type="dxa"/>
            <w:vAlign w:val="bottom"/>
          </w:tcPr>
          <w:p>
            <w:pPr>
              <w:spacing w:after="0"/>
              <w:rPr>
                <w:sz w:val="20"/>
                <w:szCs w:val="20"/>
                <w:color w:val="auto"/>
              </w:rPr>
            </w:pPr>
            <w:r>
              <w:rPr>
                <w:rFonts w:ascii="Arial" w:cs="Arial" w:eastAsia="Arial" w:hAnsi="Arial"/>
                <w:sz w:val="22"/>
                <w:szCs w:val="22"/>
                <w:color w:val="auto"/>
              </w:rPr>
              <w:t>Its:</w:t>
            </w:r>
          </w:p>
        </w:tc>
        <w:tc>
          <w:tcPr>
            <w:tcW w:w="4300" w:type="dxa"/>
            <w:vAlign w:val="bottom"/>
          </w:tcPr>
          <w:p>
            <w:pPr>
              <w:spacing w:after="0"/>
              <w:rPr>
                <w:sz w:val="20"/>
                <w:szCs w:val="20"/>
                <w:color w:val="auto"/>
              </w:rPr>
            </w:pPr>
            <w:r>
              <w:rPr>
                <w:rFonts w:ascii="Arial" w:cs="Arial" w:eastAsia="Arial" w:hAnsi="Arial"/>
                <w:sz w:val="22"/>
                <w:szCs w:val="22"/>
                <w:color w:val="auto"/>
              </w:rPr>
              <w:t>President, Chief Executive Officer</w:t>
            </w:r>
          </w:p>
        </w:tc>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49"/>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Pr>
          <w:p>
            <w:pPr>
              <w:spacing w:after="0"/>
              <w:rPr>
                <w:sz w:val="20"/>
                <w:szCs w:val="20"/>
                <w:color w:val="auto"/>
              </w:rPr>
            </w:pPr>
            <w:r>
              <w:rPr>
                <w:rFonts w:ascii="Arial" w:cs="Arial" w:eastAsia="Arial" w:hAnsi="Arial"/>
                <w:sz w:val="22"/>
                <w:szCs w:val="22"/>
                <w:color w:val="auto"/>
              </w:rPr>
              <w:t>/s/ Brian S. Reaves</w:t>
            </w:r>
          </w:p>
        </w:tc>
        <w:tc>
          <w:tcPr>
            <w:tcW w:w="1880" w:type="dxa"/>
            <w:vAlign w:val="bottom"/>
          </w:tcPr>
          <w:p>
            <w:pPr>
              <w:ind w:left="1320"/>
              <w:spacing w:after="0"/>
              <w:rPr>
                <w:sz w:val="20"/>
                <w:szCs w:val="20"/>
                <w:color w:val="auto"/>
              </w:rPr>
            </w:pPr>
            <w:r>
              <w:rPr>
                <w:rFonts w:ascii="Arial" w:cs="Arial" w:eastAsia="Arial" w:hAnsi="Arial"/>
                <w:sz w:val="22"/>
                <w:szCs w:val="22"/>
                <w:color w:val="auto"/>
              </w:rPr>
              <w:t>Date:</w:t>
            </w:r>
          </w:p>
        </w:tc>
        <w:tc>
          <w:tcPr>
            <w:tcW w:w="4340" w:type="dxa"/>
            <w:vAlign w:val="bottom"/>
            <w:gridSpan w:val="2"/>
          </w:tcPr>
          <w:p>
            <w:pPr>
              <w:ind w:left="120"/>
              <w:spacing w:after="0"/>
              <w:rPr>
                <w:sz w:val="20"/>
                <w:szCs w:val="20"/>
                <w:color w:val="auto"/>
              </w:rPr>
            </w:pPr>
            <w:r>
              <w:rPr>
                <w:rFonts w:ascii="Arial" w:cs="Arial" w:eastAsia="Arial" w:hAnsi="Arial"/>
                <w:sz w:val="22"/>
                <w:szCs w:val="22"/>
                <w:color w:val="auto"/>
              </w:rPr>
              <w:t>December 22, 2017</w:t>
            </w:r>
          </w:p>
        </w:tc>
        <w:tc>
          <w:tcPr>
            <w:tcW w:w="20" w:type="dxa"/>
            <w:vAlign w:val="bottom"/>
          </w:tcPr>
          <w:p>
            <w:pPr>
              <w:spacing w:after="0"/>
              <w:rPr>
                <w:sz w:val="24"/>
                <w:szCs w:val="24"/>
                <w:color w:val="auto"/>
              </w:rPr>
            </w:pPr>
          </w:p>
        </w:tc>
      </w:tr>
      <w:tr>
        <w:trPr>
          <w:trHeight w:val="268"/>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3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Brian S. Reaves</w:t>
            </w:r>
          </w:p>
        </w:tc>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897"/>
        </w:trPr>
        <w:tc>
          <w:tcPr>
            <w:tcW w:w="9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80" w:type="dxa"/>
            <w:vAlign w:val="bottom"/>
          </w:tcPr>
          <w:p>
            <w:pPr>
              <w:jc w:val="right"/>
              <w:ind w:right="1152"/>
              <w:spacing w:after="0"/>
              <w:rPr>
                <w:sz w:val="20"/>
                <w:szCs w:val="20"/>
                <w:color w:val="auto"/>
              </w:rPr>
            </w:pPr>
            <w:r>
              <w:rPr>
                <w:rFonts w:ascii="Arial" w:cs="Arial" w:eastAsia="Arial" w:hAnsi="Arial"/>
                <w:sz w:val="22"/>
                <w:szCs w:val="22"/>
                <w:color w:val="auto"/>
              </w:rPr>
              <w:t>14</w:t>
            </w: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90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i w:val="1"/>
          <w:iCs w:val="1"/>
          <w:color w:val="auto"/>
        </w:rPr>
        <w:t>EXHIBIT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FORM OF RELEASE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GENERAL RELEASE OF CLAIMS</w:t>
      </w:r>
    </w:p>
    <w:p>
      <w:pPr>
        <w:spacing w:after="0" w:line="206" w:lineRule="exact"/>
        <w:rPr>
          <w:sz w:val="20"/>
          <w:szCs w:val="20"/>
          <w:color w:val="auto"/>
        </w:rPr>
      </w:pPr>
    </w:p>
    <w:p>
      <w:pPr>
        <w:jc w:val="both"/>
        <w:ind w:firstLine="885"/>
        <w:spacing w:after="0" w:line="269" w:lineRule="auto"/>
        <w:tabs>
          <w:tab w:leader="none" w:pos="168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Brian S. Reaves (“</w:t>
      </w:r>
      <w:r>
        <w:rPr>
          <w:rFonts w:ascii="Arial" w:cs="Arial" w:eastAsia="Arial" w:hAnsi="Arial"/>
          <w:sz w:val="19"/>
          <w:szCs w:val="19"/>
          <w:u w:val="single" w:color="auto"/>
          <w:color w:val="auto"/>
        </w:rPr>
        <w:t>Executive</w:t>
      </w:r>
      <w:r>
        <w:rPr>
          <w:rFonts w:ascii="Arial" w:cs="Arial" w:eastAsia="Arial" w:hAnsi="Arial"/>
          <w:sz w:val="19"/>
          <w:szCs w:val="19"/>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does hereby release and forever discharge Destination XL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9" w:name="page120"/>
    <w:bookmarkEnd w:id="119"/>
    <w:p>
      <w:pPr>
        <w:jc w:val="both"/>
        <w:ind w:firstLine="885"/>
        <w:spacing w:after="0" w:line="279" w:lineRule="auto"/>
        <w:tabs>
          <w:tab w:leader="none" w:pos="168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Executive shall not have relinquished his right to commence a Proceeding to challenge whether Executive knowingly and voluntarily waived his rights under ADEA.</w:t>
      </w:r>
    </w:p>
    <w:p>
      <w:pPr>
        <w:spacing w:after="0" w:line="150" w:lineRule="exact"/>
        <w:rPr>
          <w:rFonts w:ascii="Arial" w:cs="Arial" w:eastAsia="Arial" w:hAnsi="Arial"/>
          <w:sz w:val="19"/>
          <w:szCs w:val="19"/>
          <w:color w:val="auto"/>
        </w:rPr>
      </w:pPr>
    </w:p>
    <w:p>
      <w:pPr>
        <w:jc w:val="both"/>
        <w:ind w:firstLine="885"/>
        <w:spacing w:after="0" w:line="287" w:lineRule="auto"/>
        <w:tabs>
          <w:tab w:leader="none" w:pos="168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9"/>
          <w:szCs w:val="19"/>
          <w:color w:val="auto"/>
        </w:rPr>
      </w:pPr>
    </w:p>
    <w:p>
      <w:pPr>
        <w:jc w:val="both"/>
        <w:ind w:firstLine="885"/>
        <w:spacing w:after="0"/>
        <w:tabs>
          <w:tab w:leader="none" w:pos="168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86" w:lineRule="exact"/>
        <w:rPr>
          <w:rFonts w:ascii="Arial" w:cs="Arial" w:eastAsia="Arial" w:hAnsi="Arial"/>
          <w:sz w:val="22"/>
          <w:szCs w:val="22"/>
          <w:color w:val="auto"/>
        </w:rPr>
      </w:pPr>
    </w:p>
    <w:p>
      <w:pPr>
        <w:jc w:val="both"/>
        <w:ind w:firstLine="885"/>
        <w:spacing w:after="0" w:line="258" w:lineRule="auto"/>
        <w:tabs>
          <w:tab w:leader="none" w:pos="1688" w:val="left"/>
        </w:tabs>
        <w:numPr>
          <w:ilvl w:val="0"/>
          <w:numId w:val="116"/>
        </w:numPr>
        <w:rPr>
          <w:rFonts w:ascii="Arial" w:cs="Arial" w:eastAsia="Arial" w:hAnsi="Arial"/>
          <w:sz w:val="21"/>
          <w:szCs w:val="21"/>
          <w:color w:val="auto"/>
        </w:rPr>
      </w:pPr>
      <w:r>
        <w:rPr>
          <w:rFonts w:ascii="Arial" w:cs="Arial" w:eastAsia="Arial" w:hAnsi="Arial"/>
          <w:sz w:val="21"/>
          <w:szCs w:val="21"/>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66" w:lineRule="exact"/>
        <w:rPr>
          <w:rFonts w:ascii="Arial" w:cs="Arial" w:eastAsia="Arial" w:hAnsi="Arial"/>
          <w:sz w:val="21"/>
          <w:szCs w:val="21"/>
          <w:color w:val="auto"/>
        </w:rPr>
      </w:pPr>
    </w:p>
    <w:p>
      <w:pPr>
        <w:jc w:val="both"/>
        <w:ind w:firstLine="885"/>
        <w:spacing w:after="0"/>
        <w:tabs>
          <w:tab w:leader="none" w:pos="168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Brian S. Reaves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36188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34" w:right="239" w:bottom="1440" w:gutter="0" w:footer="0" w:header="0"/>
        </w:sectPr>
      </w:pPr>
    </w:p>
    <w:bookmarkStart w:id="120" w:name="page121"/>
    <w:bookmarkEnd w:id="120"/>
    <w:p>
      <w:pPr>
        <w:ind w:left="10600"/>
        <w:spacing w:after="0"/>
        <w:rPr>
          <w:sz w:val="20"/>
          <w:szCs w:val="20"/>
          <w:color w:val="auto"/>
        </w:rPr>
      </w:pPr>
      <w:r>
        <w:rPr>
          <w:rFonts w:ascii="Arial" w:cs="Arial" w:eastAsia="Arial" w:hAnsi="Arial"/>
          <w:sz w:val="16"/>
          <w:szCs w:val="16"/>
          <w:color w:val="auto"/>
        </w:rPr>
        <w:t>EXH 10.41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39"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This Employment Agreement ("Agreement") is made as of November 27, 2017 between DESTINATION XL GROUP, INC., a Delaware corporation with an office at 555 Turnpike Street, Canton, Massachusetts, 02021 (the "Company" which term includes any affiliates and subsidiaries), and Anthony J. Gaeta (the “Executive”) having an address at 65 Ogden Street, Providence, Rhode Island 02906.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33" w:lineRule="exact"/>
        <w:rPr>
          <w:sz w:val="20"/>
          <w:szCs w:val="20"/>
          <w:color w:val="auto"/>
        </w:rPr>
      </w:pPr>
    </w:p>
    <w:p>
      <w:pPr>
        <w:ind w:right="800" w:firstLine="877"/>
        <w:spacing w:after="0" w:line="251" w:lineRule="auto"/>
        <w:rPr>
          <w:sz w:val="20"/>
          <w:szCs w:val="20"/>
          <w:color w:val="auto"/>
        </w:rPr>
      </w:pPr>
      <w:r>
        <w:rPr>
          <w:rFonts w:ascii="Arial" w:cs="Arial" w:eastAsia="Arial" w:hAnsi="Arial"/>
          <w:sz w:val="22"/>
          <w:szCs w:val="22"/>
          <w:color w:val="auto"/>
        </w:rPr>
        <w:t>WHEREAS, the Company desires that Executive serve as Senior Vice President, Store Sales and Operations and Executive desires to be so employed by the Company.</w:t>
      </w:r>
    </w:p>
    <w:p>
      <w:pPr>
        <w:spacing w:after="0" w:line="200" w:lineRule="exact"/>
        <w:rPr>
          <w:sz w:val="20"/>
          <w:szCs w:val="20"/>
          <w:color w:val="auto"/>
        </w:rPr>
      </w:pPr>
    </w:p>
    <w:p>
      <w:pPr>
        <w:ind w:right="720" w:firstLine="877"/>
        <w:spacing w:after="0" w:line="251" w:lineRule="auto"/>
        <w:rPr>
          <w:sz w:val="20"/>
          <w:szCs w:val="20"/>
          <w:color w:val="auto"/>
        </w:rPr>
      </w:pPr>
      <w:r>
        <w:rPr>
          <w:rFonts w:ascii="Arial" w:cs="Arial" w:eastAsia="Arial" w:hAnsi="Arial"/>
          <w:sz w:val="22"/>
          <w:szCs w:val="22"/>
          <w:color w:val="auto"/>
        </w:rPr>
        <w:t>WHEREAS, Executive and the Company desire to set forth in writing the terms and conditions of the Executive's employment with the Company from the date hereof.</w:t>
      </w:r>
    </w:p>
    <w:p>
      <w:pPr>
        <w:spacing w:after="0" w:line="200" w:lineRule="exact"/>
        <w:rPr>
          <w:sz w:val="20"/>
          <w:szCs w:val="20"/>
          <w:color w:val="auto"/>
        </w:rPr>
      </w:pPr>
    </w:p>
    <w:p>
      <w:pPr>
        <w:ind w:right="340" w:firstLine="877"/>
        <w:spacing w:after="0" w:line="251" w:lineRule="auto"/>
        <w:rPr>
          <w:sz w:val="20"/>
          <w:szCs w:val="20"/>
          <w:color w:val="auto"/>
        </w:rPr>
      </w:pPr>
      <w:r>
        <w:rPr>
          <w:rFonts w:ascii="Arial" w:cs="Arial" w:eastAsia="Arial" w:hAnsi="Arial"/>
          <w:sz w:val="22"/>
          <w:szCs w:val="22"/>
          <w:color w:val="auto"/>
        </w:rPr>
        <w:t>NOW, THEREFORE, in consideration of the promises and the mutual promises, representations and covenants herein contained, the parties hereto agree as follows:</w:t>
      </w:r>
    </w:p>
    <w:p>
      <w:pPr>
        <w:spacing w:after="0" w:line="200" w:lineRule="exact"/>
        <w:rPr>
          <w:sz w:val="20"/>
          <w:szCs w:val="20"/>
          <w:color w:val="auto"/>
        </w:rPr>
      </w:pPr>
    </w:p>
    <w:p>
      <w:pPr>
        <w:ind w:left="1700" w:hanging="815"/>
        <w:spacing w:after="0"/>
        <w:tabs>
          <w:tab w:leader="none" w:pos="170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EMPLOYMENT</w:t>
      </w:r>
    </w:p>
    <w:p>
      <w:pPr>
        <w:spacing w:after="0" w:line="233" w:lineRule="exact"/>
        <w:rPr>
          <w:sz w:val="20"/>
          <w:szCs w:val="20"/>
          <w:color w:val="auto"/>
        </w:rPr>
      </w:pPr>
    </w:p>
    <w:p>
      <w:pPr>
        <w:ind w:right="600" w:firstLine="877"/>
        <w:spacing w:after="0" w:line="328" w:lineRule="auto"/>
        <w:rPr>
          <w:sz w:val="20"/>
          <w:szCs w:val="20"/>
          <w:color w:val="auto"/>
        </w:rPr>
      </w:pPr>
      <w:r>
        <w:rPr>
          <w:rFonts w:ascii="Arial" w:cs="Arial" w:eastAsia="Arial" w:hAnsi="Arial"/>
          <w:sz w:val="19"/>
          <w:szCs w:val="19"/>
          <w:color w:val="auto"/>
        </w:rPr>
        <w:t>The Company hereby employs Executive and Executive hereby accepts such employment, subject to the terms and conditions herein set forth. Executive shall hold the office of Senior Vice President, Store Sales and Operations.</w:t>
      </w:r>
    </w:p>
    <w:p>
      <w:pPr>
        <w:spacing w:after="0" w:line="132" w:lineRule="exact"/>
        <w:rPr>
          <w:sz w:val="20"/>
          <w:szCs w:val="20"/>
          <w:color w:val="auto"/>
        </w:rPr>
      </w:pPr>
    </w:p>
    <w:p>
      <w:pPr>
        <w:ind w:left="1700" w:hanging="815"/>
        <w:spacing w:after="0"/>
        <w:tabs>
          <w:tab w:leader="none" w:pos="170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TERM</w:t>
      </w:r>
    </w:p>
    <w:p>
      <w:pPr>
        <w:spacing w:after="0" w:line="233" w:lineRule="exact"/>
        <w:rPr>
          <w:sz w:val="20"/>
          <w:szCs w:val="20"/>
          <w:color w:val="auto"/>
        </w:rPr>
      </w:pPr>
    </w:p>
    <w:p>
      <w:pPr>
        <w:ind w:right="160" w:firstLine="877"/>
        <w:spacing w:after="0" w:line="251" w:lineRule="auto"/>
        <w:rPr>
          <w:sz w:val="20"/>
          <w:szCs w:val="20"/>
          <w:color w:val="auto"/>
        </w:rPr>
      </w:pPr>
      <w:r>
        <w:rPr>
          <w:rFonts w:ascii="Arial" w:cs="Arial" w:eastAsia="Arial" w:hAnsi="Arial"/>
          <w:sz w:val="22"/>
          <w:szCs w:val="22"/>
          <w:color w:val="auto"/>
        </w:rPr>
        <w:t>The term of employment under this Agreement (the “Term of Employment”) shall begin on the date set forth above (the "Effective Date") and shall continue until terminated by either party as hereinafter set forth.</w:t>
      </w:r>
    </w:p>
    <w:p>
      <w:pPr>
        <w:spacing w:after="0" w:line="173" w:lineRule="exact"/>
        <w:rPr>
          <w:sz w:val="20"/>
          <w:szCs w:val="20"/>
          <w:color w:val="auto"/>
        </w:rPr>
      </w:pPr>
    </w:p>
    <w:p>
      <w:pPr>
        <w:ind w:left="1700" w:hanging="815"/>
        <w:spacing w:after="0"/>
        <w:tabs>
          <w:tab w:leader="none" w:pos="170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33" w:lineRule="exact"/>
        <w:rPr>
          <w:sz w:val="20"/>
          <w:szCs w:val="20"/>
          <w:color w:val="auto"/>
        </w:rPr>
      </w:pPr>
    </w:p>
    <w:p>
      <w:pPr>
        <w:ind w:firstLine="885"/>
        <w:spacing w:after="0" w:line="282" w:lineRule="auto"/>
        <w:tabs>
          <w:tab w:leader="none" w:pos="1765" w:val="left"/>
        </w:tabs>
        <w:numPr>
          <w:ilvl w:val="0"/>
          <w:numId w:val="120"/>
        </w:numPr>
        <w:rPr>
          <w:rFonts w:ascii="Arial" w:cs="Arial" w:eastAsia="Arial" w:hAnsi="Arial"/>
          <w:sz w:val="19"/>
          <w:szCs w:val="19"/>
          <w:color w:val="auto"/>
        </w:rPr>
      </w:pPr>
      <w:r>
        <w:rPr>
          <w:rFonts w:ascii="Arial" w:cs="Arial" w:eastAsia="Arial" w:hAnsi="Arial"/>
          <w:sz w:val="19"/>
          <w:szCs w:val="19"/>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and Eighty-Five Thousand Dollars and 00/100 Cents ($285,000.00)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74" w:lineRule="exact"/>
        <w:rPr>
          <w:rFonts w:ascii="Arial" w:cs="Arial" w:eastAsia="Arial" w:hAnsi="Arial"/>
          <w:sz w:val="19"/>
          <w:szCs w:val="19"/>
          <w:color w:val="auto"/>
        </w:rPr>
      </w:pPr>
    </w:p>
    <w:p>
      <w:pPr>
        <w:ind w:right="340" w:firstLine="885"/>
        <w:spacing w:after="0" w:line="297" w:lineRule="auto"/>
        <w:tabs>
          <w:tab w:leader="none" w:pos="1778"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1" w:name="page122"/>
    <w:bookmarkEnd w:id="121"/>
    <w:p>
      <w:pPr>
        <w:ind w:right="200"/>
        <w:spacing w:after="0" w:line="282" w:lineRule="auto"/>
        <w:rPr>
          <w:sz w:val="20"/>
          <w:szCs w:val="20"/>
          <w:color w:val="auto"/>
        </w:rPr>
      </w:pPr>
      <w:r>
        <w:rPr>
          <w:rFonts w:ascii="Arial" w:cs="Arial" w:eastAsia="Arial" w:hAnsi="Arial"/>
          <w:sz w:val="19"/>
          <w:szCs w:val="19"/>
          <w:color w:val="auto"/>
        </w:rPr>
        <w:t>participate in the Company’s incentive program and Executive’s target bonus under such plan (if all individual and Company performance conditions are met) shall be 40%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75" w:lineRule="exact"/>
        <w:rPr>
          <w:sz w:val="20"/>
          <w:szCs w:val="20"/>
          <w:color w:val="auto"/>
        </w:rPr>
      </w:pPr>
    </w:p>
    <w:p>
      <w:pPr>
        <w:ind w:right="80" w:firstLine="885"/>
        <w:spacing w:after="0" w:line="279" w:lineRule="auto"/>
        <w:tabs>
          <w:tab w:leader="none" w:pos="176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178" w:lineRule="exact"/>
        <w:rPr>
          <w:sz w:val="20"/>
          <w:szCs w:val="20"/>
          <w:color w:val="auto"/>
        </w:rPr>
      </w:pPr>
    </w:p>
    <w:p>
      <w:pPr>
        <w:ind w:left="1700" w:hanging="815"/>
        <w:spacing w:after="0"/>
        <w:tabs>
          <w:tab w:leader="none" w:pos="170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EXPENSES</w:t>
      </w:r>
    </w:p>
    <w:p>
      <w:pPr>
        <w:spacing w:after="0" w:line="233" w:lineRule="exact"/>
        <w:rPr>
          <w:sz w:val="20"/>
          <w:szCs w:val="20"/>
          <w:color w:val="auto"/>
        </w:rPr>
      </w:pPr>
    </w:p>
    <w:p>
      <w:pPr>
        <w:ind w:right="220" w:firstLine="877"/>
        <w:spacing w:after="0" w:line="282" w:lineRule="auto"/>
        <w:rPr>
          <w:sz w:val="20"/>
          <w:szCs w:val="20"/>
          <w:color w:val="auto"/>
        </w:rPr>
      </w:pPr>
      <w:r>
        <w:rPr>
          <w:rFonts w:ascii="Arial" w:cs="Arial" w:eastAsia="Arial" w:hAnsi="Arial"/>
          <w:sz w:val="19"/>
          <w:szCs w:val="19"/>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Executive’s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75" w:lineRule="exact"/>
        <w:rPr>
          <w:sz w:val="20"/>
          <w:szCs w:val="20"/>
          <w:color w:val="auto"/>
        </w:rPr>
      </w:pPr>
    </w:p>
    <w:p>
      <w:pPr>
        <w:ind w:left="1700" w:hanging="815"/>
        <w:spacing w:after="0"/>
        <w:tabs>
          <w:tab w:leader="none" w:pos="170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OTHER BENEFITS</w:t>
      </w:r>
    </w:p>
    <w:p>
      <w:pPr>
        <w:spacing w:after="0" w:line="233" w:lineRule="exact"/>
        <w:rPr>
          <w:sz w:val="20"/>
          <w:szCs w:val="20"/>
          <w:color w:val="auto"/>
        </w:rPr>
      </w:pPr>
    </w:p>
    <w:p>
      <w:pPr>
        <w:ind w:firstLine="885"/>
        <w:spacing w:after="0" w:line="249" w:lineRule="auto"/>
        <w:tabs>
          <w:tab w:leader="none" w:pos="176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205" w:lineRule="exact"/>
        <w:rPr>
          <w:rFonts w:ascii="Arial" w:cs="Arial" w:eastAsia="Arial" w:hAnsi="Arial"/>
          <w:sz w:val="21"/>
          <w:szCs w:val="21"/>
          <w:color w:val="auto"/>
        </w:rPr>
      </w:pPr>
    </w:p>
    <w:p>
      <w:pPr>
        <w:ind w:right="60" w:firstLine="885"/>
        <w:spacing w:after="0" w:line="249" w:lineRule="auto"/>
        <w:tabs>
          <w:tab w:leader="none" w:pos="1778"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Company will, during the Term of Employment, provide Executive with an automobile allowance in the total amount of Eight Thousand Four Hundred Dollars and 00/100 Cents ($8,400.00) annually, in equal bi-weekly payments in accordance with the Company’s normal payroll practices. Executive shall pay and be responsible for all insurance, repairs and maintenance costs associated with operating the automobile. Executive is responsible for Executive’s gasoline, unless the gasoline expense is reimbursable under the Company's policies and procedures.</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22" w:name="page123"/>
    <w:bookmarkEnd w:id="122"/>
    <w:p>
      <w:pPr>
        <w:ind w:left="1780" w:hanging="895"/>
        <w:spacing w:after="0"/>
        <w:tabs>
          <w:tab w:leader="none" w:pos="17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Executive will be eligible to participate in the Company’s annual performance appraisal process.</w:t>
      </w:r>
    </w:p>
    <w:p>
      <w:pPr>
        <w:spacing w:after="0" w:line="233" w:lineRule="exact"/>
        <w:rPr>
          <w:sz w:val="20"/>
          <w:szCs w:val="20"/>
          <w:color w:val="auto"/>
        </w:rPr>
      </w:pPr>
    </w:p>
    <w:p>
      <w:pPr>
        <w:ind w:left="1700" w:hanging="815"/>
        <w:spacing w:after="0"/>
        <w:tabs>
          <w:tab w:leader="none" w:pos="170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DUTIES</w:t>
      </w:r>
    </w:p>
    <w:p>
      <w:pPr>
        <w:spacing w:after="0" w:line="233" w:lineRule="exact"/>
        <w:rPr>
          <w:sz w:val="20"/>
          <w:szCs w:val="20"/>
          <w:color w:val="auto"/>
        </w:rPr>
      </w:pPr>
    </w:p>
    <w:p>
      <w:pPr>
        <w:jc w:val="both"/>
        <w:ind w:right="140" w:firstLine="885"/>
        <w:spacing w:after="0" w:line="258" w:lineRule="auto"/>
        <w:tabs>
          <w:tab w:leader="none" w:pos="176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Executive shall perform such duties and functions consistent with the position of Senior Vice President, Store Sales and Operations and/or as the Company shall from time to time determine and Executive shall comply in the performance of Executive’s duties with the policies of, and be subject to the direction of the Company.</w:t>
      </w:r>
    </w:p>
    <w:p>
      <w:pPr>
        <w:spacing w:after="0" w:line="193" w:lineRule="exact"/>
        <w:rPr>
          <w:rFonts w:ascii="Arial" w:cs="Arial" w:eastAsia="Arial" w:hAnsi="Arial"/>
          <w:sz w:val="21"/>
          <w:szCs w:val="21"/>
          <w:color w:val="auto"/>
        </w:rPr>
      </w:pPr>
    </w:p>
    <w:p>
      <w:pPr>
        <w:ind w:right="500" w:firstLine="885"/>
        <w:spacing w:after="0" w:line="273" w:lineRule="auto"/>
        <w:tabs>
          <w:tab w:leader="none" w:pos="177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During the Term of Employment, Executive shall devote substantially all of his or her time and attention, vacation time and absences for sickness excepted, to the business of the Company, as necessary to fulfill Executive’s duties. Executive shall perform the duties assigned to him or her with fidelity and to the best of Executive’s</w:t>
      </w:r>
    </w:p>
    <w:p>
      <w:pPr>
        <w:spacing w:after="0" w:line="1" w:lineRule="exact"/>
        <w:rPr>
          <w:rFonts w:ascii="Arial" w:cs="Arial" w:eastAsia="Arial" w:hAnsi="Arial"/>
          <w:sz w:val="19"/>
          <w:szCs w:val="19"/>
          <w:color w:val="auto"/>
        </w:rPr>
      </w:pPr>
    </w:p>
    <w:p>
      <w:pPr>
        <w:ind w:right="80"/>
        <w:spacing w:after="0" w:line="234" w:lineRule="auto"/>
        <w:rPr>
          <w:rFonts w:ascii="Arial" w:cs="Arial" w:eastAsia="Arial" w:hAnsi="Arial"/>
          <w:sz w:val="19"/>
          <w:szCs w:val="19"/>
          <w:color w:val="auto"/>
        </w:rPr>
      </w:pPr>
      <w:r>
        <w:rPr>
          <w:rFonts w:ascii="Arial" w:cs="Arial" w:eastAsia="Arial" w:hAnsi="Arial"/>
          <w:sz w:val="22"/>
          <w:szCs w:val="22"/>
          <w:color w:val="auto"/>
        </w:rPr>
        <w:t>ability. Notwithstanding anything herein to the contrary, and subject to the foregoing, Executive shall not be prevented from accepting positions in outside organizations so long as such activities do not interfere with Executive's performance of Executive’s duties hereunder and do not violate paragraph 10 hereof.</w:t>
      </w:r>
    </w:p>
    <w:p>
      <w:pPr>
        <w:spacing w:after="0" w:line="214" w:lineRule="exact"/>
        <w:rPr>
          <w:rFonts w:ascii="Arial" w:cs="Arial" w:eastAsia="Arial" w:hAnsi="Arial"/>
          <w:sz w:val="19"/>
          <w:szCs w:val="19"/>
          <w:color w:val="auto"/>
        </w:rPr>
      </w:pPr>
    </w:p>
    <w:p>
      <w:pPr>
        <w:ind w:right="40" w:firstLine="885"/>
        <w:spacing w:after="0" w:line="287" w:lineRule="auto"/>
        <w:tabs>
          <w:tab w:leader="none" w:pos="181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principal location at which the Executive shall perform Executive’s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Executive’s duties hereunder, and Executive recognizes that such duties may involve travel.</w:t>
      </w:r>
    </w:p>
    <w:p>
      <w:pPr>
        <w:spacing w:after="0" w:line="170" w:lineRule="exact"/>
        <w:rPr>
          <w:sz w:val="20"/>
          <w:szCs w:val="20"/>
          <w:color w:val="auto"/>
        </w:rPr>
      </w:pPr>
    </w:p>
    <w:p>
      <w:pPr>
        <w:ind w:left="1700" w:hanging="815"/>
        <w:spacing w:after="0"/>
        <w:tabs>
          <w:tab w:leader="none" w:pos="170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EFFECT OF TERMINATION</w:t>
      </w:r>
    </w:p>
    <w:p>
      <w:pPr>
        <w:spacing w:after="0" w:line="233" w:lineRule="exact"/>
        <w:rPr>
          <w:sz w:val="20"/>
          <w:szCs w:val="20"/>
          <w:color w:val="auto"/>
        </w:rPr>
      </w:pPr>
    </w:p>
    <w:p>
      <w:pPr>
        <w:ind w:left="1780" w:hanging="895"/>
        <w:spacing w:after="0"/>
        <w:tabs>
          <w:tab w:leader="none" w:pos="17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Term of Employment may be terminated by the Company at any time:</w:t>
      </w:r>
    </w:p>
    <w:p>
      <w:pPr>
        <w:spacing w:after="0" w:line="233" w:lineRule="exact"/>
        <w:rPr>
          <w:rFonts w:ascii="Arial" w:cs="Arial" w:eastAsia="Arial" w:hAnsi="Arial"/>
          <w:sz w:val="22"/>
          <w:szCs w:val="22"/>
          <w:color w:val="auto"/>
        </w:rPr>
      </w:pPr>
    </w:p>
    <w:p>
      <w:pPr>
        <w:ind w:firstLine="1763"/>
        <w:spacing w:after="0" w:line="238" w:lineRule="auto"/>
        <w:tabs>
          <w:tab w:leader="none" w:pos="2607" w:val="left"/>
        </w:tabs>
        <w:numPr>
          <w:ilvl w:val="1"/>
          <w:numId w:val="129"/>
        </w:numPr>
        <w:rPr>
          <w:rFonts w:ascii="Arial" w:cs="Arial" w:eastAsia="Arial" w:hAnsi="Arial"/>
          <w:sz w:val="22"/>
          <w:szCs w:val="22"/>
          <w:color w:val="auto"/>
        </w:rPr>
      </w:pPr>
      <w:r>
        <w:rPr>
          <w:rFonts w:ascii="Arial" w:cs="Arial" w:eastAsia="Arial" w:hAnsi="Arial"/>
          <w:sz w:val="22"/>
          <w:szCs w:val="22"/>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212" w:lineRule="exact"/>
        <w:rPr>
          <w:rFonts w:ascii="Arial" w:cs="Arial" w:eastAsia="Arial" w:hAnsi="Arial"/>
          <w:sz w:val="22"/>
          <w:szCs w:val="22"/>
          <w:color w:val="auto"/>
        </w:rPr>
      </w:pPr>
    </w:p>
    <w:p>
      <w:pPr>
        <w:ind w:left="2680" w:hanging="917"/>
        <w:spacing w:after="0"/>
        <w:tabs>
          <w:tab w:leader="none" w:pos="268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upon the determination of the Company that there is justifiable cause (as hereinafter defined)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termination.</w:t>
      </w:r>
    </w:p>
    <w:p>
      <w:pPr>
        <w:spacing w:after="0" w:line="215" w:lineRule="exact"/>
        <w:rPr>
          <w:rFonts w:ascii="Arial" w:cs="Arial" w:eastAsia="Arial" w:hAnsi="Arial"/>
          <w:sz w:val="19"/>
          <w:szCs w:val="19"/>
          <w:color w:val="auto"/>
        </w:rPr>
      </w:pPr>
    </w:p>
    <w:p>
      <w:pPr>
        <w:ind w:left="1780" w:hanging="895"/>
        <w:spacing w:after="0"/>
        <w:tabs>
          <w:tab w:leader="none" w:pos="17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Term of Employment shall terminate upon:</w:t>
      </w:r>
    </w:p>
    <w:p>
      <w:pPr>
        <w:spacing w:after="0" w:line="233" w:lineRule="exact"/>
        <w:rPr>
          <w:rFonts w:ascii="Arial" w:cs="Arial" w:eastAsia="Arial" w:hAnsi="Arial"/>
          <w:sz w:val="22"/>
          <w:szCs w:val="22"/>
          <w:color w:val="auto"/>
        </w:rPr>
      </w:pPr>
    </w:p>
    <w:p>
      <w:pPr>
        <w:ind w:left="2620" w:hanging="857"/>
        <w:spacing w:after="0"/>
        <w:tabs>
          <w:tab w:leader="none" w:pos="262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death of Executive;</w:t>
      </w:r>
    </w:p>
    <w:p>
      <w:pPr>
        <w:spacing w:after="0" w:line="233" w:lineRule="exact"/>
        <w:rPr>
          <w:rFonts w:ascii="Arial" w:cs="Arial" w:eastAsia="Arial" w:hAnsi="Arial"/>
          <w:sz w:val="22"/>
          <w:szCs w:val="22"/>
          <w:color w:val="auto"/>
        </w:rPr>
      </w:pPr>
    </w:p>
    <w:p>
      <w:pPr>
        <w:ind w:right="600" w:firstLine="1763"/>
        <w:spacing w:after="0" w:line="274" w:lineRule="auto"/>
        <w:tabs>
          <w:tab w:leader="none" w:pos="2667" w:val="left"/>
        </w:tabs>
        <w:numPr>
          <w:ilvl w:val="1"/>
          <w:numId w:val="129"/>
        </w:numPr>
        <w:rPr>
          <w:rFonts w:ascii="Arial" w:cs="Arial" w:eastAsia="Arial" w:hAnsi="Arial"/>
          <w:sz w:val="21"/>
          <w:szCs w:val="21"/>
          <w:color w:val="auto"/>
        </w:rPr>
      </w:pPr>
      <w:r>
        <w:rPr>
          <w:rFonts w:ascii="Arial" w:cs="Arial" w:eastAsia="Arial" w:hAnsi="Arial"/>
          <w:sz w:val="21"/>
          <w:szCs w:val="21"/>
          <w:color w:val="auto"/>
        </w:rPr>
        <w:t>the date on which the Company elects to terminate the Term of Employment by reason of the "disability" of Executive (as hereinafter defined in subsection (c) herein) pursuant to subsection (g) hereof; or</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23" w:name="page124"/>
    <w:bookmarkEnd w:id="123"/>
    <w:p>
      <w:pPr>
        <w:ind w:left="2720" w:hanging="977"/>
        <w:spacing w:after="0"/>
        <w:tabs>
          <w:tab w:leader="none" w:pos="272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Executive’s resignation of employment.</w:t>
      </w:r>
    </w:p>
    <w:p>
      <w:pPr>
        <w:spacing w:after="0" w:line="233" w:lineRule="exact"/>
        <w:rPr>
          <w:rFonts w:ascii="Arial" w:cs="Arial" w:eastAsia="Arial" w:hAnsi="Arial"/>
          <w:sz w:val="22"/>
          <w:szCs w:val="22"/>
          <w:color w:val="auto"/>
        </w:rPr>
      </w:pPr>
    </w:p>
    <w:p>
      <w:pPr>
        <w:ind w:left="-20" w:right="640" w:firstLine="885"/>
        <w:spacing w:after="0" w:line="297" w:lineRule="auto"/>
        <w:tabs>
          <w:tab w:leader="none" w:pos="174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61" w:lineRule="exact"/>
        <w:rPr>
          <w:rFonts w:ascii="Arial" w:cs="Arial" w:eastAsia="Arial" w:hAnsi="Arial"/>
          <w:sz w:val="19"/>
          <w:szCs w:val="19"/>
          <w:color w:val="auto"/>
        </w:rPr>
      </w:pPr>
    </w:p>
    <w:p>
      <w:pPr>
        <w:ind w:left="-20" w:right="20" w:firstLine="885"/>
        <w:spacing w:after="0" w:line="272" w:lineRule="auto"/>
        <w:tabs>
          <w:tab w:leader="none" w:pos="175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Executive’s duties in a satisfactory manner; Executive's performance of any act or Executive’s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Executive’s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Executive’s termination of employment.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20" w:firstLine="885"/>
        <w:spacing w:after="0" w:line="245" w:lineRule="auto"/>
        <w:tabs>
          <w:tab w:leader="none" w:pos="1745"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If the Company terminates this Agreement without "justifiable cause" as provided in subsection 7(a)(i), the Company shall pay Executive his or her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208" w:lineRule="exact"/>
        <w:rPr>
          <w:rFonts w:ascii="Arial" w:cs="Arial" w:eastAsia="Arial" w:hAnsi="Arial"/>
          <w:sz w:val="21"/>
          <w:szCs w:val="21"/>
          <w:color w:val="auto"/>
        </w:rPr>
      </w:pPr>
    </w:p>
    <w:p>
      <w:pPr>
        <w:ind w:left="-20" w:right="240" w:firstLine="885"/>
        <w:spacing w:after="0" w:line="297" w:lineRule="auto"/>
        <w:tabs>
          <w:tab w:leader="none" w:pos="172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If Executive shall die during the term of Executive’s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Executive’s death.</w:t>
      </w:r>
    </w:p>
    <w:p>
      <w:pPr>
        <w:spacing w:after="0" w:line="161" w:lineRule="exact"/>
        <w:rPr>
          <w:rFonts w:ascii="Arial" w:cs="Arial" w:eastAsia="Arial" w:hAnsi="Arial"/>
          <w:sz w:val="19"/>
          <w:szCs w:val="19"/>
          <w:color w:val="auto"/>
        </w:rPr>
      </w:pPr>
    </w:p>
    <w:p>
      <w:pPr>
        <w:ind w:left="-20" w:right="320" w:firstLine="885"/>
        <w:spacing w:after="0" w:line="251" w:lineRule="auto"/>
        <w:tabs>
          <w:tab w:leader="none" w:pos="175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Upon Executive's "disability", the Company shall have the right to terminate Executive's employment. Any termination pursuant to this subsection (g) shall be effective 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34" w:right="23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the earlier of (i) the date 30 days after which Executive shall have received written notice of the Company's election to terminate or</w:t>
      </w:r>
    </w:p>
    <w:p>
      <w:pPr>
        <w:spacing w:after="0" w:line="43" w:lineRule="exact"/>
        <w:rPr>
          <w:sz w:val="20"/>
          <w:szCs w:val="20"/>
          <w:color w:val="auto"/>
        </w:rPr>
      </w:pPr>
    </w:p>
    <w:p>
      <w:pPr>
        <w:ind w:right="20" w:firstLine="8"/>
        <w:spacing w:after="0" w:line="237" w:lineRule="auto"/>
        <w:tabs>
          <w:tab w:leader="none" w:pos="31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date Executive begins to receive long-term disability insurance benefits under the policy provided by the Company pursuant to paragraph 5 hereof.</w:t>
      </w:r>
    </w:p>
    <w:p>
      <w:pPr>
        <w:spacing w:after="0" w:line="211" w:lineRule="exact"/>
        <w:rPr>
          <w:rFonts w:ascii="Arial" w:cs="Arial" w:eastAsia="Arial" w:hAnsi="Arial"/>
          <w:sz w:val="22"/>
          <w:szCs w:val="22"/>
          <w:color w:val="auto"/>
        </w:rPr>
      </w:pPr>
    </w:p>
    <w:p>
      <w:pPr>
        <w:ind w:right="100" w:firstLine="885"/>
        <w:spacing w:after="0" w:line="287" w:lineRule="auto"/>
        <w:tabs>
          <w:tab w:leader="none" w:pos="1778" w:val="left"/>
        </w:tabs>
        <w:numPr>
          <w:ilvl w:val="1"/>
          <w:numId w:val="132"/>
        </w:numPr>
        <w:rPr>
          <w:rFonts w:ascii="Arial" w:cs="Arial" w:eastAsia="Arial" w:hAnsi="Arial"/>
          <w:sz w:val="19"/>
          <w:szCs w:val="19"/>
          <w:color w:val="auto"/>
        </w:rPr>
      </w:pPr>
      <w:r>
        <w:rPr>
          <w:rFonts w:ascii="Arial" w:cs="Arial" w:eastAsia="Arial" w:hAnsi="Arial"/>
          <w:sz w:val="19"/>
          <w:szCs w:val="19"/>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Executive shall be entitled only to receive such portion of Executive’s annual Base Salary and reimbursement of expenses pursuant to paragraph 4 as have been accrued through the date of Executive’s resignation.</w:t>
      </w:r>
    </w:p>
    <w:p>
      <w:pPr>
        <w:spacing w:after="0" w:line="170" w:lineRule="exact"/>
        <w:rPr>
          <w:rFonts w:ascii="Arial" w:cs="Arial" w:eastAsia="Arial" w:hAnsi="Arial"/>
          <w:sz w:val="19"/>
          <w:szCs w:val="19"/>
          <w:color w:val="auto"/>
        </w:rPr>
      </w:pPr>
    </w:p>
    <w:p>
      <w:pPr>
        <w:ind w:firstLine="885"/>
        <w:spacing w:after="0" w:line="268" w:lineRule="auto"/>
        <w:tabs>
          <w:tab w:leader="none" w:pos="173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2016 Incentive Compensation Plan (without regard to any subsequent amendments thereto). For purposes of the foregoing, </w:t>
      </w:r>
      <w:r>
        <w:rPr>
          <w:rFonts w:ascii="Arial" w:cs="Arial" w:eastAsia="Arial" w:hAnsi="Arial"/>
          <w:sz w:val="19"/>
          <w:szCs w:val="19"/>
          <w:b w:val="1"/>
          <w:bCs w:val="1"/>
          <w:i w:val="1"/>
          <w:iCs w:val="1"/>
          <w:color w:val="auto"/>
        </w:rPr>
        <w:t>“</w:t>
      </w:r>
      <w:r>
        <w:rPr>
          <w:rFonts w:ascii="Arial" w:cs="Arial" w:eastAsia="Arial" w:hAnsi="Arial"/>
          <w:sz w:val="19"/>
          <w:szCs w:val="19"/>
          <w:i w:val="1"/>
          <w:iCs w:val="1"/>
          <w:color w:val="auto"/>
        </w:rPr>
        <w:t>Good Reason”</w:t>
      </w:r>
      <w:r>
        <w:rPr>
          <w:rFonts w:ascii="Arial" w:cs="Arial" w:eastAsia="Arial" w:hAnsi="Arial"/>
          <w:sz w:val="19"/>
          <w:szCs w:val="19"/>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Executive must perform the services under this Agreement; or (iv) any other action or inaction that constitutes a material breach by the Company of this Agreement. For purposes of this provision, Good Reason shall not be deemed to exist unless the Executive’s termination of employment for Good Reason occurs within 2 years following the initial existence of one of the conditions specified in clauses (i) through (iv) above, the Executive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w:t>
      </w:r>
    </w:p>
    <w:p>
      <w:pPr>
        <w:spacing w:after="0" w:line="1" w:lineRule="exact"/>
        <w:rPr>
          <w:rFonts w:ascii="Arial" w:cs="Arial" w:eastAsia="Arial" w:hAnsi="Arial"/>
          <w:sz w:val="19"/>
          <w:szCs w:val="19"/>
          <w:color w:val="auto"/>
        </w:rPr>
      </w:pPr>
    </w:p>
    <w:p>
      <w:pPr>
        <w:spacing w:after="0"/>
        <w:tabs>
          <w:tab w:leader="none" w:pos="0" w:val="left"/>
        </w:tabs>
        <w:numPr>
          <w:ilvl w:val="0"/>
          <w:numId w:val="133"/>
        </w:numPr>
        <w:rPr>
          <w:rFonts w:ascii="Arial" w:cs="Arial" w:eastAsia="Arial" w:hAnsi="Arial"/>
          <w:sz w:val="22"/>
          <w:szCs w:val="22"/>
          <w:color w:val="auto"/>
        </w:rPr>
      </w:pPr>
    </w:p>
    <w:p>
      <w:pPr>
        <w:spacing w:after="0" w:line="188" w:lineRule="exact"/>
        <w:rPr>
          <w:rFonts w:ascii="Arial" w:cs="Arial" w:eastAsia="Arial" w:hAnsi="Arial"/>
          <w:sz w:val="22"/>
          <w:szCs w:val="22"/>
          <w:color w:val="auto"/>
        </w:rPr>
      </w:pPr>
    </w:p>
    <w:p>
      <w:pPr>
        <w:ind w:right="180" w:firstLine="885"/>
        <w:spacing w:after="0" w:line="251" w:lineRule="auto"/>
        <w:tabs>
          <w:tab w:leader="none" w:pos="173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Clawback of Certain Compensation and Benefits</w:t>
      </w:r>
      <w:r>
        <w:rPr>
          <w:rFonts w:ascii="Arial" w:cs="Arial" w:eastAsia="Arial" w:hAnsi="Arial"/>
          <w:sz w:val="22"/>
          <w:szCs w:val="22"/>
          <w:i w:val="1"/>
          <w:iCs w:val="1"/>
          <w:color w:val="auto"/>
        </w:rPr>
        <w:t>.</w:t>
      </w:r>
      <w:r>
        <w:rPr>
          <w:rFonts w:ascii="Arial" w:cs="Arial" w:eastAsia="Arial" w:hAnsi="Arial"/>
          <w:sz w:val="22"/>
          <w:szCs w:val="22"/>
          <w:color w:val="auto"/>
        </w:rPr>
        <w:t xml:space="preserve"> If, after the termination of the Term of Employment for any reason other than by the Company for “justifiable cause”:</w:t>
      </w:r>
    </w:p>
    <w:p>
      <w:pPr>
        <w:spacing w:after="0" w:line="173" w:lineRule="exact"/>
        <w:rPr>
          <w:rFonts w:ascii="Arial" w:cs="Arial" w:eastAsia="Arial" w:hAnsi="Arial"/>
          <w:sz w:val="22"/>
          <w:szCs w:val="22"/>
          <w:color w:val="auto"/>
        </w:rPr>
      </w:pPr>
    </w:p>
    <w:p>
      <w:pPr>
        <w:ind w:right="40" w:firstLine="1763"/>
        <w:spacing w:after="0" w:line="287" w:lineRule="auto"/>
        <w:tabs>
          <w:tab w:leader="none" w:pos="2607" w:val="left"/>
        </w:tabs>
        <w:numPr>
          <w:ilvl w:val="2"/>
          <w:numId w:val="133"/>
        </w:numPr>
        <w:rPr>
          <w:rFonts w:ascii="Arial" w:cs="Arial" w:eastAsia="Arial" w:hAnsi="Arial"/>
          <w:sz w:val="19"/>
          <w:szCs w:val="19"/>
          <w:color w:val="auto"/>
        </w:rPr>
      </w:pPr>
      <w:r>
        <w:rPr>
          <w:rFonts w:ascii="Arial" w:cs="Arial" w:eastAsia="Arial" w:hAnsi="Arial"/>
          <w:sz w:val="19"/>
          <w:szCs w:val="19"/>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25" w:name="page126"/>
    <w:bookmarkEnd w:id="125"/>
    <w:p>
      <w:pPr>
        <w:ind w:right="120" w:firstLine="1763"/>
        <w:spacing w:after="0" w:line="238" w:lineRule="auto"/>
        <w:tabs>
          <w:tab w:leader="none" w:pos="2667"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85" w:lineRule="exact"/>
        <w:rPr>
          <w:rFonts w:ascii="Arial" w:cs="Arial" w:eastAsia="Arial" w:hAnsi="Arial"/>
          <w:sz w:val="22"/>
          <w:szCs w:val="22"/>
          <w:color w:val="auto"/>
        </w:rPr>
      </w:pPr>
    </w:p>
    <w:p>
      <w:pPr>
        <w:ind w:firstLine="2642"/>
        <w:spacing w:after="0" w:line="234" w:lineRule="auto"/>
        <w:tabs>
          <w:tab w:leader="none" w:pos="3582" w:val="left"/>
        </w:tabs>
        <w:numPr>
          <w:ilvl w:val="2"/>
          <w:numId w:val="134"/>
        </w:numPr>
        <w:rPr>
          <w:rFonts w:ascii="Arial" w:cs="Arial" w:eastAsia="Arial" w:hAnsi="Arial"/>
          <w:sz w:val="22"/>
          <w:szCs w:val="22"/>
          <w:color w:val="auto"/>
        </w:rPr>
      </w:pPr>
      <w:r>
        <w:rPr>
          <w:rFonts w:ascii="Arial" w:cs="Arial" w:eastAsia="Arial" w:hAnsi="Arial"/>
          <w:sz w:val="22"/>
          <w:szCs w:val="22"/>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91" w:lineRule="exact"/>
        <w:rPr>
          <w:rFonts w:ascii="Arial" w:cs="Arial" w:eastAsia="Arial" w:hAnsi="Arial"/>
          <w:sz w:val="22"/>
          <w:szCs w:val="22"/>
          <w:color w:val="auto"/>
        </w:rPr>
      </w:pPr>
    </w:p>
    <w:p>
      <w:pPr>
        <w:ind w:left="3580" w:hanging="938"/>
        <w:spacing w:after="0"/>
        <w:tabs>
          <w:tab w:leader="none" w:pos="3580" w:val="left"/>
        </w:tabs>
        <w:numPr>
          <w:ilvl w:val="2"/>
          <w:numId w:val="134"/>
        </w:numPr>
        <w:rPr>
          <w:rFonts w:ascii="Arial" w:cs="Arial" w:eastAsia="Arial" w:hAnsi="Arial"/>
          <w:sz w:val="22"/>
          <w:szCs w:val="22"/>
          <w:color w:val="auto"/>
        </w:rPr>
      </w:pPr>
      <w:r>
        <w:rPr>
          <w:rFonts w:ascii="Arial" w:cs="Arial" w:eastAsia="Arial" w:hAnsi="Arial"/>
          <w:sz w:val="22"/>
          <w:szCs w:val="22"/>
          <w:color w:val="auto"/>
        </w:rPr>
        <w:t>all vested and unvested Awards (as that term is defined in the 2016 Incentive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Compensation Plan) then held by the Executive shall immediately expire; and</w:t>
      </w:r>
    </w:p>
    <w:p>
      <w:pPr>
        <w:spacing w:after="0" w:line="188" w:lineRule="exact"/>
        <w:rPr>
          <w:rFonts w:ascii="Arial" w:cs="Arial" w:eastAsia="Arial" w:hAnsi="Arial"/>
          <w:sz w:val="22"/>
          <w:szCs w:val="22"/>
          <w:color w:val="auto"/>
        </w:rPr>
      </w:pPr>
    </w:p>
    <w:p>
      <w:pPr>
        <w:ind w:right="20" w:firstLine="2642"/>
        <w:spacing w:after="0" w:line="245" w:lineRule="auto"/>
        <w:tabs>
          <w:tab w:leader="none" w:pos="3570" w:val="left"/>
        </w:tabs>
        <w:numPr>
          <w:ilvl w:val="2"/>
          <w:numId w:val="134"/>
        </w:numPr>
        <w:rPr>
          <w:rFonts w:ascii="Arial" w:cs="Arial" w:eastAsia="Arial" w:hAnsi="Arial"/>
          <w:sz w:val="21"/>
          <w:szCs w:val="21"/>
          <w:color w:val="auto"/>
        </w:rPr>
      </w:pPr>
      <w:r>
        <w:rPr>
          <w:rFonts w:ascii="Arial" w:cs="Arial" w:eastAsia="Arial" w:hAnsi="Arial"/>
          <w:sz w:val="21"/>
          <w:szCs w:val="21"/>
          <w:color w:val="auto"/>
        </w:rPr>
        <w:t>the Executive shall be required to pay to the Company, immediately upon written demand by 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81" w:lineRule="exact"/>
        <w:rPr>
          <w:rFonts w:ascii="Arial" w:cs="Arial" w:eastAsia="Arial" w:hAnsi="Arial"/>
          <w:sz w:val="21"/>
          <w:szCs w:val="21"/>
          <w:color w:val="auto"/>
        </w:rPr>
      </w:pPr>
    </w:p>
    <w:p>
      <w:pPr>
        <w:ind w:right="80" w:firstLine="885"/>
        <w:spacing w:after="0" w:line="328" w:lineRule="auto"/>
        <w:tabs>
          <w:tab w:leader="none" w:pos="177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Any payment pursuant to paragraph 7(e) or 7(i) shall be contingent upon Executive’s execution of the General Release within 21 days after termination of the Term of Employment, and the Executive’s not revoking that release.</w:t>
      </w:r>
    </w:p>
    <w:p>
      <w:pPr>
        <w:spacing w:after="0" w:line="105" w:lineRule="exact"/>
        <w:rPr>
          <w:sz w:val="20"/>
          <w:szCs w:val="20"/>
          <w:color w:val="auto"/>
        </w:rPr>
      </w:pPr>
    </w:p>
    <w:p>
      <w:pPr>
        <w:ind w:left="1700" w:hanging="815"/>
        <w:spacing w:after="0"/>
        <w:tabs>
          <w:tab w:leader="none" w:pos="170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p>
    <w:p>
      <w:pPr>
        <w:spacing w:after="0" w:line="206" w:lineRule="exact"/>
        <w:rPr>
          <w:sz w:val="20"/>
          <w:szCs w:val="20"/>
          <w:color w:val="auto"/>
        </w:rPr>
      </w:pPr>
    </w:p>
    <w:p>
      <w:pPr>
        <w:ind w:firstLine="885"/>
        <w:spacing w:after="0" w:line="277" w:lineRule="auto"/>
        <w:tabs>
          <w:tab w:leader="none" w:pos="1765" w:val="left"/>
        </w:tabs>
        <w:numPr>
          <w:ilvl w:val="0"/>
          <w:numId w:val="137"/>
        </w:numPr>
        <w:rPr>
          <w:rFonts w:ascii="Arial" w:cs="Arial" w:eastAsia="Arial" w:hAnsi="Arial"/>
          <w:sz w:val="19"/>
          <w:szCs w:val="19"/>
          <w:color w:val="auto"/>
        </w:rPr>
      </w:pPr>
      <w:r>
        <w:rPr>
          <w:rFonts w:ascii="Arial" w:cs="Arial" w:eastAsia="Arial" w:hAnsi="Arial"/>
          <w:sz w:val="19"/>
          <w:szCs w:val="19"/>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26" w:name="page127"/>
    <w:bookmarkEnd w:id="126"/>
    <w:p>
      <w:pPr>
        <w:ind w:right="280" w:firstLine="885"/>
        <w:spacing w:after="0" w:line="297" w:lineRule="auto"/>
        <w:tabs>
          <w:tab w:leader="none" w:pos="177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34" w:lineRule="exact"/>
        <w:rPr>
          <w:rFonts w:ascii="Arial" w:cs="Arial" w:eastAsia="Arial" w:hAnsi="Arial"/>
          <w:sz w:val="19"/>
          <w:szCs w:val="19"/>
          <w:color w:val="auto"/>
        </w:rPr>
      </w:pPr>
    </w:p>
    <w:p>
      <w:pPr>
        <w:ind w:left="1780" w:hanging="895"/>
        <w:spacing w:after="0"/>
        <w:tabs>
          <w:tab w:leader="none" w:pos="178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6 Month Delay for “Specified Employees”.</w:t>
      </w:r>
    </w:p>
    <w:p>
      <w:pPr>
        <w:spacing w:after="0" w:line="206" w:lineRule="exact"/>
        <w:rPr>
          <w:rFonts w:ascii="Arial" w:cs="Arial" w:eastAsia="Arial" w:hAnsi="Arial"/>
          <w:sz w:val="22"/>
          <w:szCs w:val="22"/>
          <w:color w:val="auto"/>
        </w:rPr>
      </w:pPr>
    </w:p>
    <w:p>
      <w:pPr>
        <w:ind w:right="20" w:firstLine="1763"/>
        <w:spacing w:after="0" w:line="274" w:lineRule="auto"/>
        <w:tabs>
          <w:tab w:leader="none" w:pos="2607" w:val="left"/>
        </w:tabs>
        <w:numPr>
          <w:ilvl w:val="1"/>
          <w:numId w:val="138"/>
        </w:numPr>
        <w:rPr>
          <w:rFonts w:ascii="Arial" w:cs="Arial" w:eastAsia="Arial" w:hAnsi="Arial"/>
          <w:sz w:val="19"/>
          <w:szCs w:val="19"/>
          <w:color w:val="auto"/>
        </w:rPr>
      </w:pPr>
      <w:r>
        <w:rPr>
          <w:rFonts w:ascii="Arial" w:cs="Arial" w:eastAsia="Arial" w:hAnsi="Arial"/>
          <w:sz w:val="19"/>
          <w:szCs w:val="19"/>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85" w:lineRule="exact"/>
        <w:rPr>
          <w:rFonts w:ascii="Arial" w:cs="Arial" w:eastAsia="Arial" w:hAnsi="Arial"/>
          <w:sz w:val="19"/>
          <w:szCs w:val="19"/>
          <w:color w:val="auto"/>
        </w:rPr>
      </w:pPr>
    </w:p>
    <w:p>
      <w:pPr>
        <w:ind w:right="20" w:firstLine="1763"/>
        <w:spacing w:after="0" w:line="287" w:lineRule="auto"/>
        <w:tabs>
          <w:tab w:leader="none" w:pos="2667" w:val="left"/>
        </w:tabs>
        <w:numPr>
          <w:ilvl w:val="1"/>
          <w:numId w:val="138"/>
        </w:numPr>
        <w:rPr>
          <w:rFonts w:ascii="Arial" w:cs="Arial" w:eastAsia="Arial" w:hAnsi="Arial"/>
          <w:sz w:val="19"/>
          <w:szCs w:val="19"/>
          <w:color w:val="auto"/>
        </w:rPr>
      </w:pPr>
      <w:r>
        <w:rPr>
          <w:rFonts w:ascii="Arial" w:cs="Arial" w:eastAsia="Arial" w:hAnsi="Arial"/>
          <w:sz w:val="19"/>
          <w:szCs w:val="19"/>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9"/>
          <w:szCs w:val="19"/>
          <w:color w:val="auto"/>
        </w:rPr>
      </w:pPr>
    </w:p>
    <w:p>
      <w:pPr>
        <w:jc w:val="both"/>
        <w:ind w:right="260" w:firstLine="885"/>
        <w:spacing w:after="0" w:line="238" w:lineRule="auto"/>
        <w:tabs>
          <w:tab w:leader="none" w:pos="177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5" w:lineRule="exact"/>
        <w:rPr>
          <w:rFonts w:ascii="Arial" w:cs="Arial" w:eastAsia="Arial" w:hAnsi="Arial"/>
          <w:sz w:val="22"/>
          <w:szCs w:val="22"/>
          <w:color w:val="auto"/>
        </w:rPr>
      </w:pPr>
    </w:p>
    <w:p>
      <w:pPr>
        <w:ind w:right="20" w:firstLine="885"/>
        <w:spacing w:after="0" w:line="238" w:lineRule="auto"/>
        <w:tabs>
          <w:tab w:leader="none" w:pos="176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85" w:lineRule="exact"/>
        <w:rPr>
          <w:rFonts w:ascii="Arial" w:cs="Arial" w:eastAsia="Arial" w:hAnsi="Arial"/>
          <w:sz w:val="22"/>
          <w:szCs w:val="22"/>
          <w:color w:val="auto"/>
        </w:rPr>
      </w:pPr>
    </w:p>
    <w:p>
      <w:pPr>
        <w:ind w:left="1740" w:hanging="855"/>
        <w:spacing w:after="0"/>
        <w:tabs>
          <w:tab w:leader="none" w:pos="17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Taxable Reimbursements.</w:t>
      </w:r>
    </w:p>
    <w:p>
      <w:pPr>
        <w:spacing w:after="0" w:line="206" w:lineRule="exact"/>
        <w:rPr>
          <w:rFonts w:ascii="Arial" w:cs="Arial" w:eastAsia="Arial" w:hAnsi="Arial"/>
          <w:sz w:val="22"/>
          <w:szCs w:val="22"/>
          <w:color w:val="auto"/>
        </w:rPr>
      </w:pPr>
    </w:p>
    <w:p>
      <w:pPr>
        <w:jc w:val="both"/>
        <w:ind w:firstLine="1763"/>
        <w:spacing w:after="0" w:line="252" w:lineRule="auto"/>
        <w:tabs>
          <w:tab w:leader="none" w:pos="2607" w:val="left"/>
        </w:tabs>
        <w:numPr>
          <w:ilvl w:val="1"/>
          <w:numId w:val="138"/>
        </w:numPr>
        <w:rPr>
          <w:rFonts w:ascii="Arial" w:cs="Arial" w:eastAsia="Arial" w:hAnsi="Arial"/>
          <w:sz w:val="21"/>
          <w:szCs w:val="21"/>
          <w:color w:val="auto"/>
        </w:rPr>
      </w:pPr>
      <w:r>
        <w:rPr>
          <w:rFonts w:ascii="Arial" w:cs="Arial" w:eastAsia="Arial" w:hAnsi="Arial"/>
          <w:sz w:val="21"/>
          <w:szCs w:val="21"/>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7" w:name="page128"/>
    <w:bookmarkEnd w:id="127"/>
    <w:p>
      <w:pPr>
        <w:ind w:firstLine="1763"/>
        <w:spacing w:after="0" w:line="328" w:lineRule="auto"/>
        <w:tabs>
          <w:tab w:leader="none" w:pos="2667" w:val="left"/>
        </w:tabs>
        <w:numPr>
          <w:ilvl w:val="1"/>
          <w:numId w:val="139"/>
        </w:numPr>
        <w:rPr>
          <w:rFonts w:ascii="Arial" w:cs="Arial" w:eastAsia="Arial" w:hAnsi="Arial"/>
          <w:sz w:val="19"/>
          <w:szCs w:val="19"/>
          <w:color w:val="auto"/>
        </w:rPr>
      </w:pPr>
      <w:r>
        <w:rPr>
          <w:rFonts w:ascii="Arial" w:cs="Arial" w:eastAsia="Arial" w:hAnsi="Arial"/>
          <w:sz w:val="19"/>
          <w:szCs w:val="19"/>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05" w:lineRule="exact"/>
        <w:rPr>
          <w:rFonts w:ascii="Arial" w:cs="Arial" w:eastAsia="Arial" w:hAnsi="Arial"/>
          <w:sz w:val="19"/>
          <w:szCs w:val="19"/>
          <w:color w:val="auto"/>
        </w:rPr>
      </w:pPr>
    </w:p>
    <w:p>
      <w:pPr>
        <w:ind w:left="2740" w:hanging="977"/>
        <w:spacing w:after="0"/>
        <w:tabs>
          <w:tab w:leader="none" w:pos="274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The right to Taxable Reimbursements shall not be subject to liquidation or exchange for another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benefit.</w:t>
      </w:r>
    </w:p>
    <w:p>
      <w:pPr>
        <w:spacing w:after="0" w:line="188" w:lineRule="exact"/>
        <w:rPr>
          <w:rFonts w:ascii="Arial" w:cs="Arial" w:eastAsia="Arial" w:hAnsi="Arial"/>
          <w:sz w:val="19"/>
          <w:szCs w:val="19"/>
          <w:color w:val="auto"/>
        </w:rPr>
      </w:pPr>
    </w:p>
    <w:p>
      <w:pPr>
        <w:ind w:left="1700" w:hanging="815"/>
        <w:spacing w:after="0"/>
        <w:tabs>
          <w:tab w:leader="none" w:pos="170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REPRESENTATION AND AGREEMENTS OF EXECUTIVE</w:t>
      </w:r>
    </w:p>
    <w:p>
      <w:pPr>
        <w:spacing w:after="0" w:line="233" w:lineRule="exact"/>
        <w:rPr>
          <w:sz w:val="20"/>
          <w:szCs w:val="20"/>
          <w:color w:val="auto"/>
        </w:rPr>
      </w:pPr>
    </w:p>
    <w:p>
      <w:pPr>
        <w:ind w:right="100" w:firstLine="885"/>
        <w:spacing w:after="0"/>
        <w:tabs>
          <w:tab w:leader="none" w:pos="176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Executive represents and warrants that Executive is free to enter into this Agreement and to perform the duties required hereunder, and that there are no employment contracts or understandings, restrictive covenants or other restrictions, whether written or oral, preventing the performance of Executive’s duties hereunder.</w:t>
      </w:r>
    </w:p>
    <w:p>
      <w:pPr>
        <w:spacing w:after="0" w:line="213" w:lineRule="exact"/>
        <w:rPr>
          <w:rFonts w:ascii="Arial" w:cs="Arial" w:eastAsia="Arial" w:hAnsi="Arial"/>
          <w:sz w:val="22"/>
          <w:szCs w:val="22"/>
          <w:color w:val="auto"/>
        </w:rPr>
      </w:pPr>
    </w:p>
    <w:p>
      <w:pPr>
        <w:jc w:val="both"/>
        <w:ind w:right="160" w:firstLine="885"/>
        <w:spacing w:after="0" w:line="297" w:lineRule="auto"/>
        <w:tabs>
          <w:tab w:leader="none" w:pos="177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61" w:lineRule="exact"/>
        <w:rPr>
          <w:rFonts w:ascii="Arial" w:cs="Arial" w:eastAsia="Arial" w:hAnsi="Arial"/>
          <w:sz w:val="19"/>
          <w:szCs w:val="19"/>
          <w:color w:val="auto"/>
        </w:rPr>
      </w:pPr>
    </w:p>
    <w:p>
      <w:pPr>
        <w:jc w:val="both"/>
        <w:ind w:right="220" w:firstLine="885"/>
        <w:spacing w:after="0"/>
        <w:tabs>
          <w:tab w:leader="none" w:pos="176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Executive represents and warrants that Executive has never been convicted of a felony and Executive has not been convicted or incarcerated for a misdemeanor within the past five years, other than a first conviction for drunkenness, simple assault, speeding, minor traffic violations, affray, or disturbance of the peace.</w:t>
      </w:r>
    </w:p>
    <w:p>
      <w:pPr>
        <w:spacing w:after="0" w:line="213" w:lineRule="exact"/>
        <w:rPr>
          <w:rFonts w:ascii="Arial" w:cs="Arial" w:eastAsia="Arial" w:hAnsi="Arial"/>
          <w:sz w:val="22"/>
          <w:szCs w:val="22"/>
          <w:color w:val="auto"/>
        </w:rPr>
      </w:pPr>
    </w:p>
    <w:p>
      <w:pPr>
        <w:ind w:right="140" w:firstLine="885"/>
        <w:spacing w:after="0" w:line="297" w:lineRule="auto"/>
        <w:tabs>
          <w:tab w:leader="none" w:pos="177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Executive represents and warrants that Executive has never been a party to any judicial or administrative proceeding that resulted in a judgement, decree, or final order (i) enjoining him or her from future violations of, or prohibiting any violations of any federal or state securities law, or (ii) finding any violations of any federal or state securities law.</w:t>
      </w:r>
    </w:p>
    <w:p>
      <w:pPr>
        <w:spacing w:after="0" w:line="161" w:lineRule="exact"/>
        <w:rPr>
          <w:rFonts w:ascii="Arial" w:cs="Arial" w:eastAsia="Arial" w:hAnsi="Arial"/>
          <w:sz w:val="19"/>
          <w:szCs w:val="19"/>
          <w:color w:val="auto"/>
        </w:rPr>
      </w:pPr>
    </w:p>
    <w:p>
      <w:pPr>
        <w:ind w:right="420" w:firstLine="885"/>
        <w:spacing w:after="0" w:line="251" w:lineRule="auto"/>
        <w:tabs>
          <w:tab w:leader="none" w:pos="176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Executive represents and warrants that Executive has never been accused of any impropriety in connection with any employment;</w:t>
      </w:r>
    </w:p>
    <w:p>
      <w:pPr>
        <w:spacing w:after="0" w:line="200" w:lineRule="exact"/>
        <w:rPr>
          <w:sz w:val="20"/>
          <w:szCs w:val="20"/>
          <w:color w:val="auto"/>
        </w:rPr>
      </w:pPr>
    </w:p>
    <w:p>
      <w:pPr>
        <w:ind w:right="60" w:firstLine="877"/>
        <w:spacing w:after="0" w:line="251" w:lineRule="auto"/>
        <w:rPr>
          <w:sz w:val="20"/>
          <w:szCs w:val="20"/>
          <w:color w:val="auto"/>
        </w:rPr>
      </w:pPr>
      <w:r>
        <w:rPr>
          <w:rFonts w:ascii="Arial" w:cs="Arial" w:eastAsia="Arial" w:hAnsi="Arial"/>
          <w:sz w:val="22"/>
          <w:szCs w:val="22"/>
          <w:color w:val="auto"/>
        </w:rPr>
        <w:t>Any breach of any of the above representations and warranties is "justifiable cause" for termination under paragraph 7(d) of this Agreement.</w:t>
      </w:r>
    </w:p>
    <w:p>
      <w:pPr>
        <w:spacing w:after="0" w:line="200" w:lineRule="exact"/>
        <w:rPr>
          <w:sz w:val="20"/>
          <w:szCs w:val="20"/>
          <w:color w:val="auto"/>
        </w:rPr>
      </w:pPr>
    </w:p>
    <w:p>
      <w:pPr>
        <w:ind w:left="1860" w:hanging="975"/>
        <w:spacing w:after="0"/>
        <w:tabs>
          <w:tab w:leader="none" w:pos="186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NON-COMPETITION</w:t>
      </w:r>
    </w:p>
    <w:p>
      <w:pPr>
        <w:spacing w:after="0" w:line="233" w:lineRule="exact"/>
        <w:rPr>
          <w:sz w:val="20"/>
          <w:szCs w:val="20"/>
          <w:color w:val="auto"/>
        </w:rPr>
      </w:pPr>
    </w:p>
    <w:p>
      <w:pPr>
        <w:ind w:right="20" w:firstLine="885"/>
        <w:spacing w:after="0" w:line="277" w:lineRule="auto"/>
        <w:tabs>
          <w:tab w:leader="none" w:pos="176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8" w:name="page129"/>
    <w:bookmarkEnd w:id="128"/>
    <w:p>
      <w:pPr>
        <w:ind w:right="60"/>
        <w:spacing w:after="0" w:line="275" w:lineRule="auto"/>
        <w:rPr>
          <w:sz w:val="20"/>
          <w:szCs w:val="20"/>
          <w:color w:val="auto"/>
        </w:rPr>
      </w:pPr>
      <w:r>
        <w:rPr>
          <w:rFonts w:ascii="Arial" w:cs="Arial" w:eastAsia="Arial" w:hAnsi="Arial"/>
          <w:sz w:val="19"/>
          <w:szCs w:val="19"/>
          <w:color w:val="auto"/>
        </w:rPr>
        <w:t>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85" w:lineRule="exact"/>
        <w:rPr>
          <w:sz w:val="20"/>
          <w:szCs w:val="20"/>
          <w:color w:val="auto"/>
        </w:rPr>
      </w:pPr>
    </w:p>
    <w:p>
      <w:pPr>
        <w:ind w:right="140" w:firstLine="885"/>
        <w:spacing w:after="0" w:line="282" w:lineRule="auto"/>
        <w:tabs>
          <w:tab w:leader="none" w:pos="177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74" w:lineRule="exact"/>
        <w:rPr>
          <w:rFonts w:ascii="Arial" w:cs="Arial" w:eastAsia="Arial" w:hAnsi="Arial"/>
          <w:sz w:val="19"/>
          <w:szCs w:val="19"/>
          <w:color w:val="auto"/>
        </w:rPr>
      </w:pPr>
    </w:p>
    <w:p>
      <w:pPr>
        <w:ind w:right="200" w:firstLine="885"/>
        <w:spacing w:after="0" w:line="279" w:lineRule="auto"/>
        <w:tabs>
          <w:tab w:leader="none" w:pos="176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77" w:lineRule="exact"/>
        <w:rPr>
          <w:rFonts w:ascii="Arial" w:cs="Arial" w:eastAsia="Arial" w:hAnsi="Arial"/>
          <w:sz w:val="19"/>
          <w:szCs w:val="19"/>
          <w:color w:val="auto"/>
        </w:rPr>
      </w:pPr>
    </w:p>
    <w:p>
      <w:pPr>
        <w:ind w:firstLine="885"/>
        <w:spacing w:after="0" w:line="236" w:lineRule="auto"/>
        <w:tabs>
          <w:tab w:leader="none" w:pos="1778"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15" w:lineRule="exact"/>
        <w:rPr>
          <w:sz w:val="20"/>
          <w:szCs w:val="20"/>
          <w:color w:val="auto"/>
        </w:rPr>
      </w:pPr>
    </w:p>
    <w:p>
      <w:pPr>
        <w:ind w:left="1800" w:hanging="915"/>
        <w:spacing w:after="0"/>
        <w:tabs>
          <w:tab w:leader="none" w:pos="180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INVENTIONS AND DISCOVERIES</w:t>
      </w:r>
    </w:p>
    <w:p>
      <w:pPr>
        <w:spacing w:after="0" w:line="233" w:lineRule="exact"/>
        <w:rPr>
          <w:sz w:val="20"/>
          <w:szCs w:val="20"/>
          <w:color w:val="auto"/>
        </w:rPr>
      </w:pPr>
    </w:p>
    <w:p>
      <w:pPr>
        <w:ind w:right="40" w:firstLine="885"/>
        <w:spacing w:after="0" w:line="234" w:lineRule="auto"/>
        <w:tabs>
          <w:tab w:leader="none" w:pos="1765" w:val="left"/>
        </w:tabs>
        <w:numPr>
          <w:ilvl w:val="0"/>
          <w:numId w:val="146"/>
        </w:numPr>
        <w:rPr>
          <w:rFonts w:ascii="Arial" w:cs="Arial" w:eastAsia="Arial" w:hAnsi="Arial"/>
          <w:sz w:val="22"/>
          <w:szCs w:val="22"/>
          <w:color w:val="auto"/>
        </w:rPr>
      </w:pPr>
      <w:r>
        <w:rPr>
          <w:rFonts w:ascii="Arial" w:cs="Arial" w:eastAsia="Arial" w:hAnsi="Arial"/>
          <w:sz w:val="22"/>
          <w:szCs w:val="22"/>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Executive’s employment with, or rendering of advisory or consulting services to, the Company or any of its subsidiaries and affiliates, solely or jointly with others, in or relating to</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29" w:name="page130"/>
    <w:bookmarkEnd w:id="129"/>
    <w:p>
      <w:pPr>
        <w:ind w:right="40"/>
        <w:spacing w:after="0" w:line="251" w:lineRule="auto"/>
        <w:rPr>
          <w:sz w:val="20"/>
          <w:szCs w:val="20"/>
          <w:color w:val="auto"/>
        </w:rPr>
      </w:pPr>
      <w:r>
        <w:rPr>
          <w:rFonts w:ascii="Arial" w:cs="Arial" w:eastAsia="Arial" w:hAnsi="Arial"/>
          <w:sz w:val="22"/>
          <w:szCs w:val="22"/>
          <w:color w:val="auto"/>
        </w:rPr>
        <w:t>any activities of the Company or its subsidiaries and affiliates known to him or her as a consequence of Executive’s employment or the rendering of advisory and consulting services hereunder (collectively the "Subject Matter").</w:t>
      </w:r>
    </w:p>
    <w:p>
      <w:pPr>
        <w:spacing w:after="0" w:line="200" w:lineRule="exact"/>
        <w:rPr>
          <w:sz w:val="20"/>
          <w:szCs w:val="20"/>
          <w:color w:val="auto"/>
        </w:rPr>
      </w:pPr>
    </w:p>
    <w:p>
      <w:pPr>
        <w:ind w:right="40" w:firstLine="885"/>
        <w:spacing w:after="0" w:line="274" w:lineRule="auto"/>
        <w:tabs>
          <w:tab w:leader="none" w:pos="177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Executive hereby assigns and transfers, and agrees to assign and transfer, to the Company, all Executive’s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00" w:lineRule="exact"/>
        <w:rPr>
          <w:sz w:val="20"/>
          <w:szCs w:val="20"/>
          <w:color w:val="auto"/>
        </w:rPr>
      </w:pPr>
    </w:p>
    <w:p>
      <w:pPr>
        <w:spacing w:after="0" w:line="229" w:lineRule="exact"/>
        <w:rPr>
          <w:sz w:val="20"/>
          <w:szCs w:val="20"/>
          <w:color w:val="auto"/>
        </w:rPr>
      </w:pPr>
    </w:p>
    <w:p>
      <w:pPr>
        <w:ind w:left="1800" w:hanging="915"/>
        <w:spacing w:after="0"/>
        <w:tabs>
          <w:tab w:leader="none" w:pos="180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w:t>
      </w:r>
    </w:p>
    <w:p>
      <w:pPr>
        <w:spacing w:after="0" w:line="233" w:lineRule="exact"/>
        <w:rPr>
          <w:sz w:val="20"/>
          <w:szCs w:val="20"/>
          <w:color w:val="auto"/>
        </w:rPr>
      </w:pPr>
    </w:p>
    <w:p>
      <w:pPr>
        <w:ind w:firstLine="885"/>
        <w:spacing w:after="0" w:line="270" w:lineRule="auto"/>
        <w:tabs>
          <w:tab w:leader="none" w:pos="176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Executive acknowledges that the Company possesses certain confidential and propriety information that has been or may be revealed to him or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Executive’s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or her during the course of, or as an incident to, Executive’s employment or the rendering of Executive’s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30" w:name="page131"/>
    <w:bookmarkEnd w:id="130"/>
    <w:p>
      <w:pPr>
        <w:ind w:right="360" w:firstLine="885"/>
        <w:spacing w:after="0" w:line="282" w:lineRule="auto"/>
        <w:tabs>
          <w:tab w:leader="none" w:pos="1778"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75" w:lineRule="exact"/>
        <w:rPr>
          <w:sz w:val="20"/>
          <w:szCs w:val="20"/>
          <w:color w:val="auto"/>
        </w:rPr>
      </w:pPr>
    </w:p>
    <w:p>
      <w:pPr>
        <w:ind w:left="1800" w:hanging="915"/>
        <w:spacing w:after="0"/>
        <w:tabs>
          <w:tab w:leader="none" w:pos="180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p>
    <w:p>
      <w:pPr>
        <w:spacing w:after="0" w:line="233" w:lineRule="exact"/>
        <w:rPr>
          <w:sz w:val="20"/>
          <w:szCs w:val="20"/>
          <w:color w:val="auto"/>
        </w:rPr>
      </w:pPr>
    </w:p>
    <w:p>
      <w:pPr>
        <w:ind w:firstLine="877"/>
        <w:spacing w:after="0" w:line="270" w:lineRule="auto"/>
        <w:rPr>
          <w:sz w:val="20"/>
          <w:szCs w:val="20"/>
          <w:color w:val="auto"/>
        </w:rPr>
      </w:pPr>
      <w:r>
        <w:rPr>
          <w:rFonts w:ascii="Arial" w:cs="Arial" w:eastAsia="Arial" w:hAnsi="Arial"/>
          <w:sz w:val="19"/>
          <w:szCs w:val="19"/>
          <w:color w:val="auto"/>
        </w:rPr>
        <w:t>Executive agrees that if Executive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w:t>
      </w:r>
    </w:p>
    <w:p>
      <w:pPr>
        <w:spacing w:after="0" w:line="4"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Company. Notwithstanding the foregoing, nothing herein shall constitute a waiver by Executive of Executive’s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16" w:lineRule="exact"/>
        <w:rPr>
          <w:sz w:val="20"/>
          <w:szCs w:val="20"/>
          <w:color w:val="auto"/>
        </w:rPr>
      </w:pPr>
    </w:p>
    <w:p>
      <w:pPr>
        <w:ind w:left="1800" w:hanging="915"/>
        <w:spacing w:after="0"/>
        <w:tabs>
          <w:tab w:leader="none" w:pos="180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AMENDMENT OR ALTERATION</w:t>
      </w:r>
    </w:p>
    <w:p>
      <w:pPr>
        <w:spacing w:after="0" w:line="233" w:lineRule="exact"/>
        <w:rPr>
          <w:sz w:val="20"/>
          <w:szCs w:val="20"/>
          <w:color w:val="auto"/>
        </w:rPr>
      </w:pPr>
    </w:p>
    <w:p>
      <w:pPr>
        <w:ind w:right="180" w:firstLine="877"/>
        <w:spacing w:after="0" w:line="251" w:lineRule="auto"/>
        <w:rPr>
          <w:sz w:val="20"/>
          <w:szCs w:val="20"/>
          <w:color w:val="auto"/>
        </w:rPr>
      </w:pPr>
      <w:r>
        <w:rPr>
          <w:rFonts w:ascii="Arial" w:cs="Arial" w:eastAsia="Arial" w:hAnsi="Arial"/>
          <w:sz w:val="22"/>
          <w:szCs w:val="22"/>
          <w:color w:val="auto"/>
        </w:rPr>
        <w:t>No amendment or alteration of the terms of this Agreement shall be valid unless made in writing and signed by both of the parties hereto.</w:t>
      </w:r>
    </w:p>
    <w:p>
      <w:pPr>
        <w:spacing w:after="0" w:line="200" w:lineRule="exact"/>
        <w:rPr>
          <w:sz w:val="20"/>
          <w:szCs w:val="20"/>
          <w:color w:val="auto"/>
        </w:rPr>
      </w:pPr>
    </w:p>
    <w:p>
      <w:pPr>
        <w:ind w:left="1800" w:hanging="915"/>
        <w:spacing w:after="0"/>
        <w:tabs>
          <w:tab w:leader="none" w:pos="1800"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GOVERNING LAW</w:t>
      </w:r>
    </w:p>
    <w:p>
      <w:pPr>
        <w:spacing w:after="0" w:line="233" w:lineRule="exact"/>
        <w:rPr>
          <w:sz w:val="20"/>
          <w:szCs w:val="20"/>
          <w:color w:val="auto"/>
        </w:rPr>
      </w:pPr>
    </w:p>
    <w:p>
      <w:pPr>
        <w:ind w:right="700" w:firstLine="877"/>
        <w:spacing w:after="0" w:line="251" w:lineRule="auto"/>
        <w:rPr>
          <w:sz w:val="20"/>
          <w:szCs w:val="20"/>
          <w:color w:val="auto"/>
        </w:rPr>
      </w:pPr>
      <w:r>
        <w:rPr>
          <w:rFonts w:ascii="Arial" w:cs="Arial" w:eastAsia="Arial" w:hAnsi="Arial"/>
          <w:sz w:val="22"/>
          <w:szCs w:val="22"/>
          <w:color w:val="auto"/>
        </w:rPr>
        <w:t>This Agreement shall be governed by, and construed and enforced in accordance with the substantive laws of the Commonwealth of Massachusetts, without regard to its principles of conflicts of laws.</w:t>
      </w:r>
    </w:p>
    <w:p>
      <w:pPr>
        <w:spacing w:after="0" w:line="200" w:lineRule="exact"/>
        <w:rPr>
          <w:sz w:val="20"/>
          <w:szCs w:val="20"/>
          <w:color w:val="auto"/>
        </w:rPr>
      </w:pPr>
    </w:p>
    <w:p>
      <w:pPr>
        <w:ind w:left="1800" w:hanging="915"/>
        <w:spacing w:after="0"/>
        <w:tabs>
          <w:tab w:leader="none" w:pos="180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SEVERABILITY</w:t>
      </w:r>
    </w:p>
    <w:p>
      <w:pPr>
        <w:spacing w:after="0" w:line="233" w:lineRule="exact"/>
        <w:rPr>
          <w:sz w:val="20"/>
          <w:szCs w:val="20"/>
          <w:color w:val="auto"/>
        </w:rPr>
      </w:pPr>
    </w:p>
    <w:p>
      <w:pPr>
        <w:ind w:right="60" w:firstLine="877"/>
        <w:spacing w:after="0" w:line="251" w:lineRule="auto"/>
        <w:rPr>
          <w:sz w:val="20"/>
          <w:szCs w:val="20"/>
          <w:color w:val="auto"/>
        </w:rPr>
      </w:pPr>
      <w:r>
        <w:rPr>
          <w:rFonts w:ascii="Arial" w:cs="Arial" w:eastAsia="Arial" w:hAnsi="Arial"/>
          <w:sz w:val="22"/>
          <w:szCs w:val="22"/>
          <w:color w:val="auto"/>
        </w:rPr>
        <w:t>The holding of any provision of this Agreement to be invalid or unenforceable by a court of competent jurisdiction shall not affect any other provision of this Agreement, which shall remain in full force and effect.</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131" w:name="page132"/>
    <w:bookmarkEnd w:id="131"/>
    <w:p>
      <w:pPr>
        <w:ind w:left="1800" w:hanging="915"/>
        <w:spacing w:after="0"/>
        <w:tabs>
          <w:tab w:leader="none" w:pos="180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NOTICES</w:t>
      </w:r>
    </w:p>
    <w:p>
      <w:pPr>
        <w:spacing w:after="0" w:line="233" w:lineRule="exact"/>
        <w:rPr>
          <w:sz w:val="20"/>
          <w:szCs w:val="20"/>
          <w:color w:val="auto"/>
        </w:rPr>
      </w:pPr>
    </w:p>
    <w:p>
      <w:pPr>
        <w:ind w:right="40" w:firstLine="877"/>
        <w:spacing w:after="0" w:line="238" w:lineRule="auto"/>
        <w:rPr>
          <w:sz w:val="20"/>
          <w:szCs w:val="20"/>
          <w:color w:val="auto"/>
        </w:rPr>
      </w:pPr>
      <w:r>
        <w:rPr>
          <w:rFonts w:ascii="Arial" w:cs="Arial" w:eastAsia="Arial" w:hAnsi="Arial"/>
          <w:sz w:val="22"/>
          <w:szCs w:val="22"/>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12" w:lineRule="exact"/>
        <w:rPr>
          <w:sz w:val="20"/>
          <w:szCs w:val="20"/>
          <w:color w:val="auto"/>
        </w:rPr>
      </w:pPr>
    </w:p>
    <w:p>
      <w:pPr>
        <w:ind w:left="1800" w:hanging="915"/>
        <w:spacing w:after="0"/>
        <w:tabs>
          <w:tab w:leader="none" w:pos="180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WAIVER OR BREACH</w:t>
      </w:r>
    </w:p>
    <w:p>
      <w:pPr>
        <w:spacing w:after="0" w:line="233"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It is agreed that a waiver by either party of a breach of any provision of this Agreement shall not operate, or be construed as a waiver of any subsequent breach by that same party.</w:t>
      </w:r>
    </w:p>
    <w:p>
      <w:pPr>
        <w:spacing w:after="0" w:line="200" w:lineRule="exact"/>
        <w:rPr>
          <w:sz w:val="20"/>
          <w:szCs w:val="20"/>
          <w:color w:val="auto"/>
        </w:rPr>
      </w:pPr>
    </w:p>
    <w:p>
      <w:pPr>
        <w:ind w:left="1800" w:hanging="915"/>
        <w:spacing w:after="0"/>
        <w:tabs>
          <w:tab w:leader="none" w:pos="1800"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ENTIRE AGREEMENT AND BINDING EFFECT</w:t>
      </w:r>
    </w:p>
    <w:p>
      <w:pPr>
        <w:spacing w:after="0" w:line="233" w:lineRule="exact"/>
        <w:rPr>
          <w:sz w:val="20"/>
          <w:szCs w:val="20"/>
          <w:color w:val="auto"/>
        </w:rPr>
      </w:pPr>
    </w:p>
    <w:p>
      <w:pPr>
        <w:ind w:firstLine="877"/>
        <w:spacing w:after="0" w:line="245" w:lineRule="auto"/>
        <w:rPr>
          <w:sz w:val="20"/>
          <w:szCs w:val="20"/>
          <w:color w:val="auto"/>
        </w:rPr>
      </w:pPr>
      <w:r>
        <w:rPr>
          <w:rFonts w:ascii="Arial" w:cs="Arial" w:eastAsia="Arial" w:hAnsi="Arial"/>
          <w:sz w:val="21"/>
          <w:szCs w:val="21"/>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Executive’s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09" w:lineRule="exact"/>
        <w:rPr>
          <w:sz w:val="20"/>
          <w:szCs w:val="20"/>
          <w:color w:val="auto"/>
        </w:rPr>
      </w:pPr>
    </w:p>
    <w:p>
      <w:pPr>
        <w:ind w:left="1800" w:hanging="915"/>
        <w:spacing w:after="0"/>
        <w:tabs>
          <w:tab w:leader="none" w:pos="1800"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SURVIVAL</w:t>
      </w:r>
    </w:p>
    <w:p>
      <w:pPr>
        <w:spacing w:after="0" w:line="233" w:lineRule="exact"/>
        <w:rPr>
          <w:sz w:val="20"/>
          <w:szCs w:val="20"/>
          <w:color w:val="auto"/>
        </w:rPr>
      </w:pPr>
    </w:p>
    <w:p>
      <w:pPr>
        <w:ind w:right="20" w:firstLine="877"/>
        <w:spacing w:after="0"/>
        <w:rPr>
          <w:sz w:val="20"/>
          <w:szCs w:val="20"/>
          <w:color w:val="auto"/>
        </w:rPr>
      </w:pPr>
      <w:r>
        <w:rPr>
          <w:rFonts w:ascii="Arial" w:cs="Arial" w:eastAsia="Arial" w:hAnsi="Arial"/>
          <w:sz w:val="22"/>
          <w:szCs w:val="22"/>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13" w:lineRule="exact"/>
        <w:rPr>
          <w:sz w:val="20"/>
          <w:szCs w:val="20"/>
          <w:color w:val="auto"/>
        </w:rPr>
      </w:pPr>
    </w:p>
    <w:p>
      <w:pPr>
        <w:ind w:left="1800" w:hanging="915"/>
        <w:spacing w:after="0"/>
        <w:tabs>
          <w:tab w:leader="none" w:pos="1800"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RESOLUTION OF DISPUTES</w:t>
      </w:r>
    </w:p>
    <w:p>
      <w:pPr>
        <w:spacing w:after="0" w:line="233" w:lineRule="exact"/>
        <w:rPr>
          <w:sz w:val="20"/>
          <w:szCs w:val="20"/>
          <w:color w:val="auto"/>
        </w:rPr>
      </w:pPr>
    </w:p>
    <w:p>
      <w:pPr>
        <w:ind w:right="700" w:firstLine="877"/>
        <w:spacing w:after="0" w:line="251" w:lineRule="auto"/>
        <w:rPr>
          <w:sz w:val="20"/>
          <w:szCs w:val="20"/>
          <w:color w:val="auto"/>
        </w:rPr>
      </w:pPr>
      <w:r>
        <w:rPr>
          <w:rFonts w:ascii="Arial" w:cs="Arial" w:eastAsia="Arial" w:hAnsi="Arial"/>
          <w:sz w:val="22"/>
          <w:szCs w:val="22"/>
          <w:color w:val="auto"/>
        </w:rPr>
        <w:t>Any and all disputes arising under or in connection with this Agreement shall be resolved in accordance with this paragraph 21 and paragraph 15.</w:t>
      </w:r>
    </w:p>
    <w:p>
      <w:pPr>
        <w:spacing w:after="0" w:line="200" w:lineRule="exact"/>
        <w:rPr>
          <w:sz w:val="20"/>
          <w:szCs w:val="20"/>
          <w:color w:val="auto"/>
        </w:rPr>
      </w:pPr>
    </w:p>
    <w:p>
      <w:pPr>
        <w:ind w:right="40" w:firstLine="877"/>
        <w:spacing w:after="0" w:line="236" w:lineRule="auto"/>
        <w:rPr>
          <w:sz w:val="20"/>
          <w:szCs w:val="20"/>
          <w:color w:val="auto"/>
        </w:rPr>
      </w:pPr>
      <w:r>
        <w:rPr>
          <w:rFonts w:ascii="Arial" w:cs="Arial" w:eastAsia="Arial" w:hAnsi="Arial"/>
          <w:sz w:val="22"/>
          <w:szCs w:val="22"/>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32" w:name="page133"/>
    <w:bookmarkEnd w:id="132"/>
    <w:p>
      <w:pPr>
        <w:ind w:left="1800" w:hanging="915"/>
        <w:spacing w:after="0"/>
        <w:tabs>
          <w:tab w:leader="none" w:pos="180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NON-DISPARAGEMENT</w:t>
      </w:r>
    </w:p>
    <w:p>
      <w:pPr>
        <w:spacing w:after="0" w:line="233" w:lineRule="exact"/>
        <w:rPr>
          <w:sz w:val="20"/>
          <w:szCs w:val="20"/>
          <w:color w:val="auto"/>
        </w:rPr>
      </w:pPr>
    </w:p>
    <w:p>
      <w:pPr>
        <w:ind w:firstLine="877"/>
        <w:spacing w:after="0" w:line="238" w:lineRule="auto"/>
        <w:rPr>
          <w:sz w:val="20"/>
          <w:szCs w:val="20"/>
          <w:color w:val="auto"/>
        </w:rPr>
      </w:pPr>
      <w:r>
        <w:rPr>
          <w:rFonts w:ascii="Arial" w:cs="Arial" w:eastAsia="Arial" w:hAnsi="Arial"/>
          <w:sz w:val="22"/>
          <w:szCs w:val="22"/>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12" w:lineRule="exact"/>
        <w:rPr>
          <w:sz w:val="20"/>
          <w:szCs w:val="20"/>
          <w:color w:val="auto"/>
        </w:rPr>
      </w:pPr>
    </w:p>
    <w:p>
      <w:pPr>
        <w:ind w:left="1800" w:hanging="915"/>
        <w:spacing w:after="0"/>
        <w:tabs>
          <w:tab w:leader="none" w:pos="180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p>
    <w:p>
      <w:pPr>
        <w:spacing w:after="0" w:line="233" w:lineRule="exact"/>
        <w:rPr>
          <w:sz w:val="20"/>
          <w:szCs w:val="20"/>
          <w:color w:val="auto"/>
        </w:rPr>
      </w:pPr>
    </w:p>
    <w:p>
      <w:pPr>
        <w:ind w:right="60" w:firstLine="877"/>
        <w:spacing w:after="0" w:line="274" w:lineRule="auto"/>
        <w:rPr>
          <w:sz w:val="20"/>
          <w:szCs w:val="20"/>
          <w:color w:val="auto"/>
        </w:rPr>
      </w:pPr>
      <w:r>
        <w:rPr>
          <w:rFonts w:ascii="Arial" w:cs="Arial" w:eastAsia="Arial" w:hAnsi="Arial"/>
          <w:sz w:val="21"/>
          <w:szCs w:val="21"/>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78" w:lineRule="exact"/>
        <w:rPr>
          <w:sz w:val="20"/>
          <w:szCs w:val="20"/>
          <w:color w:val="auto"/>
        </w:rPr>
      </w:pPr>
    </w:p>
    <w:p>
      <w:pPr>
        <w:ind w:left="880" w:right="6320" w:firstLine="5"/>
        <w:spacing w:after="0" w:line="483" w:lineRule="auto"/>
        <w:tabs>
          <w:tab w:leader="none" w:pos="1798"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 xml:space="preserve">SUBSIDIARIES AND AFFILIATES </w:t>
      </w:r>
      <w:r>
        <w:rPr>
          <w:rFonts w:ascii="Arial" w:cs="Arial" w:eastAsia="Arial" w:hAnsi="Arial"/>
          <w:sz w:val="21"/>
          <w:szCs w:val="21"/>
          <w:color w:val="auto"/>
        </w:rPr>
        <w:t>For purposes of this Agreement:</w:t>
      </w:r>
    </w:p>
    <w:p>
      <w:pPr>
        <w:ind w:right="20" w:firstLine="885"/>
        <w:spacing w:after="0"/>
        <w:tabs>
          <w:tab w:leader="none" w:pos="176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213" w:lineRule="exact"/>
        <w:rPr>
          <w:rFonts w:ascii="Arial" w:cs="Arial" w:eastAsia="Arial" w:hAnsi="Arial"/>
          <w:sz w:val="22"/>
          <w:szCs w:val="22"/>
          <w:color w:val="auto"/>
        </w:rPr>
      </w:pPr>
    </w:p>
    <w:p>
      <w:pPr>
        <w:ind w:right="140" w:firstLine="885"/>
        <w:spacing w:after="0" w:line="236" w:lineRule="auto"/>
        <w:tabs>
          <w:tab w:leader="none" w:pos="1778" w:val="left"/>
        </w:tabs>
        <w:numPr>
          <w:ilvl w:val="0"/>
          <w:numId w:val="163"/>
        </w:numPr>
        <w:rPr>
          <w:rFonts w:ascii="Arial" w:cs="Arial" w:eastAsia="Arial" w:hAnsi="Arial"/>
          <w:sz w:val="22"/>
          <w:szCs w:val="22"/>
          <w:color w:val="auto"/>
        </w:rPr>
      </w:pPr>
      <w:r>
        <w:rPr>
          <w:rFonts w:ascii="Arial" w:cs="Arial" w:eastAsia="Arial" w:hAnsi="Arial"/>
          <w:sz w:val="22"/>
          <w:szCs w:val="22"/>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15" w:lineRule="exact"/>
        <w:rPr>
          <w:sz w:val="20"/>
          <w:szCs w:val="20"/>
          <w:color w:val="auto"/>
        </w:rPr>
      </w:pPr>
    </w:p>
    <w:p>
      <w:pPr>
        <w:ind w:left="1860" w:hanging="975"/>
        <w:spacing w:after="0"/>
        <w:tabs>
          <w:tab w:leader="none" w:pos="186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HEADINGS</w:t>
      </w:r>
    </w:p>
    <w:p>
      <w:pPr>
        <w:spacing w:after="0" w:line="233" w:lineRule="exact"/>
        <w:rPr>
          <w:sz w:val="20"/>
          <w:szCs w:val="20"/>
          <w:color w:val="auto"/>
        </w:rPr>
      </w:pPr>
    </w:p>
    <w:p>
      <w:pPr>
        <w:ind w:right="40" w:firstLine="877"/>
        <w:spacing w:after="0" w:line="251" w:lineRule="auto"/>
        <w:rPr>
          <w:sz w:val="20"/>
          <w:szCs w:val="20"/>
          <w:color w:val="auto"/>
        </w:rPr>
      </w:pPr>
      <w:r>
        <w:rPr>
          <w:rFonts w:ascii="Arial" w:cs="Arial" w:eastAsia="Arial" w:hAnsi="Arial"/>
          <w:sz w:val="22"/>
          <w:szCs w:val="22"/>
          <w:color w:val="auto"/>
        </w:rPr>
        <w:t>The paragraph headings appearing in this Agreement are for the purposes of easy reference and shall not be considered a part of this Agreement or in any way modify, amend or affect its provisions.</w:t>
      </w:r>
    </w:p>
    <w:p>
      <w:pPr>
        <w:spacing w:after="0" w:line="200" w:lineRule="exact"/>
        <w:rPr>
          <w:sz w:val="20"/>
          <w:szCs w:val="20"/>
          <w:color w:val="auto"/>
        </w:rPr>
      </w:pPr>
    </w:p>
    <w:p>
      <w:pPr>
        <w:ind w:left="1800" w:hanging="915"/>
        <w:spacing w:after="0"/>
        <w:tabs>
          <w:tab w:leader="none" w:pos="1800"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COUNTERPARTS</w:t>
      </w:r>
    </w:p>
    <w:p>
      <w:pPr>
        <w:spacing w:after="0" w:line="233" w:lineRule="exact"/>
        <w:rPr>
          <w:sz w:val="20"/>
          <w:szCs w:val="20"/>
          <w:color w:val="auto"/>
        </w:rPr>
      </w:pPr>
    </w:p>
    <w:p>
      <w:pPr>
        <w:ind w:right="500" w:firstLine="877"/>
        <w:spacing w:after="0" w:line="251" w:lineRule="auto"/>
        <w:rPr>
          <w:sz w:val="20"/>
          <w:szCs w:val="20"/>
          <w:color w:val="auto"/>
        </w:rPr>
      </w:pPr>
      <w:r>
        <w:rPr>
          <w:rFonts w:ascii="Arial" w:cs="Arial" w:eastAsia="Arial" w:hAnsi="Arial"/>
          <w:sz w:val="22"/>
          <w:szCs w:val="22"/>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33" w:name="page134"/>
    <w:bookmarkEnd w:id="133"/>
    <w:p>
      <w:pPr>
        <w:ind w:right="560" w:firstLine="877"/>
        <w:spacing w:after="0" w:line="251" w:lineRule="auto"/>
        <w:rPr>
          <w:sz w:val="20"/>
          <w:szCs w:val="20"/>
          <w:color w:val="auto"/>
        </w:rPr>
      </w:pPr>
      <w:r>
        <w:rPr>
          <w:rFonts w:ascii="Arial" w:cs="Arial" w:eastAsia="Arial" w:hAnsi="Arial"/>
          <w:sz w:val="22"/>
          <w:szCs w:val="22"/>
          <w:color w:val="auto"/>
        </w:rPr>
        <w:t>IN WITNESS WHEREOF, the parties hereto have executed this Agreement, under seal, as of the date and year first above written.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40" w:type="dxa"/>
            <w:vAlign w:val="bottom"/>
          </w:tcPr>
          <w:p>
            <w:pPr>
              <w:spacing w:after="0"/>
              <w:rPr>
                <w:sz w:val="23"/>
                <w:szCs w:val="23"/>
                <w:color w:val="auto"/>
              </w:rPr>
            </w:pPr>
          </w:p>
        </w:tc>
        <w:tc>
          <w:tcPr>
            <w:tcW w:w="4300" w:type="dxa"/>
            <w:vAlign w:val="bottom"/>
            <w:gridSpan w:val="2"/>
          </w:tcPr>
          <w:p>
            <w:pPr>
              <w:ind w:left="140"/>
              <w:spacing w:after="0"/>
              <w:rPr>
                <w:sz w:val="20"/>
                <w:szCs w:val="20"/>
                <w:color w:val="auto"/>
              </w:rPr>
            </w:pPr>
            <w:r>
              <w:rPr>
                <w:rFonts w:ascii="Arial" w:cs="Arial" w:eastAsia="Arial" w:hAnsi="Arial"/>
                <w:sz w:val="22"/>
                <w:szCs w:val="22"/>
                <w:color w:val="auto"/>
              </w:rPr>
              <w:t>DESTINATION XL GROUP, INC.</w:t>
            </w:r>
          </w:p>
        </w:tc>
        <w:tc>
          <w:tcPr>
            <w:tcW w:w="2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76"/>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8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22"/>
                <w:szCs w:val="22"/>
                <w:color w:val="auto"/>
              </w:rPr>
              <w:t>/s/ David A. Levin</w:t>
            </w:r>
          </w:p>
        </w:tc>
        <w:tc>
          <w:tcPr>
            <w:tcW w:w="2240" w:type="dxa"/>
            <w:vAlign w:val="bottom"/>
          </w:tcPr>
          <w:p>
            <w:pPr>
              <w:ind w:left="1700"/>
              <w:spacing w:after="0"/>
              <w:rPr>
                <w:sz w:val="20"/>
                <w:szCs w:val="20"/>
                <w:color w:val="auto"/>
              </w:rPr>
            </w:pPr>
            <w:r>
              <w:rPr>
                <w:rFonts w:ascii="Arial" w:cs="Arial" w:eastAsia="Arial" w:hAnsi="Arial"/>
                <w:sz w:val="22"/>
                <w:szCs w:val="22"/>
                <w:color w:val="auto"/>
                <w:w w:val="98"/>
              </w:rPr>
              <w:t>Date:</w:t>
            </w:r>
          </w:p>
        </w:tc>
        <w:tc>
          <w:tcPr>
            <w:tcW w:w="4140" w:type="dxa"/>
            <w:vAlign w:val="bottom"/>
            <w:gridSpan w:val="2"/>
          </w:tcPr>
          <w:p>
            <w:pPr>
              <w:ind w:left="80"/>
              <w:spacing w:after="0"/>
              <w:rPr>
                <w:sz w:val="20"/>
                <w:szCs w:val="20"/>
                <w:color w:val="auto"/>
              </w:rPr>
            </w:pPr>
            <w:r>
              <w:rPr>
                <w:rFonts w:ascii="Arial" w:cs="Arial" w:eastAsia="Arial" w:hAnsi="Arial"/>
                <w:sz w:val="22"/>
                <w:szCs w:val="22"/>
                <w:color w:val="auto"/>
              </w:rPr>
              <w:t>December 22, 2017</w:t>
            </w:r>
          </w:p>
        </w:tc>
        <w:tc>
          <w:tcPr>
            <w:tcW w:w="20" w:type="dxa"/>
            <w:vAlign w:val="bottom"/>
          </w:tcPr>
          <w:p>
            <w:pPr>
              <w:spacing w:after="0"/>
              <w:rPr>
                <w:sz w:val="24"/>
                <w:szCs w:val="24"/>
                <w:color w:val="auto"/>
              </w:rPr>
            </w:pPr>
          </w:p>
        </w:tc>
      </w:tr>
      <w:tr>
        <w:trPr>
          <w:trHeight w:val="215"/>
        </w:trPr>
        <w:tc>
          <w:tcPr>
            <w:tcW w:w="7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180" w:type="dxa"/>
            <w:vAlign w:val="bottom"/>
          </w:tcPr>
          <w:p>
            <w:pPr>
              <w:spacing w:after="0"/>
              <w:rPr>
                <w:sz w:val="18"/>
                <w:szCs w:val="18"/>
                <w:color w:val="auto"/>
              </w:rPr>
            </w:pPr>
          </w:p>
        </w:tc>
        <w:tc>
          <w:tcPr>
            <w:tcW w:w="41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David A. Levin</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75"/>
        </w:trPr>
        <w:tc>
          <w:tcPr>
            <w:tcW w:w="740" w:type="dxa"/>
            <w:vAlign w:val="bottom"/>
          </w:tcPr>
          <w:p>
            <w:pPr>
              <w:spacing w:after="0"/>
              <w:rPr>
                <w:sz w:val="20"/>
                <w:szCs w:val="20"/>
                <w:color w:val="auto"/>
              </w:rPr>
            </w:pPr>
            <w:r>
              <w:rPr>
                <w:rFonts w:ascii="Arial" w:cs="Arial" w:eastAsia="Arial" w:hAnsi="Arial"/>
                <w:sz w:val="22"/>
                <w:szCs w:val="22"/>
                <w:color w:val="auto"/>
              </w:rPr>
              <w:t>Its:</w:t>
            </w:r>
          </w:p>
        </w:tc>
        <w:tc>
          <w:tcPr>
            <w:tcW w:w="180" w:type="dxa"/>
            <w:vAlign w:val="bottom"/>
          </w:tcPr>
          <w:p>
            <w:pPr>
              <w:spacing w:after="0"/>
              <w:rPr>
                <w:sz w:val="23"/>
                <w:szCs w:val="23"/>
                <w:color w:val="auto"/>
              </w:rPr>
            </w:pPr>
          </w:p>
        </w:tc>
        <w:tc>
          <w:tcPr>
            <w:tcW w:w="4120" w:type="dxa"/>
            <w:vAlign w:val="bottom"/>
          </w:tcPr>
          <w:p>
            <w:pPr>
              <w:spacing w:after="0"/>
              <w:rPr>
                <w:sz w:val="20"/>
                <w:szCs w:val="20"/>
                <w:color w:val="auto"/>
              </w:rPr>
            </w:pPr>
            <w:r>
              <w:rPr>
                <w:rFonts w:ascii="Arial" w:cs="Arial" w:eastAsia="Arial" w:hAnsi="Arial"/>
                <w:sz w:val="22"/>
                <w:szCs w:val="22"/>
                <w:color w:val="auto"/>
              </w:rPr>
              <w:t>President, Chief Executive Officer</w:t>
            </w:r>
          </w:p>
        </w:tc>
        <w:tc>
          <w:tcPr>
            <w:tcW w:w="2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76"/>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8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22"/>
                <w:szCs w:val="22"/>
                <w:color w:val="auto"/>
              </w:rPr>
              <w:t>/s/ Anthony J. Gaeta</w:t>
            </w:r>
          </w:p>
        </w:tc>
        <w:tc>
          <w:tcPr>
            <w:tcW w:w="2240" w:type="dxa"/>
            <w:vAlign w:val="bottom"/>
          </w:tcPr>
          <w:p>
            <w:pPr>
              <w:ind w:left="1700"/>
              <w:spacing w:after="0"/>
              <w:rPr>
                <w:sz w:val="20"/>
                <w:szCs w:val="20"/>
                <w:color w:val="auto"/>
              </w:rPr>
            </w:pPr>
            <w:r>
              <w:rPr>
                <w:rFonts w:ascii="Arial" w:cs="Arial" w:eastAsia="Arial" w:hAnsi="Arial"/>
                <w:sz w:val="22"/>
                <w:szCs w:val="22"/>
                <w:color w:val="auto"/>
                <w:w w:val="98"/>
              </w:rPr>
              <w:t>Date:</w:t>
            </w:r>
          </w:p>
        </w:tc>
        <w:tc>
          <w:tcPr>
            <w:tcW w:w="4140" w:type="dxa"/>
            <w:vAlign w:val="bottom"/>
            <w:gridSpan w:val="2"/>
          </w:tcPr>
          <w:p>
            <w:pPr>
              <w:ind w:left="80"/>
              <w:spacing w:after="0"/>
              <w:rPr>
                <w:sz w:val="20"/>
                <w:szCs w:val="20"/>
                <w:color w:val="auto"/>
              </w:rPr>
            </w:pPr>
            <w:r>
              <w:rPr>
                <w:rFonts w:ascii="Arial" w:cs="Arial" w:eastAsia="Arial" w:hAnsi="Arial"/>
                <w:sz w:val="22"/>
                <w:szCs w:val="22"/>
                <w:color w:val="auto"/>
              </w:rPr>
              <w:t>December 27, 2017</w:t>
            </w:r>
          </w:p>
        </w:tc>
        <w:tc>
          <w:tcPr>
            <w:tcW w:w="20" w:type="dxa"/>
            <w:vAlign w:val="bottom"/>
          </w:tcPr>
          <w:p>
            <w:pPr>
              <w:spacing w:after="0"/>
              <w:rPr>
                <w:sz w:val="24"/>
                <w:szCs w:val="24"/>
                <w:color w:val="auto"/>
              </w:rPr>
            </w:pPr>
          </w:p>
        </w:tc>
      </w:tr>
      <w:tr>
        <w:trPr>
          <w:trHeight w:val="268"/>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180" w:type="dxa"/>
            <w:vAlign w:val="bottom"/>
          </w:tcPr>
          <w:p>
            <w:pPr>
              <w:spacing w:after="0"/>
              <w:rPr>
                <w:sz w:val="23"/>
                <w:szCs w:val="23"/>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Anthony J. Gaeta</w:t>
            </w:r>
          </w:p>
        </w:tc>
        <w:tc>
          <w:tcPr>
            <w:tcW w:w="2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887"/>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40" w:type="dxa"/>
            <w:vAlign w:val="bottom"/>
          </w:tcPr>
          <w:p>
            <w:pPr>
              <w:jc w:val="right"/>
              <w:ind w:right="1378"/>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i w:val="1"/>
          <w:iCs w:val="1"/>
          <w:color w:val="auto"/>
        </w:rPr>
        <w:t>EXHIBIT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FORM OF RELEASE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GENERAL RELEASE OF CLAIMS</w:t>
      </w:r>
    </w:p>
    <w:p>
      <w:pPr>
        <w:spacing w:after="0" w:line="200" w:lineRule="exact"/>
        <w:rPr>
          <w:sz w:val="20"/>
          <w:szCs w:val="20"/>
          <w:color w:val="auto"/>
        </w:rPr>
      </w:pPr>
    </w:p>
    <w:p>
      <w:pPr>
        <w:ind w:left="-20" w:firstLine="885"/>
        <w:spacing w:after="0" w:line="269" w:lineRule="auto"/>
        <w:tabs>
          <w:tab w:leader="none" w:pos="166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INSERT EXECUTIVE’S NAME]</w:t>
      </w:r>
      <w:r>
        <w:rPr>
          <w:rFonts w:ascii="Arial" w:cs="Arial" w:eastAsia="Arial" w:hAnsi="Arial"/>
          <w:sz w:val="19"/>
          <w:szCs w:val="19"/>
          <w:color w:val="auto"/>
        </w:rPr>
        <w:t xml:space="preserve"> (“</w:t>
      </w:r>
      <w:r>
        <w:rPr>
          <w:rFonts w:ascii="Arial" w:cs="Arial" w:eastAsia="Arial" w:hAnsi="Arial"/>
          <w:sz w:val="19"/>
          <w:szCs w:val="19"/>
          <w:u w:val="single" w:color="auto"/>
          <w:color w:val="auto"/>
        </w:rPr>
        <w:t>Executive</w:t>
      </w:r>
      <w:r>
        <w:rPr>
          <w:rFonts w:ascii="Arial" w:cs="Arial" w:eastAsia="Arial" w:hAnsi="Arial"/>
          <w:sz w:val="19"/>
          <w:szCs w:val="19"/>
          <w:color w:val="auto"/>
        </w:rPr>
        <w:t>”), for him- or herself and his or her family, heirs, executors, administrators, legal representatives and their respective successors and assigns, in exchange for good and valuable consideration to be paid after the date of Executive’s termination as set forth in the Employment Agreement to which this release is attached as Exhibit A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does hereby release and forever discharge Destination XL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Executive to consult with an attorney of Executive’s choosing, and through this General Release of Claims encourages Executive to consult with his or her attorney with respect to possible claims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or she may have as of the date hereof. Executive further understands that by signing this General Release of Claims he or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or she will not be able to recover any monetary benefits in connection with any such claim, charge or proceeding.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34" w:right="239" w:bottom="1440" w:gutter="0" w:footer="0" w:header="0"/>
        </w:sectPr>
      </w:pPr>
    </w:p>
    <w:bookmarkStart w:id="135" w:name="page136"/>
    <w:bookmarkEnd w:id="135"/>
    <w:p>
      <w:pPr>
        <w:ind w:right="140" w:firstLine="885"/>
        <w:spacing w:after="0" w:line="234" w:lineRule="auto"/>
        <w:tabs>
          <w:tab w:leader="none" w:pos="1688" w:val="left"/>
        </w:tabs>
        <w:numPr>
          <w:ilvl w:val="1"/>
          <w:numId w:val="167"/>
        </w:numPr>
        <w:rPr>
          <w:rFonts w:ascii="Arial" w:cs="Arial" w:eastAsia="Arial" w:hAnsi="Arial"/>
          <w:sz w:val="22"/>
          <w:szCs w:val="22"/>
          <w:color w:val="auto"/>
        </w:rPr>
      </w:pPr>
      <w:r>
        <w:rPr>
          <w:rFonts w:ascii="Arial" w:cs="Arial" w:eastAsia="Arial" w:hAnsi="Arial"/>
          <w:sz w:val="22"/>
          <w:szCs w:val="22"/>
          <w:color w:val="auto"/>
        </w:rPr>
        <w:t>Executive represents that he or she has not filed against the Released Parties any complaints, charges, or lawsuits arising out of his or her employment, or any other matter arising on or prior to the date of this General Release of Claims, and covenants and agrees that he or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22"/>
          <w:szCs w:val="22"/>
          <w:u w:val="single" w:color="auto"/>
          <w:color w:val="auto"/>
        </w:rPr>
        <w:t>Proceeding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Executive shall not have relinquished his or her right to commence a Proceeding to challenge whether Executive knowingly and voluntarily waived his or her rights under ADEA.</w:t>
      </w:r>
    </w:p>
    <w:p>
      <w:pPr>
        <w:spacing w:after="0" w:line="191" w:lineRule="exact"/>
        <w:rPr>
          <w:rFonts w:ascii="Arial" w:cs="Arial" w:eastAsia="Arial" w:hAnsi="Arial"/>
          <w:sz w:val="22"/>
          <w:szCs w:val="22"/>
          <w:color w:val="auto"/>
        </w:rPr>
      </w:pPr>
    </w:p>
    <w:p>
      <w:pPr>
        <w:ind w:left="1700" w:hanging="815"/>
        <w:spacing w:after="0"/>
        <w:tabs>
          <w:tab w:leader="none" w:pos="170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Executive hereby acknowledges that the Company has informed him or her that he or she has up to twenty-one</w:t>
      </w:r>
    </w:p>
    <w:p>
      <w:pPr>
        <w:spacing w:after="0" w:line="42" w:lineRule="exact"/>
        <w:rPr>
          <w:rFonts w:ascii="Arial" w:cs="Arial" w:eastAsia="Arial" w:hAnsi="Arial"/>
          <w:sz w:val="19"/>
          <w:szCs w:val="19"/>
          <w:color w:val="auto"/>
        </w:rPr>
      </w:pPr>
    </w:p>
    <w:p>
      <w:pPr>
        <w:ind w:right="140" w:firstLine="8"/>
        <w:spacing w:after="0" w:line="233" w:lineRule="auto"/>
        <w:tabs>
          <w:tab w:leader="none" w:pos="41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days to sign this General Release of Claims and he or she may knowingly and voluntarily waive that twenty-one (21) day period by signing this General Release of Claims earlier. Executive also understands that he or she shall have seven (7) days following the date on which he or she signs this General Release of Claims within which to revoke it by providing a written notice of his or her revocation to the Company.</w:t>
      </w:r>
    </w:p>
    <w:p>
      <w:pPr>
        <w:spacing w:after="0" w:line="188" w:lineRule="exact"/>
        <w:rPr>
          <w:rFonts w:ascii="Arial" w:cs="Arial" w:eastAsia="Arial" w:hAnsi="Arial"/>
          <w:sz w:val="22"/>
          <w:szCs w:val="22"/>
          <w:color w:val="auto"/>
        </w:rPr>
      </w:pPr>
    </w:p>
    <w:p>
      <w:pPr>
        <w:ind w:right="40" w:firstLine="885"/>
        <w:spacing w:after="0"/>
        <w:tabs>
          <w:tab w:leader="none" w:pos="1688" w:val="left"/>
        </w:tabs>
        <w:numPr>
          <w:ilvl w:val="1"/>
          <w:numId w:val="168"/>
        </w:numPr>
        <w:rPr>
          <w:rFonts w:ascii="Arial" w:cs="Arial" w:eastAsia="Arial" w:hAnsi="Arial"/>
          <w:sz w:val="22"/>
          <w:szCs w:val="22"/>
          <w:color w:val="auto"/>
        </w:rPr>
      </w:pPr>
      <w:r>
        <w:rPr>
          <w:rFonts w:ascii="Arial" w:cs="Arial" w:eastAsia="Arial" w:hAnsi="Arial"/>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86" w:lineRule="exact"/>
        <w:rPr>
          <w:rFonts w:ascii="Arial" w:cs="Arial" w:eastAsia="Arial" w:hAnsi="Arial"/>
          <w:sz w:val="22"/>
          <w:szCs w:val="22"/>
          <w:color w:val="auto"/>
        </w:rPr>
      </w:pPr>
    </w:p>
    <w:p>
      <w:pPr>
        <w:ind w:right="80" w:firstLine="885"/>
        <w:spacing w:after="0" w:line="258" w:lineRule="auto"/>
        <w:tabs>
          <w:tab w:leader="none" w:pos="1688" w:val="left"/>
        </w:tabs>
        <w:numPr>
          <w:ilvl w:val="1"/>
          <w:numId w:val="168"/>
        </w:numPr>
        <w:rPr>
          <w:rFonts w:ascii="Arial" w:cs="Arial" w:eastAsia="Arial" w:hAnsi="Arial"/>
          <w:sz w:val="21"/>
          <w:szCs w:val="21"/>
          <w:color w:val="auto"/>
        </w:rPr>
      </w:pPr>
      <w:r>
        <w:rPr>
          <w:rFonts w:ascii="Arial" w:cs="Arial" w:eastAsia="Arial" w:hAnsi="Arial"/>
          <w:sz w:val="21"/>
          <w:szCs w:val="21"/>
          <w:color w:val="auto"/>
        </w:rPr>
        <w:t>Executive acknowledges that he or she has read this General Release of Claims, has been advised that he or she should consult with an attorney before executing this general release of claims, and that he or she understands all of its terms and executes it voluntarily and with full knowledge of its significance and the consequences thereof.</w:t>
      </w:r>
    </w:p>
    <w:p>
      <w:pPr>
        <w:spacing w:after="0" w:line="166" w:lineRule="exact"/>
        <w:rPr>
          <w:rFonts w:ascii="Arial" w:cs="Arial" w:eastAsia="Arial" w:hAnsi="Arial"/>
          <w:sz w:val="21"/>
          <w:szCs w:val="21"/>
          <w:color w:val="auto"/>
        </w:rPr>
      </w:pPr>
    </w:p>
    <w:p>
      <w:pPr>
        <w:jc w:val="both"/>
        <w:ind w:right="520" w:firstLine="885"/>
        <w:spacing w:after="0"/>
        <w:tabs>
          <w:tab w:leader="none" w:pos="1688"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Anthony J. Gaeta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-154940</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4"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ind w:left="1340"/>
              <w:spacing w:after="0"/>
              <w:rPr>
                <w:sz w:val="20"/>
                <w:szCs w:val="20"/>
                <w:color w:val="auto"/>
              </w:rPr>
            </w:pPr>
            <w:r>
              <w:rPr>
                <w:rFonts w:ascii="Arial" w:cs="Arial" w:eastAsia="Arial" w:hAnsi="Arial"/>
                <w:sz w:val="18"/>
                <w:szCs w:val="18"/>
                <w:b w:val="1"/>
                <w:bCs w:val="1"/>
                <w:color w:val="auto"/>
                <w:w w:val="93"/>
              </w:rPr>
              <w:t>Exhibit 21.1</w:t>
            </w:r>
          </w:p>
        </w:tc>
      </w:tr>
      <w:tr>
        <w:trPr>
          <w:trHeight w:val="418"/>
        </w:trPr>
        <w:tc>
          <w:tcPr>
            <w:tcW w:w="20" w:type="dxa"/>
            <w:vAlign w:val="bottom"/>
          </w:tcPr>
          <w:p>
            <w:pPr>
              <w:spacing w:after="0"/>
              <w:rPr>
                <w:sz w:val="24"/>
                <w:szCs w:val="24"/>
                <w:color w:val="auto"/>
              </w:rPr>
            </w:pPr>
          </w:p>
        </w:tc>
        <w:tc>
          <w:tcPr>
            <w:tcW w:w="9120" w:type="dxa"/>
            <w:vAlign w:val="bottom"/>
            <w:gridSpan w:val="2"/>
          </w:tcPr>
          <w:p>
            <w:pPr>
              <w:jc w:val="center"/>
              <w:ind w:left="2170"/>
              <w:spacing w:after="0"/>
              <w:rPr>
                <w:sz w:val="20"/>
                <w:szCs w:val="20"/>
                <w:color w:val="auto"/>
              </w:rPr>
            </w:pPr>
            <w:r>
              <w:rPr>
                <w:rFonts w:ascii="Arial" w:cs="Arial" w:eastAsia="Arial" w:hAnsi="Arial"/>
                <w:sz w:val="18"/>
                <w:szCs w:val="18"/>
                <w:color w:val="auto"/>
                <w:w w:val="95"/>
              </w:rPr>
              <w:t>DESTINATION XL GROUP, INC.</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9120" w:type="dxa"/>
            <w:vAlign w:val="bottom"/>
            <w:gridSpan w:val="2"/>
          </w:tcPr>
          <w:p>
            <w:pPr>
              <w:jc w:val="center"/>
              <w:ind w:left="2170"/>
              <w:spacing w:after="0"/>
              <w:rPr>
                <w:sz w:val="20"/>
                <w:szCs w:val="20"/>
                <w:color w:val="auto"/>
              </w:rPr>
            </w:pPr>
            <w:r>
              <w:rPr>
                <w:rFonts w:ascii="Arial" w:cs="Arial" w:eastAsia="Arial" w:hAnsi="Arial"/>
                <w:sz w:val="18"/>
                <w:szCs w:val="18"/>
                <w:color w:val="auto"/>
                <w:w w:val="91"/>
              </w:rPr>
              <w:t>Wholly-owned unless otherwise indicated</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91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2300" w:type="dxa"/>
            <w:vAlign w:val="bottom"/>
            <w:gridSpan w:val="2"/>
          </w:tcPr>
          <w:p>
            <w:pPr>
              <w:ind w:left="480"/>
              <w:spacing w:after="0"/>
              <w:rPr>
                <w:sz w:val="20"/>
                <w:szCs w:val="20"/>
                <w:color w:val="auto"/>
              </w:rPr>
            </w:pPr>
            <w:r>
              <w:rPr>
                <w:rFonts w:ascii="Arial" w:cs="Arial" w:eastAsia="Arial" w:hAnsi="Arial"/>
                <w:sz w:val="14"/>
                <w:szCs w:val="14"/>
                <w:b w:val="1"/>
                <w:bCs w:val="1"/>
                <w:color w:val="auto"/>
              </w:rPr>
              <w:t>Place of Incorporation:</w:t>
            </w:r>
          </w:p>
        </w:tc>
      </w:tr>
      <w:tr>
        <w:trPr>
          <w:trHeight w:val="195"/>
        </w:trPr>
        <w:tc>
          <w:tcPr>
            <w:tcW w:w="20" w:type="dxa"/>
            <w:vAlign w:val="bottom"/>
          </w:tcPr>
          <w:p>
            <w:pPr>
              <w:spacing w:after="0"/>
              <w:rPr>
                <w:sz w:val="16"/>
                <w:szCs w:val="16"/>
                <w:color w:val="auto"/>
              </w:rPr>
            </w:pPr>
          </w:p>
        </w:tc>
        <w:tc>
          <w:tcPr>
            <w:tcW w:w="9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Casual Male Retail Store, LLC (f/k/a Designs CMAL Retail Store Inc.)</w:t>
            </w:r>
          </w:p>
        </w:tc>
        <w:tc>
          <w:tcPr>
            <w:tcW w:w="120" w:type="dxa"/>
            <w:vAlign w:val="bottom"/>
          </w:tcPr>
          <w:p>
            <w:pPr>
              <w:spacing w:after="0"/>
              <w:rPr>
                <w:sz w:val="16"/>
                <w:szCs w:val="16"/>
                <w:color w:val="auto"/>
              </w:rPr>
            </w:pPr>
          </w:p>
        </w:tc>
        <w:tc>
          <w:tcPr>
            <w:tcW w:w="22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Direct, LLC (f/k/a Designs CMAL TBD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Apparel Management,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Holdco,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CMXL Apparel, LP (a)</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Apparel, LLC (f/k/a Designs Apparel, Inc.) (b)</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Store, LLC (f/k/a Designs CMAL Store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Capture, LLC (c)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Virginia</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RBT,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RBT (U.K.) LLC (d)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DXL Canada, Inc. (f/k/a Casual Male Canada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Ontario, Canada</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(EUROPE)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Think Big Products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Canton PL Liquidating Corp. (f/k/a LP Innovations,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30"/>
        </w:trPr>
        <w:tc>
          <w:tcPr>
            <w:tcW w:w="9140" w:type="dxa"/>
            <w:vAlign w:val="bottom"/>
            <w:gridSpan w:val="3"/>
          </w:tcPr>
          <w:p>
            <w:pPr>
              <w:spacing w:after="0"/>
              <w:rPr>
                <w:sz w:val="20"/>
                <w:szCs w:val="20"/>
                <w:color w:val="auto"/>
              </w:rPr>
            </w:pPr>
            <w:r>
              <w:rPr>
                <w:rFonts w:ascii="Arial" w:cs="Arial" w:eastAsia="Arial" w:hAnsi="Arial"/>
                <w:sz w:val="18"/>
                <w:szCs w:val="18"/>
                <w:color w:val="auto"/>
              </w:rPr>
              <w:t>CMRG Hong Kong Limited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440" w:hanging="512"/>
        <w:spacing w:after="0" w:line="258" w:lineRule="auto"/>
        <w:tabs>
          <w:tab w:leader="none" w:pos="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Destination XL Group, Inc.)</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Destination XL Group, Inc.)</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Destination XL Group, Inc.)</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Destination XL Group, Inc.)</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(Nos. 333-118966 and 333-90742) on Form S-3 and (Nos. 333-136890, 333-163245, 333-164618, 333-170708, 333-170764, 333-194627 and 333-213311) on Form S-8 of Destination XL Group, Inc. of our reports dated March 23, 2018, with respect to the consolidated balance sheets of Destination XL Group, Inc. and subsidiaries as of February 3, 2018 and January 28, 2017, and the related consolidated statements of operations, comprehensive income (loss), changes in stockholders' equity, and cash flows for each of the years in the three-year period ended February 3, 2018, and the effectiveness of internal control over financial reporting as of February 3, 2018, which reports appear in the February 3, 2018 annual report on Form 10-K of Destination XL Group, Inc.</w:t>
      </w:r>
    </w:p>
    <w:p>
      <w:pPr>
        <w:spacing w:after="0" w:line="17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20" w:hanging="512"/>
        <w:spacing w:after="0"/>
        <w:tabs>
          <w:tab w:leader="none" w:pos="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23, 2018</w:t>
      </w:r>
    </w:p>
    <w:p>
      <w:pPr>
        <w:spacing w:after="0" w:line="252"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David A. Levin</w:t>
      </w:r>
    </w:p>
    <w:p>
      <w:pPr>
        <w:spacing w:after="0" w:line="23"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23, 2018</w:t>
      </w:r>
    </w:p>
    <w:p>
      <w:pPr>
        <w:spacing w:after="0" w:line="25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 Peter H. Stratton, Jr.</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140" w:name="page141"/>
    <w:bookmarkEnd w:id="140"/>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February 3, 2018 as filed with the Securities and Exchange Commission on the date hereof (the “Report”), I, David A. Levin, Chief Executive Officer of the Company, certify pursuant to 18 U.S.C. § 1350, as adopted pursuant to § 906 of the Sarbanes-Oxley Act of 2002, that:</w:t>
      </w:r>
    </w:p>
    <w:p>
      <w:pPr>
        <w:spacing w:after="0" w:line="73" w:lineRule="exact"/>
        <w:rPr>
          <w:sz w:val="20"/>
          <w:szCs w:val="20"/>
          <w:color w:val="auto"/>
        </w:rPr>
      </w:pPr>
    </w:p>
    <w:p>
      <w:pPr>
        <w:ind w:left="1040" w:right="100" w:hanging="519"/>
        <w:spacing w:after="0" w:line="277" w:lineRule="auto"/>
        <w:tabs>
          <w:tab w:leader="none" w:pos="10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8460" w:val="left"/>
        </w:tabs>
        <w:rPr>
          <w:sz w:val="20"/>
          <w:szCs w:val="20"/>
          <w:color w:val="auto"/>
        </w:rPr>
      </w:pPr>
      <w:r>
        <w:rPr>
          <w:rFonts w:ascii="Arial" w:cs="Arial" w:eastAsia="Arial" w:hAnsi="Arial"/>
          <w:sz w:val="18"/>
          <w:szCs w:val="18"/>
          <w:color w:val="auto"/>
        </w:rPr>
        <w:t>Dated: March 23, 2018</w:t>
      </w:r>
      <w:r>
        <w:rPr>
          <w:sz w:val="20"/>
          <w:szCs w:val="20"/>
          <w:color w:val="auto"/>
        </w:rPr>
        <w:tab/>
      </w:r>
      <w:r>
        <w:rPr>
          <w:rFonts w:ascii="Arial" w:cs="Arial" w:eastAsia="Arial" w:hAnsi="Arial"/>
          <w:sz w:val="17"/>
          <w:szCs w:val="17"/>
          <w:color w:val="auto"/>
        </w:rPr>
        <w:t>/s/ David A. Levin</w:t>
      </w:r>
    </w:p>
    <w:p>
      <w:pPr>
        <w:spacing w:after="0" w:line="23"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-130810</wp:posOffset>
            </wp:positionV>
            <wp:extent cx="28727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41" w:name="page142"/>
    <w:bookmarkEnd w:id="141"/>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February 3, 2018,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3" w:lineRule="exact"/>
        <w:rPr>
          <w:sz w:val="20"/>
          <w:szCs w:val="20"/>
          <w:color w:val="auto"/>
        </w:rPr>
      </w:pPr>
    </w:p>
    <w:p>
      <w:pPr>
        <w:ind w:left="1040" w:right="100" w:hanging="519"/>
        <w:spacing w:after="0" w:line="277" w:lineRule="auto"/>
        <w:tabs>
          <w:tab w:leader="none" w:pos="10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9"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Dated: March 23, 2018</w:t>
      </w:r>
      <w:r>
        <w:rPr>
          <w:sz w:val="20"/>
          <w:szCs w:val="20"/>
          <w:color w:val="auto"/>
        </w:rPr>
        <w:tab/>
      </w:r>
      <w:r>
        <w:rPr>
          <w:rFonts w:ascii="Arial" w:cs="Arial" w:eastAsia="Arial" w:hAnsi="Arial"/>
          <w:sz w:val="16"/>
          <w:szCs w:val="16"/>
          <w:color w:val="auto"/>
        </w:rPr>
        <w:t>/s/ Peter H. Stratton, Jr.</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11"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upperLetter"/>
      <w:start w:val="1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1)"/>
      <w:numFmt w:val="decimal"/>
      <w:start w:val="1"/>
    </w:lvl>
  </w:abstractNum>
  <w:abstractNum w:abstractNumId="8">
    <w:nsid w:val="46B7D447"/>
    <w:multiLevelType w:val="hybridMultilevel"/>
    <w:lvl w:ilvl="0">
      <w:lvlJc w:val="left"/>
      <w:lvlText w:val="(%1)"/>
      <w:numFmt w:val="decimal"/>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1)"/>
      <w:numFmt w:val="decimal"/>
      <w:start w:val="1"/>
    </w:lvl>
  </w:abstractNum>
  <w:abstractNum w:abstractNumId="11">
    <w:nsid w:val="57FC4FBB"/>
    <w:multiLevelType w:val="hybridMultilevel"/>
    <w:lvl w:ilvl="0">
      <w:lvlJc w:val="left"/>
      <w:lvlText w:val="(%1)"/>
      <w:numFmt w:val="decimal"/>
      <w:start w:val="1"/>
    </w:lvl>
  </w:abstractNum>
  <w:abstractNum w:abstractNumId="12">
    <w:nsid w:val="CC1016F"/>
    <w:multiLevelType w:val="hybridMultilevel"/>
    <w:lvl w:ilvl="0">
      <w:lvlJc w:val="left"/>
      <w:lvlText w:val="(%1)"/>
      <w:numFmt w:val="decimal"/>
      <w:start w:val="1"/>
    </w:lvl>
  </w:abstractNum>
  <w:abstractNum w:abstractNumId="13">
    <w:nsid w:val="43F18422"/>
    <w:multiLevelType w:val="hybridMultilevel"/>
    <w:lvl w:ilvl="0">
      <w:lvlJc w:val="left"/>
      <w:lvlText w:val="(%1)"/>
      <w:numFmt w:val="decimal"/>
      <w:start w:val="1"/>
    </w:lvl>
  </w:abstractNum>
  <w:abstractNum w:abstractNumId="14">
    <w:nsid w:val="60EF0119"/>
    <w:multiLevelType w:val="hybridMultilevel"/>
    <w:lvl w:ilvl="0">
      <w:lvlJc w:val="left"/>
      <w:lvlText w:val="(%1)"/>
      <w:numFmt w:val="decimal"/>
      <w:start w:val="1"/>
    </w:lvl>
  </w:abstractNum>
  <w:abstractNum w:abstractNumId="15">
    <w:nsid w:val="26F324BA"/>
    <w:multiLevelType w:val="hybridMultilevel"/>
    <w:lvl w:ilvl="0">
      <w:lvlJc w:val="left"/>
      <w:lvlText w:val="(%1)"/>
      <w:numFmt w:val="decimal"/>
      <w:start w:val="1"/>
    </w:lvl>
  </w:abstractNum>
  <w:abstractNum w:abstractNumId="16">
    <w:nsid w:val="7F01579B"/>
    <w:multiLevelType w:val="hybridMultilevel"/>
    <w:lvl w:ilvl="0">
      <w:lvlJc w:val="left"/>
      <w:lvlText w:val="(%1)"/>
      <w:numFmt w:val="decimal"/>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1)"/>
      <w:numFmt w:val="decimal"/>
      <w:start w:val="1"/>
    </w:lvl>
  </w:abstractNum>
  <w:abstractNum w:abstractNumId="20">
    <w:nsid w:val="50801EE1"/>
    <w:multiLevelType w:val="hybridMultilevel"/>
    <w:lvl w:ilvl="0">
      <w:lvlJc w:val="left"/>
      <w:lvlText w:val="(%1)"/>
      <w:numFmt w:val="lowerLetter"/>
      <w:start w:val="2"/>
    </w:lvl>
  </w:abstractNum>
  <w:abstractNum w:abstractNumId="21">
    <w:nsid w:val="488AC1A"/>
    <w:multiLevelType w:val="hybridMultilevel"/>
    <w:lvl w:ilvl="0">
      <w:lvlJc w:val="left"/>
      <w:lvlText w:val="(%1)"/>
      <w:numFmt w:val="lowerRoman"/>
      <w:start w:val="1"/>
    </w:lvl>
  </w:abstractNum>
  <w:abstractNum w:abstractNumId="22">
    <w:nsid w:val="5FB8011C"/>
    <w:multiLevelType w:val="hybridMultilevel"/>
    <w:lvl w:ilvl="0">
      <w:lvlJc w:val="left"/>
      <w:lvlText w:val="%1"/>
      <w:numFmt w:val="decimal"/>
      <w:start w:val="10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1)"/>
      <w:numFmt w:val="lowerLetter"/>
      <w:start w:val="1"/>
    </w:lvl>
  </w:abstractNum>
  <w:abstractNum w:abstractNumId="26">
    <w:nsid w:val="6A5F7029"/>
    <w:multiLevelType w:val="hybridMultilevel"/>
    <w:lvl w:ilvl="0">
      <w:lvlJc w:val="left"/>
      <w:lvlText w:val="(%1)"/>
      <w:numFmt w:val="lowerLetter"/>
      <w:start w:val="2"/>
    </w:lvl>
  </w:abstractNum>
  <w:abstractNum w:abstractNumId="27">
    <w:nsid w:val="7D5E18F8"/>
    <w:multiLevelType w:val="hybridMultilevel"/>
    <w:lvl w:ilvl="0">
      <w:lvlJc w:val="left"/>
      <w:lvlText w:val="(%1)"/>
      <w:numFmt w:val="lowerLetter"/>
      <w:start w:val="13"/>
    </w:lvl>
  </w:abstractNum>
  <w:abstractNum w:abstractNumId="28">
    <w:nsid w:val="5F3534A4"/>
    <w:multiLevelType w:val="hybridMultilevel"/>
    <w:lvl w:ilvl="0">
      <w:lvlJc w:val="left"/>
      <w:lvlText w:val="(%1)"/>
      <w:numFmt w:val="lowerLetter"/>
      <w:start w:val="9"/>
    </w:lvl>
    <w:lvl w:ilvl="1">
      <w:lvlJc w:val="left"/>
      <w:lvlText w:val="(%2)"/>
      <w:numFmt w:val="lowerLetter"/>
      <w:start w:val="1"/>
    </w:lvl>
  </w:abstractNum>
  <w:abstractNum w:abstractNumId="29">
    <w:nsid w:val="73A1821B"/>
    <w:multiLevelType w:val="hybridMultilevel"/>
    <w:lvl w:ilvl="0">
      <w:lvlJc w:val="left"/>
      <w:lvlText w:val="%1"/>
      <w:numFmt w:val="lowerLetter"/>
      <w:start w:val="1"/>
    </w:lvl>
    <w:lvl w:ilvl="1">
      <w:lvlJc w:val="left"/>
      <w:lvlText w:val="(%2)"/>
      <w:numFmt w:val="lowerLetter"/>
      <w:start w:val="3"/>
    </w:lvl>
  </w:abstractNum>
  <w:abstractNum w:abstractNumId="30">
    <w:nsid w:val="7DE67713"/>
    <w:multiLevelType w:val="hybridMultilevel"/>
    <w:lvl w:ilvl="0">
      <w:lvlJc w:val="left"/>
      <w:lvlText w:val="(%1)"/>
      <w:numFmt w:val="lowerLetter"/>
      <w:start w:val="35"/>
    </w:lvl>
    <w:lvl w:ilvl="1">
      <w:lvlJc w:val="left"/>
      <w:lvlText w:val="%2"/>
      <w:numFmt w:val="lowerLetter"/>
      <w:start w:val="1"/>
    </w:lvl>
  </w:abstractNum>
  <w:abstractNum w:abstractNumId="31">
    <w:nsid w:val="555C55B5"/>
    <w:multiLevelType w:val="hybridMultilevel"/>
    <w:lvl w:ilvl="0">
      <w:lvlJc w:val="left"/>
      <w:lvlText w:val="(%1)"/>
      <w:numFmt w:val="lowerRoman"/>
      <w:start w:val="3"/>
    </w:lvl>
  </w:abstractNum>
  <w:abstractNum w:abstractNumId="32">
    <w:nsid w:val="3FA62ACA"/>
    <w:multiLevelType w:val="hybridMultilevel"/>
    <w:lvl w:ilvl="0">
      <w:lvlJc w:val="left"/>
      <w:lvlText w:val="(%1)"/>
      <w:numFmt w:val="lowerRoman"/>
      <w:start w:val="5"/>
    </w:lvl>
  </w:abstractNum>
  <w:abstractNum w:abstractNumId="33">
    <w:nsid w:val="14FCE74E"/>
    <w:multiLevelType w:val="hybridMultilevel"/>
    <w:lvl w:ilvl="0">
      <w:lvlJc w:val="left"/>
      <w:lvlText w:val="%1."/>
      <w:numFmt w:val="decimal"/>
      <w:start w:val="1"/>
    </w:lvl>
  </w:abstractNum>
  <w:abstractNum w:abstractNumId="34">
    <w:nsid w:val="6A3DD3E8"/>
    <w:multiLevelType w:val="hybridMultilevel"/>
    <w:lvl w:ilvl="0">
      <w:lvlJc w:val="left"/>
      <w:lvlText w:val="%1."/>
      <w:numFmt w:val="decimal"/>
      <w:start w:val="2"/>
    </w:lvl>
  </w:abstractNum>
  <w:abstractNum w:abstractNumId="35">
    <w:nsid w:val="71C91298"/>
    <w:multiLevelType w:val="hybridMultilevel"/>
    <w:lvl w:ilvl="0">
      <w:lvlJc w:val="left"/>
      <w:lvlText w:val="%1."/>
      <w:numFmt w:val="decimal"/>
      <w:start w:val="3"/>
    </w:lvl>
  </w:abstractNum>
  <w:abstractNum w:abstractNumId="36">
    <w:nsid w:val="9DAF632"/>
    <w:multiLevelType w:val="hybridMultilevel"/>
    <w:lvl w:ilvl="0">
      <w:lvlJc w:val="left"/>
      <w:lvlText w:val="(%1)"/>
      <w:numFmt w:val="lowerLetter"/>
      <w:start w:val="1"/>
    </w:lvl>
  </w:abstractNum>
  <w:abstractNum w:abstractNumId="37">
    <w:nsid w:val="53299938"/>
    <w:multiLevelType w:val="hybridMultilevel"/>
    <w:lvl w:ilvl="0">
      <w:lvlJc w:val="left"/>
      <w:lvlText w:val="(%1)"/>
      <w:numFmt w:val="lowerLetter"/>
      <w:start w:val="3"/>
    </w:lvl>
  </w:abstractNum>
  <w:abstractNum w:abstractNumId="38">
    <w:nsid w:val="1FBFE8E0"/>
    <w:multiLevelType w:val="hybridMultilevel"/>
    <w:lvl w:ilvl="0">
      <w:lvlJc w:val="left"/>
      <w:lvlText w:val="%1."/>
      <w:numFmt w:val="decimal"/>
      <w:start w:val="4"/>
    </w:lvl>
  </w:abstractNum>
  <w:abstractNum w:abstractNumId="39">
    <w:nsid w:val="5092CA79"/>
    <w:multiLevelType w:val="hybridMultilevel"/>
    <w:lvl w:ilvl="0">
      <w:lvlJc w:val="left"/>
      <w:lvlText w:val="%1."/>
      <w:numFmt w:val="decimal"/>
      <w:start w:val="5"/>
    </w:lvl>
  </w:abstractNum>
  <w:abstractNum w:abstractNumId="40">
    <w:nsid w:val="1D545C4D"/>
    <w:multiLevelType w:val="hybridMultilevel"/>
    <w:lvl w:ilvl="0">
      <w:lvlJc w:val="left"/>
      <w:lvlText w:val="(%1)"/>
      <w:numFmt w:val="lowerLetter"/>
      <w:start w:val="1"/>
    </w:lvl>
  </w:abstractNum>
  <w:abstractNum w:abstractNumId="41">
    <w:nsid w:val="59ADEA3D"/>
    <w:multiLevelType w:val="hybridMultilevel"/>
    <w:lvl w:ilvl="0">
      <w:lvlJc w:val="left"/>
      <w:lvlText w:val="(%1)"/>
      <w:numFmt w:val="lowerLetter"/>
      <w:start w:val="3"/>
    </w:lvl>
  </w:abstractNum>
  <w:abstractNum w:abstractNumId="42">
    <w:nsid w:val="288F1A34"/>
    <w:multiLevelType w:val="hybridMultilevel"/>
    <w:lvl w:ilvl="0">
      <w:lvlJc w:val="left"/>
      <w:lvlText w:val="%1."/>
      <w:numFmt w:val="decimal"/>
      <w:start w:val="6"/>
    </w:lvl>
  </w:abstractNum>
  <w:abstractNum w:abstractNumId="43">
    <w:nsid w:val="2A155DBC"/>
    <w:multiLevelType w:val="hybridMultilevel"/>
    <w:lvl w:ilvl="0">
      <w:lvlJc w:val="left"/>
      <w:lvlText w:val="(%1)"/>
      <w:numFmt w:val="lowerLetter"/>
      <w:start w:val="1"/>
    </w:lvl>
  </w:abstractNum>
  <w:abstractNum w:abstractNumId="44">
    <w:nsid w:val="1D9F6E5F"/>
    <w:multiLevelType w:val="hybridMultilevel"/>
    <w:lvl w:ilvl="0">
      <w:lvlJc w:val="left"/>
      <w:lvlText w:val="%1."/>
      <w:numFmt w:val="decimal"/>
      <w:start w:val="7"/>
    </w:lvl>
  </w:abstractNum>
  <w:abstractNum w:abstractNumId="45">
    <w:nsid w:val="97E1B4E"/>
    <w:multiLevelType w:val="hybridMultilevel"/>
    <w:lvl w:ilvl="0">
      <w:lvlJc w:val="left"/>
      <w:lvlText w:val="(%1)"/>
      <w:numFmt w:val="lowerLetter"/>
      <w:start w:val="1"/>
    </w:lvl>
    <w:lvl w:ilvl="1">
      <w:lvlJc w:val="left"/>
      <w:lvlText w:val="(%2)"/>
      <w:numFmt w:val="lowerRoman"/>
      <w:start w:val="1"/>
    </w:lvl>
  </w:abstractNum>
  <w:abstractNum w:abstractNumId="46">
    <w:nsid w:val="51088277"/>
    <w:multiLevelType w:val="hybridMultilevel"/>
    <w:lvl w:ilvl="0">
      <w:lvlJc w:val="left"/>
      <w:lvlText w:val="%1"/>
      <w:numFmt w:val="lowerLetter"/>
      <w:start w:val="1"/>
    </w:lvl>
    <w:lvl w:ilvl="1">
      <w:lvlJc w:val="left"/>
      <w:lvlText w:val="(%2)"/>
      <w:numFmt w:val="lowerLetter"/>
      <w:start w:val="61"/>
    </w:lvl>
  </w:abstractNum>
  <w:abstractNum w:abstractNumId="47">
    <w:nsid w:val="1CA0C5FA"/>
    <w:multiLevelType w:val="hybridMultilevel"/>
    <w:lvl w:ilvl="0">
      <w:lvlJc w:val="left"/>
      <w:lvlText w:val="(%1)"/>
      <w:numFmt w:val="lowerLetter"/>
      <w:start w:val="3"/>
    </w:lvl>
    <w:lvl w:ilvl="1">
      <w:lvlJc w:val="left"/>
      <w:lvlText w:val="%2"/>
      <w:numFmt w:val="lowerLetter"/>
      <w:start w:val="1"/>
    </w:lvl>
  </w:abstractNum>
  <w:abstractNum w:abstractNumId="48">
    <w:nsid w:val="53584BCB"/>
    <w:multiLevelType w:val="hybridMultilevel"/>
    <w:lvl w:ilvl="0">
      <w:lvlJc w:val="left"/>
      <w:lvlText w:val="(%1)"/>
      <w:numFmt w:val="lowerLetter"/>
      <w:start w:val="7"/>
    </w:lvl>
  </w:abstractNum>
  <w:abstractNum w:abstractNumId="49">
    <w:nsid w:val="415E286C"/>
    <w:multiLevelType w:val="hybridMultilevel"/>
    <w:lvl w:ilvl="0">
      <w:lvlJc w:val="left"/>
      <w:lvlText w:val="(%1)"/>
      <w:numFmt w:val="lowerRoman"/>
      <w:start w:val="1"/>
    </w:lvl>
  </w:abstractNum>
  <w:abstractNum w:abstractNumId="50">
    <w:nsid w:val="7C58FD0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1">
    <w:nsid w:val="23D86AAC"/>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52">
    <w:nsid w:val="45E6D486"/>
    <w:multiLevelType w:val="hybridMultilevel"/>
    <w:lvl w:ilvl="0">
      <w:lvlJc w:val="left"/>
      <w:lvlText w:val="%1."/>
      <w:numFmt w:val="decimal"/>
      <w:start w:val="8"/>
    </w:lvl>
  </w:abstractNum>
  <w:abstractNum w:abstractNumId="53">
    <w:nsid w:val="5C10FE21"/>
    <w:multiLevelType w:val="hybridMultilevel"/>
    <w:lvl w:ilvl="0">
      <w:lvlJc w:val="left"/>
      <w:lvlText w:val="(%1)"/>
      <w:numFmt w:val="lowerLetter"/>
      <w:start w:val="1"/>
    </w:lvl>
    <w:lvl w:ilvl="1">
      <w:lvlJc w:val="left"/>
      <w:lvlText w:val="(%2)"/>
      <w:numFmt w:val="lowerRoman"/>
      <w:start w:val="1"/>
    </w:lvl>
  </w:abstractNum>
  <w:abstractNum w:abstractNumId="54">
    <w:nsid w:val="E7FFA2B"/>
    <w:multiLevelType w:val="hybridMultilevel"/>
    <w:lvl w:ilvl="0">
      <w:lvlJc w:val="left"/>
      <w:lvlText w:val="(%1)"/>
      <w:numFmt w:val="lowerLetter"/>
      <w:start w:val="4"/>
    </w:lvl>
    <w:lvl w:ilvl="1">
      <w:lvlJc w:val="left"/>
      <w:lvlText w:val="(%2)"/>
      <w:numFmt w:val="lowerRoman"/>
      <w:start w:val="1"/>
    </w:lvl>
  </w:abstractNum>
  <w:abstractNum w:abstractNumId="55">
    <w:nsid w:val="3C5991AA"/>
    <w:multiLevelType w:val="hybridMultilevel"/>
    <w:lvl w:ilvl="0">
      <w:lvlJc w:val="left"/>
      <w:lvlText w:val="%1."/>
      <w:numFmt w:val="decimal"/>
      <w:start w:val="9"/>
    </w:lvl>
  </w:abstractNum>
  <w:abstractNum w:abstractNumId="56">
    <w:nsid w:val="4BD8591A"/>
    <w:multiLevelType w:val="hybridMultilevel"/>
    <w:lvl w:ilvl="0">
      <w:lvlJc w:val="left"/>
      <w:lvlText w:val="(%1)"/>
      <w:numFmt w:val="lowerLetter"/>
      <w:start w:val="1"/>
    </w:lvl>
  </w:abstractNum>
  <w:abstractNum w:abstractNumId="57">
    <w:nsid w:val="78DF6A55"/>
    <w:multiLevelType w:val="hybridMultilevel"/>
    <w:lvl w:ilvl="0">
      <w:lvlJc w:val="left"/>
      <w:lvlText w:val="(%1)"/>
      <w:numFmt w:val="lowerLetter"/>
      <w:start w:val="4"/>
    </w:lvl>
  </w:abstractNum>
  <w:abstractNum w:abstractNumId="58">
    <w:nsid w:val="39B7AAA2"/>
    <w:multiLevelType w:val="hybridMultilevel"/>
    <w:lvl w:ilvl="0">
      <w:lvlJc w:val="left"/>
      <w:lvlText w:val="%1."/>
      <w:numFmt w:val="decimal"/>
      <w:start w:val="10"/>
    </w:lvl>
  </w:abstractNum>
  <w:abstractNum w:abstractNumId="59">
    <w:nsid w:val="2B0D8DBE"/>
    <w:multiLevelType w:val="hybridMultilevel"/>
    <w:lvl w:ilvl="0">
      <w:lvlJc w:val="left"/>
      <w:lvlText w:val="(%1)"/>
      <w:numFmt w:val="lowerLetter"/>
      <w:start w:val="1"/>
    </w:lvl>
  </w:abstractNum>
  <w:abstractNum w:abstractNumId="60">
    <w:nsid w:val="6C80EC70"/>
    <w:multiLevelType w:val="hybridMultilevel"/>
    <w:lvl w:ilvl="0">
      <w:lvlJc w:val="left"/>
      <w:lvlText w:val="(%1)"/>
      <w:numFmt w:val="lowerLetter"/>
      <w:start w:val="4"/>
    </w:lvl>
  </w:abstractNum>
  <w:abstractNum w:abstractNumId="61">
    <w:nsid w:val="379E21B5"/>
    <w:multiLevelType w:val="hybridMultilevel"/>
    <w:lvl w:ilvl="0">
      <w:lvlJc w:val="left"/>
      <w:lvlText w:val="%1."/>
      <w:numFmt w:val="decimal"/>
      <w:start w:val="11"/>
    </w:lvl>
  </w:abstractNum>
  <w:abstractNum w:abstractNumId="62">
    <w:nsid w:val="69E373"/>
    <w:multiLevelType w:val="hybridMultilevel"/>
    <w:lvl w:ilvl="0">
      <w:lvlJc w:val="left"/>
      <w:lvlText w:val="(%1)"/>
      <w:numFmt w:val="lowerLetter"/>
      <w:start w:val="1"/>
    </w:lvl>
  </w:abstractNum>
  <w:abstractNum w:abstractNumId="63">
    <w:nsid w:val="2C27173B"/>
    <w:multiLevelType w:val="hybridMultilevel"/>
    <w:lvl w:ilvl="0">
      <w:lvlJc w:val="left"/>
      <w:lvlText w:val="%1."/>
      <w:numFmt w:val="decimal"/>
      <w:start w:val="12"/>
    </w:lvl>
  </w:abstractNum>
  <w:abstractNum w:abstractNumId="64">
    <w:nsid w:val="4C9B0904"/>
    <w:multiLevelType w:val="hybridMultilevel"/>
    <w:lvl w:ilvl="0">
      <w:lvlJc w:val="left"/>
      <w:lvlText w:val="(%1)"/>
      <w:numFmt w:val="lowerLetter"/>
      <w:start w:val="1"/>
    </w:lvl>
  </w:abstractNum>
  <w:abstractNum w:abstractNumId="65">
    <w:nsid w:val="6AA7B75C"/>
    <w:multiLevelType w:val="hybridMultilevel"/>
    <w:lvl w:ilvl="0">
      <w:lvlJc w:val="left"/>
      <w:lvlText w:val="(%1)"/>
      <w:numFmt w:val="lowerLetter"/>
      <w:start w:val="2"/>
    </w:lvl>
  </w:abstractNum>
  <w:abstractNum w:abstractNumId="66">
    <w:nsid w:val="1DF029D3"/>
    <w:multiLevelType w:val="hybridMultilevel"/>
    <w:lvl w:ilvl="0">
      <w:lvlJc w:val="left"/>
      <w:lvlText w:val="%1."/>
      <w:numFmt w:val="decimal"/>
      <w:start w:val="13"/>
    </w:lvl>
  </w:abstractNum>
  <w:abstractNum w:abstractNumId="67">
    <w:nsid w:val="5675FF36"/>
    <w:multiLevelType w:val="hybridMultilevel"/>
    <w:lvl w:ilvl="0">
      <w:lvlJc w:val="left"/>
      <w:lvlText w:val="%1."/>
      <w:numFmt w:val="decimal"/>
      <w:start w:val="14"/>
    </w:lvl>
  </w:abstractNum>
  <w:abstractNum w:abstractNumId="68">
    <w:nsid w:val="3DD15094"/>
    <w:multiLevelType w:val="hybridMultilevel"/>
    <w:lvl w:ilvl="0">
      <w:lvlJc w:val="left"/>
      <w:lvlText w:val="%1."/>
      <w:numFmt w:val="decimal"/>
      <w:start w:val="15"/>
    </w:lvl>
  </w:abstractNum>
  <w:abstractNum w:abstractNumId="69">
    <w:nsid w:val="3DB012B3"/>
    <w:multiLevelType w:val="hybridMultilevel"/>
    <w:lvl w:ilvl="0">
      <w:lvlJc w:val="left"/>
      <w:lvlText w:val="%1."/>
      <w:numFmt w:val="decimal"/>
      <w:start w:val="16"/>
    </w:lvl>
  </w:abstractNum>
  <w:abstractNum w:abstractNumId="70">
    <w:nsid w:val="2708C9AF"/>
    <w:multiLevelType w:val="hybridMultilevel"/>
    <w:lvl w:ilvl="0">
      <w:lvlJc w:val="left"/>
      <w:lvlText w:val="%1."/>
      <w:numFmt w:val="decimal"/>
      <w:start w:val="17"/>
    </w:lvl>
  </w:abstractNum>
  <w:abstractNum w:abstractNumId="71">
    <w:nsid w:val="5B25ACE2"/>
    <w:multiLevelType w:val="hybridMultilevel"/>
    <w:lvl w:ilvl="0">
      <w:lvlJc w:val="left"/>
      <w:lvlText w:val="%1."/>
      <w:numFmt w:val="decimal"/>
      <w:start w:val="18"/>
    </w:lvl>
  </w:abstractNum>
  <w:abstractNum w:abstractNumId="72">
    <w:nsid w:val="175DFCF0"/>
    <w:multiLevelType w:val="hybridMultilevel"/>
    <w:lvl w:ilvl="0">
      <w:lvlJc w:val="left"/>
      <w:lvlText w:val="%1."/>
      <w:numFmt w:val="decimal"/>
      <w:start w:val="19"/>
    </w:lvl>
  </w:abstractNum>
  <w:abstractNum w:abstractNumId="73">
    <w:nsid w:val="4F97E3E4"/>
    <w:multiLevelType w:val="hybridMultilevel"/>
    <w:lvl w:ilvl="0">
      <w:lvlJc w:val="left"/>
      <w:lvlText w:val="%1."/>
      <w:numFmt w:val="decimal"/>
      <w:start w:val="20"/>
    </w:lvl>
  </w:abstractNum>
  <w:abstractNum w:abstractNumId="74">
    <w:nsid w:val="53B0A9E"/>
    <w:multiLevelType w:val="hybridMultilevel"/>
    <w:lvl w:ilvl="0">
      <w:lvlJc w:val="left"/>
      <w:lvlText w:val="%1."/>
      <w:numFmt w:val="decimal"/>
      <w:start w:val="21"/>
    </w:lvl>
  </w:abstractNum>
  <w:abstractNum w:abstractNumId="75">
    <w:nsid w:val="34FD6B4F"/>
    <w:multiLevelType w:val="hybridMultilevel"/>
    <w:lvl w:ilvl="0">
      <w:lvlJc w:val="left"/>
      <w:lvlText w:val="%1."/>
      <w:numFmt w:val="decimal"/>
      <w:start w:val="22"/>
    </w:lvl>
  </w:abstractNum>
  <w:abstractNum w:abstractNumId="76">
    <w:nsid w:val="5915FF32"/>
    <w:multiLevelType w:val="hybridMultilevel"/>
    <w:lvl w:ilvl="0">
      <w:lvlJc w:val="left"/>
      <w:lvlText w:val="%1."/>
      <w:numFmt w:val="decimal"/>
      <w:start w:val="23"/>
    </w:lvl>
  </w:abstractNum>
  <w:abstractNum w:abstractNumId="77">
    <w:nsid w:val="56438D15"/>
    <w:multiLevelType w:val="hybridMultilevel"/>
    <w:lvl w:ilvl="0">
      <w:lvlJc w:val="left"/>
      <w:lvlText w:val="%1."/>
      <w:numFmt w:val="decimal"/>
      <w:start w:val="24"/>
    </w:lvl>
  </w:abstractNum>
  <w:abstractNum w:abstractNumId="78">
    <w:nsid w:val="519E3149"/>
    <w:multiLevelType w:val="hybridMultilevel"/>
    <w:lvl w:ilvl="0">
      <w:lvlJc w:val="left"/>
      <w:lvlText w:val="(%1)"/>
      <w:numFmt w:val="lowerLetter"/>
      <w:start w:val="1"/>
    </w:lvl>
  </w:abstractNum>
  <w:abstractNum w:abstractNumId="79">
    <w:nsid w:val="2C6E4AFD"/>
    <w:multiLevelType w:val="hybridMultilevel"/>
    <w:lvl w:ilvl="0">
      <w:lvlJc w:val="left"/>
      <w:lvlText w:val="(%1)"/>
      <w:numFmt w:val="lowerLetter"/>
      <w:start w:val="2"/>
    </w:lvl>
  </w:abstractNum>
  <w:abstractNum w:abstractNumId="80">
    <w:nsid w:val="17A1B582"/>
    <w:multiLevelType w:val="hybridMultilevel"/>
    <w:lvl w:ilvl="0">
      <w:lvlJc w:val="left"/>
      <w:lvlText w:val="%1."/>
      <w:numFmt w:val="decimal"/>
      <w:start w:val="25"/>
    </w:lvl>
  </w:abstractNum>
  <w:abstractNum w:abstractNumId="81">
    <w:nsid w:val="4DF72E4E"/>
    <w:multiLevelType w:val="hybridMultilevel"/>
    <w:lvl w:ilvl="0">
      <w:lvlJc w:val="left"/>
      <w:lvlText w:val="%1."/>
      <w:numFmt w:val="decimal"/>
      <w:start w:val="26"/>
    </w:lvl>
  </w:abstractNum>
  <w:abstractNum w:abstractNumId="82">
    <w:nsid w:val="5046B5A9"/>
    <w:multiLevelType w:val="hybridMultilevel"/>
    <w:lvl w:ilvl="0">
      <w:lvlJc w:val="left"/>
      <w:lvlText w:val="%1."/>
      <w:numFmt w:val="decimal"/>
      <w:start w:val="1"/>
    </w:lvl>
  </w:abstractNum>
  <w:abstractNum w:abstractNumId="83">
    <w:nsid w:val="5D888A08"/>
    <w:multiLevelType w:val="hybridMultilevel"/>
    <w:lvl w:ilvl="0">
      <w:lvlJc w:val="left"/>
      <w:lvlText w:val="%1."/>
      <w:numFmt w:val="decimal"/>
      <w:start w:val="2"/>
    </w:lvl>
  </w:abstractNum>
  <w:abstractNum w:abstractNumId="84">
    <w:nsid w:val="2A082C70"/>
    <w:multiLevelType w:val="hybridMultilevel"/>
    <w:lvl w:ilvl="0">
      <w:lvlJc w:val="left"/>
      <w:lvlText w:val="%1."/>
      <w:numFmt w:val="decimal"/>
      <w:start w:val="1"/>
    </w:lvl>
  </w:abstractNum>
  <w:abstractNum w:abstractNumId="85">
    <w:nsid w:val="5EC6AFD4"/>
    <w:multiLevelType w:val="hybridMultilevel"/>
    <w:lvl w:ilvl="0">
      <w:lvlJc w:val="left"/>
      <w:lvlText w:val="%1."/>
      <w:numFmt w:val="decimal"/>
      <w:start w:val="2"/>
    </w:lvl>
  </w:abstractNum>
  <w:abstractNum w:abstractNumId="86">
    <w:nsid w:val="19E21BB2"/>
    <w:multiLevelType w:val="hybridMultilevel"/>
    <w:lvl w:ilvl="0">
      <w:lvlJc w:val="left"/>
      <w:lvlText w:val="%1."/>
      <w:numFmt w:val="decimal"/>
      <w:start w:val="3"/>
    </w:lvl>
    <w:lvl w:ilvl="1">
      <w:lvlJc w:val="left"/>
      <w:lvlText w:val="(%2)"/>
      <w:numFmt w:val="lowerLetter"/>
      <w:start w:val="1"/>
    </w:lvl>
  </w:abstractNum>
  <w:abstractNum w:abstractNumId="87">
    <w:nsid w:val="75E0858A"/>
    <w:multiLevelType w:val="hybridMultilevel"/>
    <w:lvl w:ilvl="0">
      <w:lvlJc w:val="left"/>
      <w:lvlText w:val="%1"/>
      <w:numFmt w:val="decimal"/>
      <w:start w:val="1"/>
    </w:lvl>
    <w:lvl w:ilvl="1">
      <w:lvlJc w:val="left"/>
      <w:lvlText w:val="(%2)"/>
      <w:numFmt w:val="lowerLetter"/>
      <w:start w:val="3"/>
    </w:lvl>
  </w:abstractNum>
  <w:abstractNum w:abstractNumId="88">
    <w:nsid w:val="57A61A29"/>
    <w:multiLevelType w:val="hybridMultilevel"/>
    <w:lvl w:ilvl="0">
      <w:lvlJc w:val="left"/>
      <w:lvlText w:val="%1."/>
      <w:numFmt w:val="decimal"/>
      <w:start w:val="4"/>
    </w:lvl>
    <w:lvl w:ilvl="1">
      <w:lvlJc w:val="left"/>
      <w:lvlText w:val="%2"/>
      <w:numFmt w:val="lowerLetter"/>
      <w:start w:val="1"/>
    </w:lvl>
  </w:abstractNum>
  <w:abstractNum w:abstractNumId="89">
    <w:nsid w:val="5399C654"/>
    <w:multiLevelType w:val="hybridMultilevel"/>
    <w:lvl w:ilvl="0">
      <w:lvlJc w:val="left"/>
      <w:lvlText w:val="%1."/>
      <w:numFmt w:val="decimal"/>
      <w:start w:val="5"/>
    </w:lvl>
    <w:lvl w:ilvl="1">
      <w:lvlJc w:val="left"/>
      <w:lvlText w:val="(%2)"/>
      <w:numFmt w:val="lowerLetter"/>
      <w:start w:val="1"/>
    </w:lvl>
  </w:abstractNum>
  <w:abstractNum w:abstractNumId="90">
    <w:nsid w:val="20EE134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1">
    <w:nsid w:val="4427069A"/>
    <w:multiLevelType w:val="hybridMultilevel"/>
    <w:lvl w:ilvl="0">
      <w:lvlJc w:val="left"/>
      <w:lvlText w:val="(%1)"/>
      <w:numFmt w:val="lowerLetter"/>
      <w:start w:val="3"/>
    </w:lvl>
  </w:abstractNum>
  <w:abstractNum w:abstractNumId="92">
    <w:nsid w:val="B37E80A"/>
    <w:multiLevelType w:val="hybridMultilevel"/>
    <w:lvl w:ilvl="0">
      <w:lvlJc w:val="left"/>
      <w:lvlText w:val="(%1)"/>
      <w:numFmt w:val="lowerLetter"/>
      <w:start w:val="7"/>
    </w:lvl>
  </w:abstractNum>
  <w:abstractNum w:abstractNumId="93">
    <w:nsid w:val="2157F6BC"/>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94">
    <w:nsid w:val="704E1DD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95">
    <w:nsid w:val="57D2F1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lvl w:ilvl="3">
      <w:lvlJc w:val="left"/>
      <w:lvlText w:val="(%4)"/>
      <w:numFmt w:val="lowerRoman"/>
      <w:start w:val="1"/>
    </w:lvl>
  </w:abstractNum>
  <w:abstractNum w:abstractNumId="96">
    <w:nsid w:val="BFFAE18"/>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97">
    <w:nsid w:val="E3E47A8"/>
    <w:multiLevelType w:val="hybridMultilevel"/>
    <w:lvl w:ilvl="0">
      <w:lvlJc w:val="left"/>
      <w:lvlText w:val="%1."/>
      <w:numFmt w:val="decimal"/>
      <w:start w:val="10"/>
    </w:lvl>
    <w:lvl w:ilvl="1">
      <w:lvlJc w:val="left"/>
      <w:lvlText w:val="(%2)"/>
      <w:numFmt w:val="lowerLetter"/>
      <w:start w:val="1"/>
    </w:lvl>
  </w:abstractNum>
  <w:abstractNum w:abstractNumId="98">
    <w:nsid w:val="2E48F044"/>
    <w:multiLevelType w:val="hybridMultilevel"/>
    <w:lvl w:ilvl="0">
      <w:lvlJc w:val="left"/>
      <w:lvlText w:val="%1."/>
      <w:numFmt w:val="decimal"/>
      <w:start w:val="11"/>
    </w:lvl>
    <w:lvl w:ilvl="1">
      <w:lvlJc w:val="left"/>
      <w:lvlText w:val="(%2)"/>
      <w:numFmt w:val="lowerLetter"/>
      <w:start w:val="1"/>
    </w:lvl>
  </w:abstractNum>
  <w:abstractNum w:abstractNumId="99">
    <w:nsid w:val="49D0FEAC"/>
    <w:multiLevelType w:val="hybridMultilevel"/>
    <w:lvl w:ilvl="0">
      <w:lvlJc w:val="left"/>
      <w:lvlText w:val="%1"/>
      <w:numFmt w:val="decimal"/>
      <w:start w:val="1"/>
    </w:lvl>
    <w:lvl w:ilvl="1">
      <w:lvlJc w:val="left"/>
      <w:lvlText w:val="(%2)"/>
      <w:numFmt w:val="lowerLetter"/>
      <w:start w:val="2"/>
    </w:lvl>
  </w:abstractNum>
  <w:abstractNum w:abstractNumId="100">
    <w:nsid w:val="4BEE5A5B"/>
    <w:multiLevelType w:val="hybridMultilevel"/>
    <w:lvl w:ilvl="0">
      <w:lvlJc w:val="left"/>
      <w:lvlText w:val="%1."/>
      <w:numFmt w:val="decimal"/>
      <w:start w:val="13"/>
    </w:lvl>
    <w:lvl w:ilvl="1">
      <w:lvlJc w:val="left"/>
      <w:lvlText w:val="%2"/>
      <w:numFmt w:val="lowerLetter"/>
      <w:start w:val="1"/>
    </w:lvl>
  </w:abstractNum>
  <w:abstractNum w:abstractNumId="101">
    <w:nsid w:val="5551B9F3"/>
    <w:multiLevelType w:val="hybridMultilevel"/>
    <w:lvl w:ilvl="0">
      <w:lvlJc w:val="left"/>
      <w:lvlText w:val="%1."/>
      <w:numFmt w:val="decimal"/>
      <w:start w:val="14"/>
    </w:lvl>
  </w:abstractNum>
  <w:abstractNum w:abstractNumId="102">
    <w:nsid w:val="24F6AB8E"/>
    <w:multiLevelType w:val="hybridMultilevel"/>
    <w:lvl w:ilvl="0">
      <w:lvlJc w:val="left"/>
      <w:lvlText w:val="%1."/>
      <w:numFmt w:val="decimal"/>
      <w:start w:val="15"/>
    </w:lvl>
  </w:abstractNum>
  <w:abstractNum w:abstractNumId="103">
    <w:nsid w:val="634C574C"/>
    <w:multiLevelType w:val="hybridMultilevel"/>
    <w:lvl w:ilvl="0">
      <w:lvlJc w:val="left"/>
      <w:lvlText w:val="%1."/>
      <w:numFmt w:val="decimal"/>
      <w:start w:val="16"/>
    </w:lvl>
  </w:abstractNum>
  <w:abstractNum w:abstractNumId="104">
    <w:nsid w:val="24E99DD7"/>
    <w:multiLevelType w:val="hybridMultilevel"/>
    <w:lvl w:ilvl="0">
      <w:lvlJc w:val="left"/>
      <w:lvlText w:val="%1."/>
      <w:numFmt w:val="decimal"/>
      <w:start w:val="17"/>
    </w:lvl>
  </w:abstractNum>
  <w:abstractNum w:abstractNumId="105">
    <w:nsid w:val="2A31B62D"/>
    <w:multiLevelType w:val="hybridMultilevel"/>
    <w:lvl w:ilvl="0">
      <w:lvlJc w:val="left"/>
      <w:lvlText w:val="%1."/>
      <w:numFmt w:val="decimal"/>
      <w:start w:val="18"/>
    </w:lvl>
  </w:abstractNum>
  <w:abstractNum w:abstractNumId="106">
    <w:nsid w:val="1849C29B"/>
    <w:multiLevelType w:val="hybridMultilevel"/>
    <w:lvl w:ilvl="0">
      <w:lvlJc w:val="left"/>
      <w:lvlText w:val="%1."/>
      <w:numFmt w:val="decimal"/>
      <w:start w:val="19"/>
    </w:lvl>
  </w:abstractNum>
  <w:abstractNum w:abstractNumId="107">
    <w:nsid w:val="7DFF9D09"/>
    <w:multiLevelType w:val="hybridMultilevel"/>
    <w:lvl w:ilvl="0">
      <w:lvlJc w:val="left"/>
      <w:lvlText w:val="%1."/>
      <w:numFmt w:val="decimal"/>
      <w:start w:val="20"/>
    </w:lvl>
  </w:abstractNum>
  <w:abstractNum w:abstractNumId="108">
    <w:nsid w:val="754342"/>
    <w:multiLevelType w:val="hybridMultilevel"/>
    <w:lvl w:ilvl="0">
      <w:lvlJc w:val="left"/>
      <w:lvlText w:val="%1."/>
      <w:numFmt w:val="decimal"/>
      <w:start w:val="21"/>
    </w:lvl>
  </w:abstractNum>
  <w:abstractNum w:abstractNumId="109">
    <w:nsid w:val="69E7F3E5"/>
    <w:multiLevelType w:val="hybridMultilevel"/>
    <w:lvl w:ilvl="0">
      <w:lvlJc w:val="left"/>
      <w:lvlText w:val="%1."/>
      <w:numFmt w:val="decimal"/>
      <w:start w:val="22"/>
    </w:lvl>
  </w:abstractNum>
  <w:abstractNum w:abstractNumId="110">
    <w:nsid w:val="2A6DE806"/>
    <w:multiLevelType w:val="hybridMultilevel"/>
    <w:lvl w:ilvl="0">
      <w:lvlJc w:val="left"/>
      <w:lvlText w:val="%1."/>
      <w:numFmt w:val="decimal"/>
      <w:start w:val="23"/>
    </w:lvl>
  </w:abstractNum>
  <w:abstractNum w:abstractNumId="111">
    <w:nsid w:val="1816F8C4"/>
    <w:multiLevelType w:val="hybridMultilevel"/>
    <w:lvl w:ilvl="0">
      <w:lvlJc w:val="left"/>
      <w:lvlText w:val="%1."/>
      <w:numFmt w:val="decimal"/>
      <w:start w:val="24"/>
    </w:lvl>
    <w:lvl w:ilvl="1">
      <w:lvlJc w:val="left"/>
      <w:lvlText w:val="(%2)"/>
      <w:numFmt w:val="lowerLetter"/>
      <w:start w:val="1"/>
    </w:lvl>
  </w:abstractNum>
  <w:abstractNum w:abstractNumId="112">
    <w:nsid w:val="37DF2233"/>
    <w:multiLevelType w:val="hybridMultilevel"/>
    <w:lvl w:ilvl="0">
      <w:lvlJc w:val="left"/>
      <w:lvlText w:val="%1."/>
      <w:numFmt w:val="decimal"/>
      <w:start w:val="25"/>
    </w:lvl>
  </w:abstractNum>
  <w:abstractNum w:abstractNumId="113">
    <w:nsid w:val="7AB49DAF"/>
    <w:multiLevelType w:val="hybridMultilevel"/>
    <w:lvl w:ilvl="0">
      <w:lvlJc w:val="left"/>
      <w:lvlText w:val="%1."/>
      <w:numFmt w:val="decimal"/>
      <w:start w:val="26"/>
    </w:lvl>
  </w:abstractNum>
  <w:abstractNum w:abstractNumId="114">
    <w:nsid w:val="759F82CD"/>
    <w:multiLevelType w:val="hybridMultilevel"/>
    <w:lvl w:ilvl="0">
      <w:lvlJc w:val="left"/>
      <w:lvlText w:val="%1."/>
      <w:numFmt w:val="decimal"/>
      <w:start w:val="1"/>
    </w:lvl>
  </w:abstractNum>
  <w:abstractNum w:abstractNumId="115">
    <w:nsid w:val="61E74EA3"/>
    <w:multiLevelType w:val="hybridMultilevel"/>
    <w:lvl w:ilvl="0">
      <w:lvlJc w:val="left"/>
      <w:lvlText w:val="%1."/>
      <w:numFmt w:val="decimal"/>
      <w:start w:val="2"/>
    </w:lvl>
  </w:abstractNum>
  <w:abstractNum w:abstractNumId="116">
    <w:nsid w:val="597B4D84"/>
    <w:multiLevelType w:val="hybridMultilevel"/>
    <w:lvl w:ilvl="0">
      <w:lvlJc w:val="left"/>
      <w:lvlText w:val="%1."/>
      <w:numFmt w:val="decimal"/>
      <w:start w:val="1"/>
    </w:lvl>
  </w:abstractNum>
  <w:abstractNum w:abstractNumId="117">
    <w:nsid w:val="F819E7F"/>
    <w:multiLevelType w:val="hybridMultilevel"/>
    <w:lvl w:ilvl="0">
      <w:lvlJc w:val="left"/>
      <w:lvlText w:val="%1."/>
      <w:numFmt w:val="decimal"/>
      <w:start w:val="2"/>
    </w:lvl>
  </w:abstractNum>
  <w:abstractNum w:abstractNumId="118">
    <w:nsid w:val="57C7D42D"/>
    <w:multiLevelType w:val="hybridMultilevel"/>
    <w:lvl w:ilvl="0">
      <w:lvlJc w:val="left"/>
      <w:lvlText w:val="%1."/>
      <w:numFmt w:val="decimal"/>
      <w:start w:val="3"/>
    </w:lvl>
  </w:abstractNum>
  <w:abstractNum w:abstractNumId="119">
    <w:nsid w:val="312167AD"/>
    <w:multiLevelType w:val="hybridMultilevel"/>
    <w:lvl w:ilvl="0">
      <w:lvlJc w:val="left"/>
      <w:lvlText w:val="(%1)"/>
      <w:numFmt w:val="lowerLetter"/>
      <w:start w:val="1"/>
    </w:lvl>
  </w:abstractNum>
  <w:abstractNum w:abstractNumId="120">
    <w:nsid w:val="631B64D4"/>
    <w:multiLevelType w:val="hybridMultilevel"/>
    <w:lvl w:ilvl="0">
      <w:lvlJc w:val="left"/>
      <w:lvlText w:val="(%1)"/>
      <w:numFmt w:val="lowerLetter"/>
      <w:start w:val="3"/>
    </w:lvl>
  </w:abstractNum>
  <w:abstractNum w:abstractNumId="121">
    <w:nsid w:val="78B5E776"/>
    <w:multiLevelType w:val="hybridMultilevel"/>
    <w:lvl w:ilvl="0">
      <w:lvlJc w:val="left"/>
      <w:lvlText w:val="%1."/>
      <w:numFmt w:val="decimal"/>
      <w:start w:val="4"/>
    </w:lvl>
  </w:abstractNum>
  <w:abstractNum w:abstractNumId="122">
    <w:nsid w:val="75486E47"/>
    <w:multiLevelType w:val="hybridMultilevel"/>
    <w:lvl w:ilvl="0">
      <w:lvlJc w:val="left"/>
      <w:lvlText w:val="%1."/>
      <w:numFmt w:val="decimal"/>
      <w:start w:val="5"/>
    </w:lvl>
  </w:abstractNum>
  <w:abstractNum w:abstractNumId="123">
    <w:nsid w:val="6E534CDE"/>
    <w:multiLevelType w:val="hybridMultilevel"/>
    <w:lvl w:ilvl="0">
      <w:lvlJc w:val="left"/>
      <w:lvlText w:val="(%1)"/>
      <w:numFmt w:val="lowerLetter"/>
      <w:start w:val="1"/>
    </w:lvl>
  </w:abstractNum>
  <w:abstractNum w:abstractNumId="124">
    <w:nsid w:val="1A0DDE32"/>
    <w:multiLevelType w:val="hybridMultilevel"/>
    <w:lvl w:ilvl="0">
      <w:lvlJc w:val="left"/>
      <w:lvlText w:val="(%1)"/>
      <w:numFmt w:val="lowerLetter"/>
      <w:start w:val="3"/>
    </w:lvl>
  </w:abstractNum>
  <w:abstractNum w:abstractNumId="125">
    <w:nsid w:val="65968C1C"/>
    <w:multiLevelType w:val="hybridMultilevel"/>
    <w:lvl w:ilvl="0">
      <w:lvlJc w:val="left"/>
      <w:lvlText w:val="%1."/>
      <w:numFmt w:val="decimal"/>
      <w:start w:val="6"/>
    </w:lvl>
  </w:abstractNum>
  <w:abstractNum w:abstractNumId="126">
    <w:nsid w:val="46263DEC"/>
    <w:multiLevelType w:val="hybridMultilevel"/>
    <w:lvl w:ilvl="0">
      <w:lvlJc w:val="left"/>
      <w:lvlText w:val="(%1)"/>
      <w:numFmt w:val="lowerLetter"/>
      <w:start w:val="1"/>
    </w:lvl>
  </w:abstractNum>
  <w:abstractNum w:abstractNumId="127">
    <w:nsid w:val="260D8C4A"/>
    <w:multiLevelType w:val="hybridMultilevel"/>
    <w:lvl w:ilvl="0">
      <w:lvlJc w:val="left"/>
      <w:lvlText w:val="%1."/>
      <w:numFmt w:val="decimal"/>
      <w:start w:val="7"/>
    </w:lvl>
  </w:abstractNum>
  <w:abstractNum w:abstractNumId="128">
    <w:nsid w:val="73D4D3C4"/>
    <w:multiLevelType w:val="hybridMultilevel"/>
    <w:lvl w:ilvl="0">
      <w:lvlJc w:val="left"/>
      <w:lvlText w:val="(%1)"/>
      <w:numFmt w:val="lowerLetter"/>
      <w:start w:val="1"/>
    </w:lvl>
    <w:lvl w:ilvl="1">
      <w:lvlJc w:val="left"/>
      <w:lvlText w:val="(%2)"/>
      <w:numFmt w:val="lowerRoman"/>
      <w:start w:val="1"/>
    </w:lvl>
  </w:abstractNum>
  <w:abstractNum w:abstractNumId="129">
    <w:nsid w:val="746F2E30"/>
    <w:multiLevelType w:val="hybridMultilevel"/>
    <w:lvl w:ilvl="0">
      <w:lvlJc w:val="left"/>
      <w:lvlText w:val="%1"/>
      <w:numFmt w:val="lowerLetter"/>
      <w:start w:val="1"/>
    </w:lvl>
    <w:lvl w:ilvl="1">
      <w:lvlJc w:val="left"/>
      <w:lvlText w:val="(%2)"/>
      <w:numFmt w:val="lowerLetter"/>
      <w:start w:val="61"/>
    </w:lvl>
  </w:abstractNum>
  <w:abstractNum w:abstractNumId="130">
    <w:nsid w:val="6FDE8AF6"/>
    <w:multiLevelType w:val="hybridMultilevel"/>
    <w:lvl w:ilvl="0">
      <w:lvlJc w:val="left"/>
      <w:lvlText w:val="(%1)"/>
      <w:numFmt w:val="lowerLetter"/>
      <w:start w:val="3"/>
    </w:lvl>
    <w:lvl w:ilvl="1">
      <w:lvlJc w:val="left"/>
      <w:lvlText w:val="%2"/>
      <w:numFmt w:val="lowerLetter"/>
      <w:start w:val="1"/>
    </w:lvl>
  </w:abstractNum>
  <w:abstractNum w:abstractNumId="131">
    <w:nsid w:val="3FC32E20"/>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1"/>
    </w:lvl>
  </w:abstractNum>
  <w:abstractNum w:abstractNumId="132">
    <w:nsid w:val="49C0E823"/>
    <w:multiLevelType w:val="hybridMultilevel"/>
    <w:lvl w:ilvl="0">
      <w:lvlJc w:val="left"/>
      <w:lvlText w:val="(%1)."/>
      <w:numFmt w:val="lowerLetter"/>
      <w:start w:val="9"/>
    </w:lvl>
    <w:lvl w:ilvl="1">
      <w:lvlJc w:val="left"/>
      <w:lvlText w:val="(%2)"/>
      <w:numFmt w:val="lowerLetter"/>
      <w:start w:val="10"/>
    </w:lvl>
    <w:lvl w:ilvl="2">
      <w:lvlJc w:val="left"/>
      <w:lvlText w:val="(%3)"/>
      <w:numFmt w:val="lowerLetter"/>
      <w:start w:val="9"/>
    </w:lvl>
  </w:abstractNum>
  <w:abstractNum w:abstractNumId="133">
    <w:nsid w:val="14D5368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34">
    <w:nsid w:val="230F856C"/>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135">
    <w:nsid w:val="6EAA85FB"/>
    <w:multiLevelType w:val="hybridMultilevel"/>
    <w:lvl w:ilvl="0">
      <w:lvlJc w:val="left"/>
      <w:lvlText w:val="%1."/>
      <w:numFmt w:val="decimal"/>
      <w:start w:val="8"/>
    </w:lvl>
  </w:abstractNum>
  <w:abstractNum w:abstractNumId="136">
    <w:nsid w:val="3F06ECB2"/>
    <w:multiLevelType w:val="hybridMultilevel"/>
    <w:lvl w:ilvl="0">
      <w:lvlJc w:val="left"/>
      <w:lvlText w:val="(%1)"/>
      <w:numFmt w:val="lowerLetter"/>
      <w:start w:val="1"/>
    </w:lvl>
  </w:abstractNum>
  <w:abstractNum w:abstractNumId="137">
    <w:nsid w:val="3B594807"/>
    <w:multiLevelType w:val="hybridMultilevel"/>
    <w:lvl w:ilvl="0">
      <w:lvlJc w:val="left"/>
      <w:lvlText w:val="(%1)"/>
      <w:numFmt w:val="lowerLetter"/>
      <w:start w:val="2"/>
    </w:lvl>
    <w:lvl w:ilvl="1">
      <w:lvlJc w:val="left"/>
      <w:lvlText w:val="(%2)"/>
      <w:numFmt w:val="lowerRoman"/>
      <w:start w:val="1"/>
    </w:lvl>
  </w:abstractNum>
  <w:abstractNum w:abstractNumId="138">
    <w:nsid w:val="6CAA2304"/>
    <w:multiLevelType w:val="hybridMultilevel"/>
    <w:lvl w:ilvl="0">
      <w:lvlJc w:val="left"/>
      <w:lvlText w:val="%1"/>
      <w:numFmt w:val="decimal"/>
      <w:start w:val="1"/>
    </w:lvl>
    <w:lvl w:ilvl="1">
      <w:lvlJc w:val="left"/>
      <w:lvlText w:val="(%2)"/>
      <w:numFmt w:val="lowerRoman"/>
      <w:start w:val="2"/>
    </w:lvl>
  </w:abstractNum>
  <w:abstractNum w:abstractNumId="139">
    <w:nsid w:val="3F7C2FF4"/>
    <w:multiLevelType w:val="hybridMultilevel"/>
    <w:lvl w:ilvl="0">
      <w:lvlJc w:val="left"/>
      <w:lvlText w:val="%1."/>
      <w:numFmt w:val="decimal"/>
      <w:start w:val="9"/>
    </w:lvl>
    <w:lvl w:ilvl="1">
      <w:lvlJc w:val="left"/>
      <w:lvlText w:val="%2"/>
      <w:numFmt w:val="lowerRoman"/>
      <w:start w:val="1"/>
    </w:lvl>
  </w:abstractNum>
  <w:abstractNum w:abstractNumId="140">
    <w:nsid w:val="25413BEC"/>
    <w:multiLevelType w:val="hybridMultilevel"/>
    <w:lvl w:ilvl="0">
      <w:lvlJc w:val="left"/>
      <w:lvlText w:val="(%1)"/>
      <w:numFmt w:val="lowerLetter"/>
      <w:start w:val="1"/>
    </w:lvl>
  </w:abstractNum>
  <w:abstractNum w:abstractNumId="141">
    <w:nsid w:val="17180B0B"/>
    <w:multiLevelType w:val="hybridMultilevel"/>
    <w:lvl w:ilvl="0">
      <w:lvlJc w:val="left"/>
      <w:lvlText w:val="%1."/>
      <w:numFmt w:val="decimal"/>
      <w:start w:val="10"/>
    </w:lvl>
  </w:abstractNum>
  <w:abstractNum w:abstractNumId="142">
    <w:nsid w:val="579328B9"/>
    <w:multiLevelType w:val="hybridMultilevel"/>
    <w:lvl w:ilvl="0">
      <w:lvlJc w:val="left"/>
      <w:lvlText w:val="(%1)"/>
      <w:numFmt w:val="lowerLetter"/>
      <w:start w:val="1"/>
    </w:lvl>
  </w:abstractNum>
  <w:abstractNum w:abstractNumId="143">
    <w:nsid w:val="5D205E20"/>
    <w:multiLevelType w:val="hybridMultilevel"/>
    <w:lvl w:ilvl="0">
      <w:lvlJc w:val="left"/>
      <w:lvlText w:val="(%1)"/>
      <w:numFmt w:val="lowerLetter"/>
      <w:start w:val="2"/>
    </w:lvl>
  </w:abstractNum>
  <w:abstractNum w:abstractNumId="144">
    <w:nsid w:val="11CCA8BA"/>
    <w:multiLevelType w:val="hybridMultilevel"/>
    <w:lvl w:ilvl="0">
      <w:lvlJc w:val="left"/>
      <w:lvlText w:val="%1."/>
      <w:numFmt w:val="decimal"/>
      <w:start w:val="11"/>
    </w:lvl>
  </w:abstractNum>
  <w:abstractNum w:abstractNumId="145">
    <w:nsid w:val="4D32AB86"/>
    <w:multiLevelType w:val="hybridMultilevel"/>
    <w:lvl w:ilvl="0">
      <w:lvlJc w:val="left"/>
      <w:lvlText w:val="(%1)"/>
      <w:numFmt w:val="lowerLetter"/>
      <w:start w:val="1"/>
    </w:lvl>
  </w:abstractNum>
  <w:abstractNum w:abstractNumId="146">
    <w:nsid w:val="3F07ACC3"/>
    <w:multiLevelType w:val="hybridMultilevel"/>
    <w:lvl w:ilvl="0">
      <w:lvlJc w:val="left"/>
      <w:lvlText w:val="(%1)"/>
      <w:numFmt w:val="lowerLetter"/>
      <w:start w:val="2"/>
    </w:lvl>
  </w:abstractNum>
  <w:abstractNum w:abstractNumId="147">
    <w:nsid w:val="6B47F63E"/>
    <w:multiLevelType w:val="hybridMultilevel"/>
    <w:lvl w:ilvl="0">
      <w:lvlJc w:val="left"/>
      <w:lvlText w:val="%1."/>
      <w:numFmt w:val="decimal"/>
      <w:start w:val="12"/>
    </w:lvl>
  </w:abstractNum>
  <w:abstractNum w:abstractNumId="148">
    <w:nsid w:val="5CB44A05"/>
    <w:multiLevelType w:val="hybridMultilevel"/>
    <w:lvl w:ilvl="0">
      <w:lvlJc w:val="left"/>
      <w:lvlText w:val="(%1)"/>
      <w:numFmt w:val="lowerLetter"/>
      <w:start w:val="1"/>
    </w:lvl>
  </w:abstractNum>
  <w:abstractNum w:abstractNumId="149">
    <w:nsid w:val="16CF80F1"/>
    <w:multiLevelType w:val="hybridMultilevel"/>
    <w:lvl w:ilvl="0">
      <w:lvlJc w:val="left"/>
      <w:lvlText w:val="(%1)"/>
      <w:numFmt w:val="lowerLetter"/>
      <w:start w:val="2"/>
    </w:lvl>
  </w:abstractNum>
  <w:abstractNum w:abstractNumId="150">
    <w:nsid w:val="1C695DEC"/>
    <w:multiLevelType w:val="hybridMultilevel"/>
    <w:lvl w:ilvl="0">
      <w:lvlJc w:val="left"/>
      <w:lvlText w:val="%1."/>
      <w:numFmt w:val="decimal"/>
      <w:start w:val="13"/>
    </w:lvl>
  </w:abstractNum>
  <w:abstractNum w:abstractNumId="151">
    <w:nsid w:val="3FCFAED9"/>
    <w:multiLevelType w:val="hybridMultilevel"/>
    <w:lvl w:ilvl="0">
      <w:lvlJc w:val="left"/>
      <w:lvlText w:val="%1."/>
      <w:numFmt w:val="decimal"/>
      <w:start w:val="14"/>
    </w:lvl>
  </w:abstractNum>
  <w:abstractNum w:abstractNumId="152">
    <w:nsid w:val="F856867"/>
    <w:multiLevelType w:val="hybridMultilevel"/>
    <w:lvl w:ilvl="0">
      <w:lvlJc w:val="left"/>
      <w:lvlText w:val="%1."/>
      <w:numFmt w:val="decimal"/>
      <w:start w:val="15"/>
    </w:lvl>
  </w:abstractNum>
  <w:abstractNum w:abstractNumId="153">
    <w:nsid w:val="11B1CC33"/>
    <w:multiLevelType w:val="hybridMultilevel"/>
    <w:lvl w:ilvl="0">
      <w:lvlJc w:val="left"/>
      <w:lvlText w:val="%1."/>
      <w:numFmt w:val="decimal"/>
      <w:start w:val="16"/>
    </w:lvl>
  </w:abstractNum>
  <w:abstractNum w:abstractNumId="154">
    <w:nsid w:val="2E22FBB7"/>
    <w:multiLevelType w:val="hybridMultilevel"/>
    <w:lvl w:ilvl="0">
      <w:lvlJc w:val="left"/>
      <w:lvlText w:val="%1."/>
      <w:numFmt w:val="decimal"/>
      <w:start w:val="17"/>
    </w:lvl>
  </w:abstractNum>
  <w:abstractNum w:abstractNumId="155">
    <w:nsid w:val="29934699"/>
    <w:multiLevelType w:val="hybridMultilevel"/>
    <w:lvl w:ilvl="0">
      <w:lvlJc w:val="left"/>
      <w:lvlText w:val="%1."/>
      <w:numFmt w:val="decimal"/>
      <w:start w:val="18"/>
    </w:lvl>
  </w:abstractNum>
  <w:abstractNum w:abstractNumId="156">
    <w:nsid w:val="77485850"/>
    <w:multiLevelType w:val="hybridMultilevel"/>
    <w:lvl w:ilvl="0">
      <w:lvlJc w:val="left"/>
      <w:lvlText w:val="%1."/>
      <w:numFmt w:val="decimal"/>
      <w:start w:val="19"/>
    </w:lvl>
  </w:abstractNum>
  <w:abstractNum w:abstractNumId="157">
    <w:nsid w:val="744939A3"/>
    <w:multiLevelType w:val="hybridMultilevel"/>
    <w:lvl w:ilvl="0">
      <w:lvlJc w:val="left"/>
      <w:lvlText w:val="%1."/>
      <w:numFmt w:val="decimal"/>
      <w:start w:val="20"/>
    </w:lvl>
  </w:abstractNum>
  <w:abstractNum w:abstractNumId="158">
    <w:nsid w:val="4FA0D2E3"/>
    <w:multiLevelType w:val="hybridMultilevel"/>
    <w:lvl w:ilvl="0">
      <w:lvlJc w:val="left"/>
      <w:lvlText w:val="%1."/>
      <w:numFmt w:val="decimal"/>
      <w:start w:val="21"/>
    </w:lvl>
  </w:abstractNum>
  <w:abstractNum w:abstractNumId="159">
    <w:nsid w:val="6B1D2C14"/>
    <w:multiLevelType w:val="hybridMultilevel"/>
    <w:lvl w:ilvl="0">
      <w:lvlJc w:val="left"/>
      <w:lvlText w:val="%1."/>
      <w:numFmt w:val="decimal"/>
      <w:start w:val="22"/>
    </w:lvl>
  </w:abstractNum>
  <w:abstractNum w:abstractNumId="160">
    <w:nsid w:val="68B867D3"/>
    <w:multiLevelType w:val="hybridMultilevel"/>
    <w:lvl w:ilvl="0">
      <w:lvlJc w:val="left"/>
      <w:lvlText w:val="%1."/>
      <w:numFmt w:val="decimal"/>
      <w:start w:val="23"/>
    </w:lvl>
  </w:abstractNum>
  <w:abstractNum w:abstractNumId="161">
    <w:nsid w:val="3F7F5DD9"/>
    <w:multiLevelType w:val="hybridMultilevel"/>
    <w:lvl w:ilvl="0">
      <w:lvlJc w:val="left"/>
      <w:lvlText w:val="%1."/>
      <w:numFmt w:val="decimal"/>
      <w:start w:val="24"/>
    </w:lvl>
  </w:abstractNum>
  <w:abstractNum w:abstractNumId="162">
    <w:nsid w:val="2AE05A34"/>
    <w:multiLevelType w:val="hybridMultilevel"/>
    <w:lvl w:ilvl="0">
      <w:lvlJc w:val="left"/>
      <w:lvlText w:val="(%1)"/>
      <w:numFmt w:val="lowerLetter"/>
      <w:start w:val="1"/>
    </w:lvl>
  </w:abstractNum>
  <w:abstractNum w:abstractNumId="163">
    <w:nsid w:val="32794FF7"/>
    <w:multiLevelType w:val="hybridMultilevel"/>
    <w:lvl w:ilvl="0">
      <w:lvlJc w:val="left"/>
      <w:lvlText w:val="%1."/>
      <w:numFmt w:val="decimal"/>
      <w:start w:val="25"/>
    </w:lvl>
  </w:abstractNum>
  <w:abstractNum w:abstractNumId="164">
    <w:nsid w:val="5454945E"/>
    <w:multiLevelType w:val="hybridMultilevel"/>
    <w:lvl w:ilvl="0">
      <w:lvlJc w:val="left"/>
      <w:lvlText w:val="%1."/>
      <w:numFmt w:val="decimal"/>
      <w:start w:val="26"/>
    </w:lvl>
  </w:abstractNum>
  <w:abstractNum w:abstractNumId="165">
    <w:nsid w:val="4DEFDFA0"/>
    <w:multiLevelType w:val="hybridMultilevel"/>
    <w:lvl w:ilvl="0">
      <w:lvlJc w:val="left"/>
      <w:lvlText w:val="%1."/>
      <w:numFmt w:val="decimal"/>
      <w:start w:val="1"/>
    </w:lvl>
  </w:abstractNum>
  <w:abstractNum w:abstractNumId="166">
    <w:nsid w:val="2123D5F2"/>
    <w:multiLevelType w:val="hybridMultilevel"/>
    <w:lvl w:ilvl="0">
      <w:lvlJc w:val="left"/>
      <w:lvlText w:val="%1"/>
      <w:numFmt w:val="decimal"/>
      <w:start w:val="1"/>
    </w:lvl>
    <w:lvl w:ilvl="1">
      <w:lvlJc w:val="left"/>
      <w:lvlText w:val="%2."/>
      <w:numFmt w:val="decimal"/>
      <w:start w:val="2"/>
    </w:lvl>
  </w:abstractNum>
  <w:abstractNum w:abstractNumId="167">
    <w:nsid w:val="135B8110"/>
    <w:multiLevelType w:val="hybridMultilevel"/>
    <w:lvl w:ilvl="0">
      <w:lvlJc w:val="left"/>
      <w:lvlText w:val="(%1)"/>
      <w:numFmt w:val="decimal"/>
      <w:start w:val="21"/>
    </w:lvl>
    <w:lvl w:ilvl="1">
      <w:lvlJc w:val="left"/>
      <w:lvlText w:val="%2."/>
      <w:numFmt w:val="decimal"/>
      <w:start w:val="4"/>
    </w:lvl>
  </w:abstractNum>
  <w:abstractNum w:abstractNumId="168">
    <w:nsid w:val="94927A8"/>
    <w:multiLevelType w:val="hybridMultilevel"/>
    <w:lvl w:ilvl="0">
      <w:lvlJc w:val="left"/>
      <w:lvlText w:val="(%1)"/>
      <w:numFmt w:val="lowerLetter"/>
      <w:start w:val="1"/>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48"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102" Type="http://schemas.openxmlformats.org/officeDocument/2006/relationships/hyperlink" Target="http://www.sec.gov/Archives/edgar/data/813298/000156459017004804/dxlg-ex31_385.htm" TargetMode="External"/><Relationship Id="rId103" Type="http://schemas.openxmlformats.org/officeDocument/2006/relationships/hyperlink" Target="http://www.sec.gov/Archives/edgar/data/813298/000156459015005139/dxlg-ex31_2015061621.htm" TargetMode="External"/><Relationship Id="rId104" Type="http://schemas.openxmlformats.org/officeDocument/2006/relationships/hyperlink" Target="http://www.sec.gov/Archives/edgar/data/813298/000119312514102442/d657704dex103.htm" TargetMode="External"/><Relationship Id="rId105" Type="http://schemas.openxmlformats.org/officeDocument/2006/relationships/hyperlink" Target="http://www.sec.gov/Archives/edgar/data/813298/000156459016023169/dxlg-ex101_27.htm" TargetMode="External"/><Relationship Id="rId106" Type="http://schemas.openxmlformats.org/officeDocument/2006/relationships/hyperlink" Target="http://www.sec.gov/Archives/edgar/data/813298/000156459017004804/dxlg-ex103_69.htm" TargetMode="External"/><Relationship Id="rId107" Type="http://schemas.openxmlformats.org/officeDocument/2006/relationships/hyperlink" Target="http://www.sec.gov/Archives/edgar/data/813298/000156459017004804/dxlg-ex104_68.htm" TargetMode="External"/><Relationship Id="rId108" Type="http://schemas.openxmlformats.org/officeDocument/2006/relationships/hyperlink" Target="http://www.sec.gov/Archives/edgar/data/813298/000156459017004804/dxlg-ex105_67.htm" TargetMode="External"/><Relationship Id="rId109" Type="http://schemas.openxmlformats.org/officeDocument/2006/relationships/hyperlink" Target="http://www.sec.gov/Archives/edgar/data/813298/000156459017004804/dxlg-ex106_66.htm" TargetMode="External"/><Relationship Id="rId110" Type="http://schemas.openxmlformats.org/officeDocument/2006/relationships/hyperlink" Target="http://www.sec.gov/Archives/edgar/data/813298/000156459017004804/dxlg-ex107_65.htm" TargetMode="External"/><Relationship Id="rId111" Type="http://schemas.openxmlformats.org/officeDocument/2006/relationships/hyperlink" Target="http://www.sec.gov/Archives/edgar/data/813298/000156459017004804/dxlg-ex108_64.htm" TargetMode="External"/><Relationship Id="rId112" Type="http://schemas.openxmlformats.org/officeDocument/2006/relationships/hyperlink" Target="http://www.sec.gov/Archives/edgar/data/813298/000156459017004804/dxlg-ex109_63.htm" TargetMode="External"/><Relationship Id="rId113" Type="http://schemas.openxmlformats.org/officeDocument/2006/relationships/hyperlink" Target="http://www.sec.gov/Archives/edgar/data/813298/000119312511003556/dex101.htm" TargetMode="External"/><Relationship Id="rId114" Type="http://schemas.openxmlformats.org/officeDocument/2006/relationships/hyperlink" Target="http://www.sec.gov/Archives/edgar/data/813298/000119312513344783/d563226dex101.htm" TargetMode="External"/><Relationship Id="rId115" Type="http://schemas.openxmlformats.org/officeDocument/2006/relationships/hyperlink" Target="http://www.sec.gov/Archives/edgar/data/813298/000156459014005897/dxlg-ex101_20141101292.htm" TargetMode="External"/><Relationship Id="rId118" Type="http://schemas.openxmlformats.org/officeDocument/2006/relationships/hyperlink" Target="http://www.sec.gov/Archives/edgar/data/813298/000119312507159795/dex101.htm" TargetMode="External"/><Relationship Id="rId119" Type="http://schemas.openxmlformats.org/officeDocument/2006/relationships/hyperlink" Target="http://www.sec.gov/Archives/edgar/data/813298/000119312513390069/d607305dex102.htm" TargetMode="External"/><Relationship Id="rId120" Type="http://schemas.openxmlformats.org/officeDocument/2006/relationships/hyperlink" Target="http://www.sec.gov/Archives/edgar/data/813298/000119312513390069/d607305dex103.htm" TargetMode="External"/><Relationship Id="rId121" Type="http://schemas.openxmlformats.org/officeDocument/2006/relationships/hyperlink" Target="http://www.sec.gov/Archives/edgar/data/813298/000119312513390069/d607305dex104.htm" TargetMode="External"/><Relationship Id="rId122" Type="http://schemas.openxmlformats.org/officeDocument/2006/relationships/hyperlink" Target="http://www.sec.gov/Archives/edgar/data/813298/000119312513390069/d607305dex105.htm" TargetMode="External"/><Relationship Id="rId123" Type="http://schemas.openxmlformats.org/officeDocument/2006/relationships/hyperlink" Target="http://www.sec.gov/Archives/edgar/data/813298/000119312513390069/d607305dex106.htm" TargetMode="External"/><Relationship Id="rId124" Type="http://schemas.openxmlformats.org/officeDocument/2006/relationships/hyperlink" Target="http://www.sec.gov/Archives/edgar/data/813298/000119312514004814/d656842dex101.htm" TargetMode="External"/><Relationship Id="rId125" Type="http://schemas.openxmlformats.org/officeDocument/2006/relationships/hyperlink" Target="http://www.sec.gov/Archives/edgar/data/813298/000119312514004814/d656842dex102.htm" TargetMode="External"/><Relationship Id="rId126" Type="http://schemas.openxmlformats.org/officeDocument/2006/relationships/hyperlink" Target="http://www.sec.gov/Archives/edgar/data/813298/000119312514004814/d656842dex103.htm" TargetMode="External"/><Relationship Id="rId127" Type="http://schemas.openxmlformats.org/officeDocument/2006/relationships/hyperlink" Target="http://www.sec.gov/Archives/edgar/data/813298/000119312514125844/d704949dex101.htm" TargetMode="External"/><Relationship Id="rId128" Type="http://schemas.openxmlformats.org/officeDocument/2006/relationships/hyperlink" Target="http://www.sec.gov/Archives/edgar/data/813298/000119312514125844/d704949dex102.htm" TargetMode="External"/><Relationship Id="rId129" Type="http://schemas.openxmlformats.org/officeDocument/2006/relationships/hyperlink" Target="http://www.sec.gov/Archives/edgar/data/813298/000119312514125844/d704949dex103.htm" TargetMode="External"/><Relationship Id="rId130" Type="http://schemas.openxmlformats.org/officeDocument/2006/relationships/hyperlink" Target="http://www.sec.gov/Archives/edgar/data/813298/000119312514250843/d744156dex101.htm" TargetMode="External"/><Relationship Id="rId131" Type="http://schemas.openxmlformats.org/officeDocument/2006/relationships/hyperlink" Target="http://www.sec.gov/Archives/edgar/data/813298/000119312514250843/d744156dex102.htm" TargetMode="External"/><Relationship Id="rId134" Type="http://schemas.openxmlformats.org/officeDocument/2006/relationships/hyperlink" Target="http://www.sec.gov/Archives/edgar/data/813298/000156459014005897/dxlg-ex102_20141101365.htm" TargetMode="External"/><Relationship Id="rId135" Type="http://schemas.openxmlformats.org/officeDocument/2006/relationships/hyperlink" Target="http://www.sec.gov/Archives/edgar/data/813298/000119312514306826/d773518dex101.htm" TargetMode="External"/><Relationship Id="rId136" Type="http://schemas.openxmlformats.org/officeDocument/2006/relationships/hyperlink" Target="http://www.sec.gov/Archives/edgar/data/813298/000156459017011835/dxlg-ex101_6.htm" TargetMode="External"/><Relationship Id="rId137" Type="http://schemas.openxmlformats.org/officeDocument/2006/relationships/hyperlink" Target="http://www.sec.gov/Archives/edgar/data/813298/000119312509238028/dex101.htm" TargetMode="External"/><Relationship Id="rId138" Type="http://schemas.openxmlformats.org/officeDocument/2006/relationships/hyperlink" Target="http://www.sec.gov/Archives/edgar/data/813298/000119312510003992/dex102.htm" TargetMode="External"/><Relationship Id="rId139" Type="http://schemas.openxmlformats.org/officeDocument/2006/relationships/hyperlink" Target="http://www.sec.gov/Archives/edgar/data/813298/000119312510061836/dex1034.htm" TargetMode="External"/><Relationship Id="rId140" Type="http://schemas.openxmlformats.org/officeDocument/2006/relationships/hyperlink" Target="http://www.sec.gov/Archives/edgar/data/813298/000156459015010955/dxlg-ex101_16.htm" TargetMode="External"/><Relationship Id="rId141" Type="http://schemas.openxmlformats.org/officeDocument/2006/relationships/hyperlink" Target="http://www.sec.gov/Archives/edgar/data/813298/000119312513450963/d596870dex103.htm" TargetMode="External"/><Relationship Id="rId142" Type="http://schemas.openxmlformats.org/officeDocument/2006/relationships/hyperlink" Target="http://www.sec.gov/Archives/edgar/data/813298/000119312510061836/dex1040.htm" TargetMode="External"/><Relationship Id="rId143" Type="http://schemas.openxmlformats.org/officeDocument/2006/relationships/hyperlink" Target="http://www.sec.gov/Archives/edgar/data/813298/000156459015007593/dxlg-ex102_92.htm" TargetMode="External"/><Relationship Id="rId144" Type="http://schemas.openxmlformats.org/officeDocument/2006/relationships/hyperlink" Target="http://www.sec.gov/Archives/edgar/data/813298/000156459017004804/dxlg-ex1043_71.htm" TargetMode="External"/><Relationship Id="rId145" Type="http://schemas.openxmlformats.org/officeDocument/2006/relationships/hyperlink" Target="http://www.sec.gov/Archives/edgar/data/813298/000156459017004804/dxlg-ex1044_61.htm" TargetMode="External"/><Relationship Id="rId146" Type="http://schemas.openxmlformats.org/officeDocument/2006/relationships/hyperlink" Target="http://www.sec.gov/Archives/edgar/data/813298/000156459017017995/dxlg-ex101_6.htm" TargetMode="External"/><Relationship Id="rId147" Type="http://schemas.openxmlformats.org/officeDocument/2006/relationships/hyperlink" Target="http://www.sec.gov/Archives/edgar/data/813298/000156459014005622/dxlg-ex101_201411076.htm" TargetMode="External"/><Relationship Id="rId149" Type="http://schemas.openxmlformats.org/officeDocument/2006/relationships/hyperlink" Target="http://www.sec.gov/Archives/edgar/data/813298/000119312513344783/d563226dex102.htm" TargetMode="External"/><Relationship Id="rId150" Type="http://schemas.openxmlformats.org/officeDocument/2006/relationships/hyperlink" Target="http://www.sec.gov/Archives/edgar/data/813298/000156459017004804/dxlg-ex1049_1026.htm" TargetMode="External"/><Relationship Id="rId151" Type="http://schemas.openxmlformats.org/officeDocument/2006/relationships/hyperlink" Target="http://www.sec.gov/Archives/edgar/data/813298/000156459017004804/dxlg-ex1050_70.htm" TargetMode="External"/><Relationship Id="rId152" Type="http://schemas.openxmlformats.org/officeDocument/2006/relationships/hyperlink" Target="http://www.sec.gov/Archives/edgar/data/813298/000119312503090962/dex104.htm" TargetMode="External"/><Relationship Id="rId153" Type="http://schemas.openxmlformats.org/officeDocument/2006/relationships/hyperlink" Target="http://www.sec.gov/Archives/edgar/data/813298/000156459017024740/dxlg-ex101_6.htm" TargetMode="External"/><Relationship Id="rId154" Type="http://schemas.openxmlformats.org/officeDocument/2006/relationships/hyperlink" Target="http://www.sec.gov/Archives/edgar/data/813298/000156459017023975/dxlg-ex101_8.htm" TargetMode="External"/><Relationship Id="rId155" Type="http://schemas.openxmlformats.org/officeDocument/2006/relationships/hyperlink" Target="http://www.sec.gov/Archives/edgar/data/813298/000119312506019470/dex101.htm" TargetMode="External"/><Relationship Id="rId156" Type="http://schemas.openxmlformats.org/officeDocument/2006/relationships/hyperlink" Target="http://www.sec.gov/Archives/edgar/data/813298/000119312506019470/dex102.htm" TargetMode="External"/><Relationship Id="rId157" Type="http://schemas.openxmlformats.org/officeDocument/2006/relationships/hyperlink" Target="http://www.sec.gov/Archives/edgar/data/813298/00011931250601947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2019-12-28T23:30:57Z</dcterms:created>
  <dcterms:modified xsi:type="dcterms:W3CDTF">2019-12-28T23:30:57Z</dcterms:modified>
</cp:coreProperties>
</file>