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June 10, 2021</w:t>
      </w:r>
    </w:p>
    <w:p>
      <w:pPr>
        <w:spacing w:after="0" w:line="117" w:lineRule="exact"/>
        <w:rPr>
          <w:sz w:val="24"/>
          <w:szCs w:val="24"/>
          <w:color w:val="auto"/>
        </w:rPr>
      </w:pPr>
    </w:p>
    <w:p>
      <w:pPr>
        <w:ind w:left="8380"/>
        <w:spacing w:after="0"/>
        <w:rPr>
          <w:sz w:val="20"/>
          <w:szCs w:val="20"/>
          <w:color w:val="auto"/>
        </w:rPr>
      </w:pPr>
      <w:r>
        <w:rPr>
          <w:rFonts w:ascii="Arial" w:cs="Arial" w:eastAsia="Arial" w:hAnsi="Arial"/>
          <w:sz w:val="16"/>
          <w:szCs w:val="16"/>
          <w:color w:val="auto"/>
        </w:rPr>
        <w:t>Registration Statement No. 333-______</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720" w:type="dxa"/>
        <w:tblCellMar>
          <w:top w:w="0" w:type="dxa"/>
          <w:left w:w="0" w:type="dxa"/>
          <w:bottom w:w="0" w:type="dxa"/>
          <w:right w:w="0" w:type="dxa"/>
        </w:tblCellMar>
      </w:tblPr>
      <w:tr>
        <w:trPr>
          <w:trHeight w:val="220"/>
        </w:trPr>
        <w:tc>
          <w:tcPr>
            <w:tcW w:w="40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Delaware</w:t>
            </w:r>
          </w:p>
        </w:tc>
        <w:tc>
          <w:tcPr>
            <w:tcW w:w="1680" w:type="dxa"/>
            <w:vAlign w:val="bottom"/>
          </w:tcPr>
          <w:p>
            <w:pPr>
              <w:jc w:val="center"/>
              <w:ind w:left="250"/>
              <w:spacing w:after="0" w:line="207" w:lineRule="exact"/>
              <w:rPr>
                <w:sz w:val="20"/>
                <w:szCs w:val="20"/>
                <w:color w:val="auto"/>
              </w:rPr>
            </w:pPr>
            <w:r>
              <w:rPr>
                <w:rFonts w:ascii="Arial" w:cs="Arial" w:eastAsia="Arial" w:hAnsi="Arial"/>
                <w:sz w:val="18"/>
                <w:szCs w:val="18"/>
                <w:b w:val="1"/>
                <w:bCs w:val="1"/>
                <w:color w:val="auto"/>
                <w:w w:val="89"/>
              </w:rPr>
              <w:t>04</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2623104</w:t>
            </w:r>
          </w:p>
        </w:tc>
      </w:tr>
      <w:tr>
        <w:trPr>
          <w:trHeight w:val="216"/>
        </w:trPr>
        <w:tc>
          <w:tcPr>
            <w:tcW w:w="4000" w:type="dxa"/>
            <w:vAlign w:val="bottom"/>
          </w:tcPr>
          <w:p>
            <w:pPr>
              <w:jc w:val="center"/>
              <w:ind w:right="1750"/>
              <w:spacing w:after="0"/>
              <w:rPr>
                <w:sz w:val="20"/>
                <w:szCs w:val="20"/>
                <w:color w:val="auto"/>
              </w:rPr>
            </w:pPr>
            <w:r>
              <w:rPr>
                <w:rFonts w:ascii="Arial" w:cs="Arial" w:eastAsia="Arial" w:hAnsi="Arial"/>
                <w:sz w:val="18"/>
                <w:szCs w:val="18"/>
                <w:color w:val="auto"/>
                <w:w w:val="92"/>
              </w:rPr>
              <w:t>(State or other jurisdiction of</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12"/>
        </w:trPr>
        <w:tc>
          <w:tcPr>
            <w:tcW w:w="4000" w:type="dxa"/>
            <w:vAlign w:val="bottom"/>
          </w:tcPr>
          <w:p>
            <w:pPr>
              <w:jc w:val="center"/>
              <w:ind w:right="1750"/>
              <w:spacing w:after="0"/>
              <w:rPr>
                <w:sz w:val="20"/>
                <w:szCs w:val="20"/>
                <w:color w:val="auto"/>
              </w:rPr>
            </w:pPr>
            <w:r>
              <w:rPr>
                <w:rFonts w:ascii="Arial" w:cs="Arial" w:eastAsia="Arial" w:hAnsi="Arial"/>
                <w:sz w:val="18"/>
                <w:szCs w:val="18"/>
                <w:color w:val="auto"/>
                <w:w w:val="92"/>
              </w:rPr>
              <w:t>incorporation or organization)</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234"/>
        </w:trPr>
        <w:tc>
          <w:tcPr>
            <w:tcW w:w="4000" w:type="dxa"/>
            <w:vAlign w:val="bottom"/>
          </w:tcPr>
          <w:p>
            <w:pPr>
              <w:ind w:left="2140"/>
              <w:spacing w:after="0"/>
              <w:rPr>
                <w:sz w:val="20"/>
                <w:szCs w:val="20"/>
                <w:color w:val="auto"/>
              </w:rPr>
            </w:pPr>
            <w:r>
              <w:rPr>
                <w:rFonts w:ascii="Arial" w:cs="Arial" w:eastAsia="Arial" w:hAnsi="Arial"/>
                <w:sz w:val="18"/>
                <w:szCs w:val="18"/>
                <w:b w:val="1"/>
                <w:bCs w:val="1"/>
                <w:color w:val="auto"/>
              </w:rPr>
              <w:t>555 Turnpike Street</w:t>
            </w:r>
          </w:p>
        </w:tc>
        <w:tc>
          <w:tcPr>
            <w:tcW w:w="168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H. Stratton,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Elizabeth W. Fraser,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Greenberg Traurig,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International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(617) 310-6237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Facsimile: (617) 279-8427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 xml:space="preserve">Approximate date of commencement of proposed sale to public: </w:t>
      </w:r>
      <w:r>
        <w:rPr>
          <w:rFonts w:ascii="Arial" w:cs="Arial" w:eastAsia="Arial" w:hAnsi="Arial"/>
          <w:sz w:val="18"/>
          <w:szCs w:val="18"/>
          <w:color w:val="auto"/>
        </w:rPr>
        <w:t>From time to time after this Registration Statement becomes effective.</w:t>
      </w:r>
    </w:p>
    <w:p>
      <w:pPr>
        <w:spacing w:after="0" w:line="1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209" w:lineRule="exact"/>
        <w:rPr>
          <w:sz w:val="20"/>
          <w:szCs w:val="20"/>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p>
      <w:pPr>
        <w:spacing w:after="0" w:line="207" w:lineRule="exact"/>
        <w:tabs>
          <w:tab w:leader="none" w:pos="24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8" w:lineRule="exact"/>
        <w:rPr>
          <w:sz w:val="20"/>
          <w:szCs w:val="20"/>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 w:lineRule="exact"/>
        <w:rPr>
          <w:sz w:val="20"/>
          <w:szCs w:val="20"/>
          <w:color w:val="auto"/>
        </w:rPr>
      </w:pPr>
    </w:p>
    <w:p>
      <w:pPr>
        <w:ind w:left="15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720" w:type="dxa"/>
            <w:vAlign w:val="bottom"/>
            <w:gridSpan w:val="3"/>
          </w:tcPr>
          <w:p>
            <w:pPr>
              <w:ind w:left="3220"/>
              <w:spacing w:after="0"/>
              <w:rPr>
                <w:sz w:val="20"/>
                <w:szCs w:val="20"/>
                <w:color w:val="auto"/>
              </w:rPr>
            </w:pPr>
            <w:r>
              <w:rPr>
                <w:rFonts w:ascii="Arial" w:cs="Arial" w:eastAsia="Arial" w:hAnsi="Arial"/>
                <w:sz w:val="18"/>
                <w:szCs w:val="18"/>
                <w:b w:val="1"/>
                <w:bCs w:val="1"/>
                <w:color w:val="auto"/>
              </w:rPr>
              <w:t>CALCULATION OF REGISTRATION FEE</w:t>
            </w:r>
          </w:p>
        </w:tc>
        <w:tc>
          <w:tcPr>
            <w:tcW w:w="17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3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Proposed</w:t>
            </w:r>
          </w:p>
        </w:tc>
        <w:tc>
          <w:tcPr>
            <w:tcW w:w="138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w:t>
            </w: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8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to be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7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Registration</w:t>
            </w:r>
          </w:p>
        </w:tc>
      </w:tr>
      <w:tr>
        <w:trPr>
          <w:trHeight w:val="220"/>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w w:val="89"/>
              </w:rPr>
              <w:t>Title of Each Class of Securities to be Registered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Per Unit</w:t>
            </w:r>
          </w:p>
        </w:tc>
        <w:tc>
          <w:tcPr>
            <w:tcW w:w="17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Offering Price</w:t>
            </w: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Fee</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Primary Offering by Registrant</w:t>
            </w: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Common Stock, $0.01 par value per share</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Preferred Stock, $0.01 par value per share</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Debt securities</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Purchase Contracts</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Depositary Shares (4)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Rights</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Units (5)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Pr>
          <w:p>
            <w:pPr>
              <w:ind w:left="340"/>
              <w:spacing w:after="0"/>
              <w:rPr>
                <w:sz w:val="20"/>
                <w:szCs w:val="20"/>
                <w:color w:val="auto"/>
              </w:rPr>
            </w:pPr>
            <w:r>
              <w:rPr>
                <w:rFonts w:ascii="Arial" w:cs="Arial" w:eastAsia="Arial" w:hAnsi="Arial"/>
                <w:sz w:val="18"/>
                <w:szCs w:val="18"/>
                <w:color w:val="auto"/>
              </w:rPr>
              <w:t>Total Primary Offering</w:t>
            </w:r>
          </w:p>
        </w:tc>
        <w:tc>
          <w:tcPr>
            <w:tcW w:w="1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$75,000,000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$8,182.50 (1)</w:t>
            </w:r>
          </w:p>
        </w:tc>
      </w:tr>
      <w:tr>
        <w:trPr>
          <w:trHeight w:val="195"/>
        </w:trPr>
        <w:tc>
          <w:tcPr>
            <w:tcW w:w="3800" w:type="dxa"/>
            <w:vAlign w:val="bottom"/>
          </w:tcPr>
          <w:p>
            <w:pPr>
              <w:spacing w:after="0" w:line="195" w:lineRule="exact"/>
              <w:rPr>
                <w:sz w:val="20"/>
                <w:szCs w:val="20"/>
                <w:color w:val="auto"/>
              </w:rPr>
            </w:pPr>
            <w:r>
              <w:rPr>
                <w:rFonts w:ascii="Arial" w:cs="Arial" w:eastAsia="Arial" w:hAnsi="Arial"/>
                <w:sz w:val="18"/>
                <w:szCs w:val="18"/>
                <w:color w:val="auto"/>
              </w:rPr>
              <w:t>Secondary Offering by Selling Stockholders</w:t>
            </w: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Common Stock, $0.01 par value per share</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7,500,000 (6)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 (7)</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$24,900,000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$2,716.59</w:t>
            </w: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$99,900,000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$10,899.09</w:t>
            </w:r>
          </w:p>
        </w:tc>
      </w:tr>
    </w:tbl>
    <w:p>
      <w:pPr>
        <w:spacing w:after="0" w:line="202"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117" w:lineRule="exact"/>
        <w:rPr>
          <w:rFonts w:ascii="Arial" w:cs="Arial" w:eastAsia="Arial" w:hAnsi="Arial"/>
          <w:sz w:val="18"/>
          <w:szCs w:val="18"/>
          <w:color w:val="auto"/>
        </w:rPr>
      </w:pPr>
    </w:p>
    <w:p>
      <w:pPr>
        <w:ind w:left="440" w:right="20" w:hanging="432"/>
        <w:spacing w:after="0" w:line="255"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also covers common stock or preferred stock that may be issued by the registrant upon exercise, conversion or exchange of any securities registered hereunder that provide for such issuance. An indeterminate number of the securities is being registered as may at various times be issued at indeterminate prices, with an aggregate offering price not to exceed $75,000,000.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84" w:lineRule="exact"/>
        <w:rPr>
          <w:rFonts w:ascii="Arial" w:cs="Arial" w:eastAsia="Arial" w:hAnsi="Arial"/>
          <w:sz w:val="18"/>
          <w:szCs w:val="18"/>
          <w:color w:val="auto"/>
        </w:rPr>
      </w:pPr>
    </w:p>
    <w:p>
      <w:pPr>
        <w:jc w:val="both"/>
        <w:ind w:left="440" w:right="300" w:hanging="432"/>
        <w:spacing w:after="0" w:line="263"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II.D. of Form S-3, the table lists each of the classes of securities being registered and the aggregate proceeds to be raised, but does not specify by each class information as to the amount to be registered, proposed maximum offering price per unit, and proposed maximum aggregate offering price.</w:t>
      </w:r>
    </w:p>
    <w:p>
      <w:pPr>
        <w:spacing w:after="0" w:line="75"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represent an interest in a fractional share of preferred stock and will be evidenced by a depositary receipt.</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represent an interest in two or more other securities, which may or may not be separable from one another.</w:t>
      </w:r>
    </w:p>
    <w:p>
      <w:pPr>
        <w:spacing w:after="0" w:line="117" w:lineRule="exact"/>
        <w:rPr>
          <w:rFonts w:ascii="Arial" w:cs="Arial" w:eastAsia="Arial" w:hAnsi="Arial"/>
          <w:sz w:val="18"/>
          <w:szCs w:val="18"/>
          <w:color w:val="auto"/>
        </w:rPr>
      </w:pPr>
    </w:p>
    <w:p>
      <w:pPr>
        <w:ind w:left="540" w:right="140" w:hanging="532"/>
        <w:spacing w:after="0" w:line="34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of the Securities Act, the shares being registered hereunder include such indeterminate number of shares of common stock as may be issuable with respect to the shares being registered hereunder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ind w:left="540" w:hanging="532"/>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to calculate the registration fee in accordance with Rule 457(c) of the Securities Act on the basis of the average of the high and low sales prices of the registrant’s common stock as quoted on the OTCQX Market on June 3, 2021.</w:t>
      </w:r>
    </w:p>
    <w:p>
      <w:pPr>
        <w:spacing w:after="0" w:line="6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___________</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right="320"/>
        <w:spacing w:after="0" w:line="263" w:lineRule="auto"/>
        <w:rPr>
          <w:sz w:val="20"/>
          <w:szCs w:val="20"/>
          <w:color w:val="auto"/>
        </w:rPr>
      </w:pPr>
      <w:r>
        <w:rPr>
          <w:rFonts w:ascii="Arial" w:cs="Arial" w:eastAsia="Arial" w:hAnsi="Arial"/>
          <w:sz w:val="18"/>
          <w:szCs w:val="18"/>
          <w:color w:val="FF0000"/>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Subject to completion, dated June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5715</wp:posOffset>
            </wp:positionV>
            <wp:extent cx="668655"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Destination XL Group, Inc.</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$75,000,000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Offered by the Company</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7,500,000 Shares of 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Offered by Selling Stockholders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___________</w:t>
      </w:r>
    </w:p>
    <w:p>
      <w:pPr>
        <w:spacing w:after="0" w:line="1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offer and sell from time to time, in one or more transactions, common stock, preferred stock, depositary shares, warrants, debt securities, purchase contracts, rights and units that include any of these securities, up to a total public offering price of $75,000,000 on terms to be determined at the time of sale, and the selling stockholders to be named in a supplement to this prospectus may offer and sell up to an aggregate of 7,500,000 shares of our common stock, in each case from time to time in one or more offerings. We will not receive any of the proceeds from the sale of our common stock by the selling stockholders.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We will provide specific terms of these securities and the specific manner in which we or such selling stockholders may offer these securities in supplements to this prospectus. You should read this prospectus and any supplement carefully before you invest. This prospectus may not be used to offer and sell securities unless accompanied by a prospectus supplement for those securities.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may offer and sell these securities directly to investors, to or through one or more underwriters, dealers and agents, or through a combination of these methods, on a continuous or delayed basis. In addition, the selling stockholders may offer and sell shares of our common stock from time to time, together or separately. We or such selling stockholders may also describe the plan of distribution for any particular offering of these securities in a prospectus supplement. If any underwriters, dealers or agents are involved in the sale of any securities in respect of which this prospectus is delivered, their names and the nature of arrangements between or among them will be disclosed in a prospectus supplement. For more information, see “Plan of Distribution” in this prospectus. No securities may be sold without delivery of this prospectus and the applicable prospectus supplement describing the method and terms of the offering of such securities</w:t>
      </w:r>
    </w:p>
    <w:p>
      <w:pPr>
        <w:spacing w:after="0" w:line="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is quoted on the OTCQX Market under the symbol “DXLG.” On June 8, 2021, the closing price of our common stock on the OTCQX Market was $3.75 per share.</w:t>
      </w:r>
    </w:p>
    <w:p>
      <w:pPr>
        <w:spacing w:after="0" w:line="5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1 of this prospectus. We may include additional risk factors in an applicable prospectus supplement under the heading “Risk Factors.” You should review that section of the prospectus supplement for a discussion of matters that investors in our securities should consider.</w:t>
      </w:r>
    </w:p>
    <w:p>
      <w:pPr>
        <w:spacing w:after="0" w:line="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3760"/>
              <w:spacing w:after="0"/>
              <w:rPr>
                <w:sz w:val="20"/>
                <w:szCs w:val="20"/>
                <w:color w:val="auto"/>
              </w:rPr>
            </w:pPr>
            <w:r>
              <w:rPr>
                <w:rFonts w:ascii="Arial" w:cs="Arial" w:eastAsia="Arial" w:hAnsi="Arial"/>
                <w:sz w:val="18"/>
                <w:szCs w:val="18"/>
                <w:color w:val="auto"/>
              </w:rPr>
              <w:t>The date of this prospectus is</w:t>
            </w:r>
          </w:p>
        </w:tc>
        <w:tc>
          <w:tcPr>
            <w:tcW w:w="4840" w:type="dxa"/>
            <w:vAlign w:val="bottom"/>
          </w:tcPr>
          <w:p>
            <w:pPr>
              <w:jc w:val="right"/>
              <w:ind w:right="3690"/>
              <w:spacing w:after="0"/>
              <w:rPr>
                <w:sz w:val="20"/>
                <w:szCs w:val="20"/>
                <w:color w:val="auto"/>
              </w:rPr>
            </w:pPr>
            <w:r>
              <w:rPr>
                <w:rFonts w:ascii="Arial" w:cs="Arial" w:eastAsia="Arial" w:hAnsi="Arial"/>
                <w:sz w:val="18"/>
                <w:szCs w:val="18"/>
                <w:color w:val="auto"/>
              </w:rPr>
              <w:t>, 2021.</w:t>
            </w:r>
          </w:p>
        </w:tc>
      </w:tr>
      <w:tr>
        <w:trPr>
          <w:trHeight w:val="763"/>
        </w:trPr>
        <w:tc>
          <w:tcPr>
            <w:tcW w:w="64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 w:name="page5"/>
    <w:bookmarkEnd w:id="4"/>
    <w:tbl>
      <w:tblPr>
        <w:tblLayout w:type="fixed"/>
        <w:tblInd w:w="5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83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36"/>
        </w:trPr>
        <w:tc>
          <w:tcPr>
            <w:tcW w:w="15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About this Prospectus</w:t>
              </w:r>
            </w:hyperlink>
          </w:p>
        </w:tc>
        <w:tc>
          <w:tcPr>
            <w:tcW w:w="4700" w:type="dxa"/>
            <w:vAlign w:val="bottom"/>
            <w:gridSpan w:val="10"/>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Prospectus Summary</w:t>
              </w:r>
            </w:hyperlink>
          </w:p>
        </w:tc>
        <w:tc>
          <w:tcPr>
            <w:tcW w:w="4760" w:type="dxa"/>
            <w:vAlign w:val="bottom"/>
            <w:gridSpan w:val="12"/>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5380" w:type="dxa"/>
            <w:vAlign w:val="bottom"/>
            <w:gridSpan w:val="17"/>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28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Special Note Regarding Forward</w:t>
              </w:r>
              <w:r>
                <w:rPr>
                  <w:rFonts w:ascii="MS PGothic" w:cs="MS PGothic" w:eastAsia="MS PGothic" w:hAnsi="MS PGothic"/>
                  <w:sz w:val="18"/>
                  <w:szCs w:val="18"/>
                  <w:color w:val="0000EE"/>
                </w:rPr>
                <w:t>‑</w:t>
              </w:r>
              <w:r>
                <w:rPr>
                  <w:rFonts w:ascii="Arial" w:cs="Arial" w:eastAsia="Arial" w:hAnsi="Arial"/>
                  <w:sz w:val="18"/>
                  <w:szCs w:val="18"/>
                  <w:color w:val="0000EE"/>
                </w:rPr>
                <w:t>Looking Information</w:t>
              </w:r>
            </w:hyperlink>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2340" w:type="dxa"/>
            <w:vAlign w:val="bottom"/>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Description of Common Stock</w:t>
              </w:r>
            </w:hyperlink>
          </w:p>
        </w:tc>
        <w:tc>
          <w:tcPr>
            <w:tcW w:w="4060" w:type="dxa"/>
            <w:vAlign w:val="bottom"/>
            <w:gridSpan w:val="6"/>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Preferred Stock</w:t>
              </w:r>
            </w:hyperlink>
          </w:p>
        </w:tc>
        <w:tc>
          <w:tcPr>
            <w:tcW w:w="4080" w:type="dxa"/>
            <w:vAlign w:val="bottom"/>
            <w:gridSpan w:val="7"/>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28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Depositary Shares</w:t>
              </w:r>
            </w:hyperlink>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Warrants</w:t>
              </w:r>
            </w:hyperlink>
          </w:p>
        </w:tc>
        <w:tc>
          <w:tcPr>
            <w:tcW w:w="660" w:type="dxa"/>
            <w:vAlign w:val="bottom"/>
            <w:tcBorders>
              <w:top w:val="single" w:sz="8" w:color="0000EE"/>
            </w:tcBorders>
            <w:gridSpan w:val="4"/>
          </w:tcPr>
          <w:p>
            <w:pPr>
              <w:spacing w:after="0"/>
              <w:rPr>
                <w:sz w:val="17"/>
                <w:szCs w:val="17"/>
                <w:color w:val="auto"/>
              </w:rPr>
            </w:pPr>
          </w:p>
        </w:tc>
        <w:tc>
          <w:tcPr>
            <w:tcW w:w="3900" w:type="dxa"/>
            <w:vAlign w:val="bottom"/>
            <w:gridSpan w:val="5"/>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Description of Debt Securities</w:t>
              </w:r>
            </w:hyperlink>
          </w:p>
        </w:tc>
        <w:tc>
          <w:tcPr>
            <w:tcW w:w="4100" w:type="dxa"/>
            <w:vAlign w:val="bottom"/>
            <w:gridSpan w:val="8"/>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Description of Purchase Contracts</w:t>
              </w:r>
            </w:hyperlink>
          </w:p>
        </w:tc>
        <w:tc>
          <w:tcPr>
            <w:tcW w:w="3820" w:type="dxa"/>
            <w:vAlign w:val="bottom"/>
            <w:gridSpan w:val="4"/>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628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Rights</w:t>
              </w:r>
            </w:hyperlink>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4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Description of Units</w:t>
              </w:r>
            </w:hyperlink>
          </w:p>
        </w:tc>
        <w:tc>
          <w:tcPr>
            <w:tcW w:w="4740" w:type="dxa"/>
            <w:vAlign w:val="bottom"/>
            <w:gridSpan w:val="11"/>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96"/>
        </w:trPr>
        <w:tc>
          <w:tcPr>
            <w:tcW w:w="628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Selling Stockholders</w:t>
              </w:r>
            </w:hyperlink>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480" w:type="dxa"/>
            <w:vAlign w:val="bottom"/>
            <w:tcBorders>
              <w:top w:val="single" w:sz="8" w:color="0000EE"/>
            </w:tcBorders>
            <w:gridSpan w:val="6"/>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Plan of Distribution</w:t>
              </w:r>
            </w:hyperlink>
          </w:p>
        </w:tc>
        <w:tc>
          <w:tcPr>
            <w:tcW w:w="4800" w:type="dxa"/>
            <w:vAlign w:val="bottom"/>
            <w:gridSpan w:val="13"/>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4820" w:type="dxa"/>
            <w:vAlign w:val="bottom"/>
            <w:gridSpan w:val="14"/>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Legal Matters</w:t>
              </w:r>
            </w:hyperlink>
          </w:p>
        </w:tc>
        <w:tc>
          <w:tcPr>
            <w:tcW w:w="5280" w:type="dxa"/>
            <w:vAlign w:val="bottom"/>
            <w:gridSpan w:val="16"/>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Where You Can Find More Information</w:t>
              </w:r>
            </w:hyperlink>
          </w:p>
        </w:tc>
        <w:tc>
          <w:tcPr>
            <w:tcW w:w="3420" w:type="dxa"/>
            <w:vAlign w:val="bottom"/>
            <w:gridSpan w:val="3"/>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Incorporation of Certain Documents By Reference</w:t>
              </w:r>
            </w:hyperlink>
          </w:p>
        </w:tc>
        <w:tc>
          <w:tcPr>
            <w:tcW w:w="2640" w:type="dxa"/>
            <w:vAlign w:val="bottom"/>
            <w:gridSpan w:val="2"/>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165100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firstLine="864"/>
        <w:spacing w:after="0" w:line="257"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up to a total dollar amount of $75,000,000. In addition, under this shelf process, the selling stockholders to be named in a supplement to this prospectus may, from time to time, sell up to 7,500,000 shares of common stock, as described in this prospectus, in one or more offerings. This prospectus provides you with a general description of the securities we may offer.</w:t>
      </w:r>
    </w:p>
    <w:p>
      <w:pPr>
        <w:spacing w:after="0" w:line="188"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Each time we or the selling stockholders offer and sell securities, we or the selling stockholders will provide a prospectus supplement that will contain specific information about the securities being offered and the terms of that offering. The prospectus supplement may also add to, update or change information contained in this prospectus. If there is any inconsistency between the information in this prospectus and the applicable prospectus supplement, you should rely on the prospectus supplement. You should read both this prospectus and any prospectus supplement together with the additional information described under the heading “Where You Can Find More Information” carefully before making an investment decision.</w:t>
      </w:r>
    </w:p>
    <w:p>
      <w:pPr>
        <w:spacing w:after="0" w:line="161" w:lineRule="exact"/>
        <w:rPr>
          <w:sz w:val="20"/>
          <w:szCs w:val="20"/>
          <w:color w:val="auto"/>
        </w:rPr>
      </w:pPr>
    </w:p>
    <w:p>
      <w:pPr>
        <w:ind w:right="60" w:firstLine="864"/>
        <w:spacing w:after="0" w:line="254" w:lineRule="auto"/>
        <w:rPr>
          <w:sz w:val="20"/>
          <w:szCs w:val="20"/>
          <w:color w:val="auto"/>
        </w:rPr>
      </w:pPr>
      <w:r>
        <w:rPr>
          <w:rFonts w:ascii="Arial" w:cs="Arial" w:eastAsia="Arial" w:hAnsi="Arial"/>
          <w:sz w:val="18"/>
          <w:szCs w:val="18"/>
          <w:color w:val="auto"/>
        </w:rPr>
        <w:t>Neither we, nor any selling stockholder,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any selling stockholder or to which we or any selling stockholder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87"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79"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80"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Unless the context otherwise requires, the terms “Destination XL Group, Inc.,” “DXLG,” “the Company,” “our company,” “we,” “us,” “our” and similar names refer collectively to Destination XL Group,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0"/>
          <w:szCs w:val="20"/>
          <w:color w:val="auto"/>
        </w:rPr>
      </w:pPr>
    </w:p>
    <w:p>
      <w:pPr>
        <w:ind w:right="40" w:firstLine="864"/>
        <w:spacing w:after="0" w:line="296" w:lineRule="auto"/>
        <w:rPr>
          <w:sz w:val="20"/>
          <w:szCs w:val="20"/>
          <w:color w:val="auto"/>
        </w:rPr>
      </w:pPr>
      <w:r>
        <w:rPr>
          <w:rFonts w:ascii="Arial" w:cs="Arial" w:eastAsia="Arial" w:hAnsi="Arial"/>
          <w:sz w:val="16"/>
          <w:szCs w:val="16"/>
          <w:color w:val="auto"/>
        </w:rPr>
        <w:t>We are the largest specialty retailer of big and tall men’s clothing and shoes with retail locations in the United States and Toronto, Canada. We operate under the trade names of Destination XL®, DXL®, DXL Men’s Apparel, DXL outlets, Casual Male XL® and Casual Male XL outlets. At January 30, 2021, we operated 226 DXL retail stores, 17 DXL outlet stores, 46 Casual Male XL retail stores, 22 Casual Male XL outlet stores and a digital business, including an e-commerce site at dxl.com and a mobile site m.destinationXL.com. In fiscal 2018, we launched a wholesale business unit focused on product development and distribution relationships with key retailers offering co-branded men’s big &amp; tall apparel lines.</w:t>
      </w:r>
    </w:p>
    <w:p>
      <w:pPr>
        <w:spacing w:after="0" w:line="161"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We are incorporated in the state of Delaware. Our principal executive offices are located at 555 Turnpike Street, Canton, Massachusetts 02021. Our telephone number is (781) 828-9300. Our Internet address is www.dxl.com. Information contained on our website or that is accessible through our website should not be considered to be part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Under this prospectus, we may offer: shares of our common stock; preferred stock; depositary shares; warrants to purchase common stock, preferred stock, depositary shares or units; debt securities; purchase contracts; rights to purchase common stock, preferred stock, depositary shares or warrants; or units comprised of common stock, preferred stock, depositary shares, debt securities, warrants and purchase contracts in any combination, with a total value of up to $75,000,000, from time to time at prices and on terms to be determined by market conditions at the time of the offering. In addition to the securities we may offer, the selling stockholders to be named in a supplement to this prospectus may offer and sell from time to time up to 7,500,000 shares of our common stock.</w:t>
      </w:r>
    </w:p>
    <w:p>
      <w:pPr>
        <w:spacing w:after="0" w:line="192" w:lineRule="exact"/>
        <w:rPr>
          <w:sz w:val="20"/>
          <w:szCs w:val="20"/>
          <w:color w:val="auto"/>
        </w:rPr>
      </w:pPr>
    </w:p>
    <w:p>
      <w:pPr>
        <w:ind w:right="60" w:firstLine="864"/>
        <w:spacing w:after="0" w:line="293" w:lineRule="auto"/>
        <w:rPr>
          <w:sz w:val="20"/>
          <w:szCs w:val="20"/>
          <w:color w:val="auto"/>
        </w:rPr>
      </w:pPr>
      <w:r>
        <w:rPr>
          <w:rFonts w:ascii="Arial" w:cs="Arial" w:eastAsia="Arial" w:hAnsi="Arial"/>
          <w:sz w:val="16"/>
          <w:szCs w:val="16"/>
          <w:color w:val="auto"/>
        </w:rPr>
        <w:t>The descriptions of the securities contained in this prospectus, together with the applicable prospectus supplements, summarize the material terms and provisions of the various types of securities that we or the selling stockholders may offer. Each time we or the selling stockholders offer a type or series of securities under this prospectus, we or the selling stockholders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64"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ind w:right="140" w:firstLine="864"/>
        <w:spacing w:after="0" w:line="275" w:lineRule="auto"/>
        <w:rPr>
          <w:sz w:val="20"/>
          <w:szCs w:val="20"/>
          <w:color w:val="auto"/>
        </w:rPr>
      </w:pPr>
      <w:r>
        <w:rPr>
          <w:rFonts w:ascii="Arial" w:cs="Arial" w:eastAsia="Arial" w:hAnsi="Arial"/>
          <w:sz w:val="17"/>
          <w:szCs w:val="17"/>
          <w:color w:val="auto"/>
        </w:rPr>
        <w:t>We or the selling stockholders may sell the securities directly to investors or to or through agents, underwriters or dealers. We, the selling stockholders, and our respective agents or underwriters, reserve the right to accept or reject all or part of any proposed purchase of securities. If we or the selling stockholders offer securities through agents or underwriters, we or the selling stockholders, as applicable, will include in the applicable prospectus supplement: the names of those agents or underwriters; applicable fees, discounts and commissions to be paid to them; details regarding over-allotment options, if any; and the net proceeds to us or the selling stockholders, as applicable.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Investing in our securities involves significant risks. Please see the risk factors under the heading “Risk Factors” in our most recent Annual Report on Form 10-K, as revised or supplemented by our Quarterly Reports on Form 10-Q filed with the SEC since the filing of our most recent Annual Report on Form 10-K, each of which are on file with the SEC and are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174" w:lineRule="exact"/>
        <w:rPr>
          <w:sz w:val="20"/>
          <w:szCs w:val="20"/>
          <w:color w:val="auto"/>
        </w:rPr>
      </w:pPr>
    </w:p>
    <w:p>
      <w:pPr>
        <w:jc w:val="center"/>
        <w:ind w:right="-79"/>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229" w:lineRule="exact"/>
        <w:rPr>
          <w:sz w:val="20"/>
          <w:szCs w:val="20"/>
          <w:color w:val="auto"/>
        </w:rPr>
      </w:pPr>
    </w:p>
    <w:p>
      <w:pPr>
        <w:ind w:firstLine="864"/>
        <w:spacing w:after="0" w:line="217" w:lineRule="exact"/>
        <w:rPr>
          <w:sz w:val="20"/>
          <w:szCs w:val="20"/>
          <w:color w:val="auto"/>
        </w:rPr>
      </w:pPr>
      <w:r>
        <w:rPr>
          <w:rFonts w:ascii="Arial" w:cs="Arial" w:eastAsia="Arial" w:hAnsi="Arial"/>
          <w:sz w:val="16"/>
          <w:szCs w:val="16"/>
          <w:color w:val="auto"/>
        </w:rPr>
        <w:t>This prospectus includes and incorporates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within the meaning of Section 27A of the Securities Act of 1933, as amended (the “Securities Act”), and Section 21E of the Securities Exchange Act of 1934, as amended (the “Exchange Act”). All statements, other than statements of historical facts, included or incorporated in this prospectus regarding our strategy, future operations, financial position, future revenues, projected costs, prospects, plans and objectives of management are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 some cases, forward-looking statements can be identified by the use of forward-looking terminology such as “may,” “will,” “estimate,” “intend,” “plan,” “continue,” “believe,” “expect” or “anticipate” or the negatives thereof, variations thereon or similar terminology, although not all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contain these identifying words. These forward-looking statements, which are not exhaustive, generally relate to plans and objectives for future operations and are based upon management’s reasonable estimates of future results or trends. Such statements include our financial outlook for fiscal 2021 with respect to sales, comparable sales, adjusted EBITDA and free cash flows, statements regarding our ability to withstand the impact of the COVID-19 pandemic on our business, our efforts to restructure and reduce costs and right size our lease structure, expected annualized savings from restructuring actions taken since fiscal 2020, expected additional borrowing capacity under our new FILO loan, and our expected liquidity for the next 12 months. We cannot guarantee that we actually will achieve the plans, intentions or expectations disclosed in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and you should not place undue reliance on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These forward-looking statements are subject to a number of known and unknown risks, uncertainties and assumptions, including risks described in the section titled “Risk Factors” and elsewhere in this prospectus, and in the documents we incorporate by reference in this prospectus. You should read these factors and other cautionary statements made in this prospectus and any accompanying prospectus supplement, and in the documents we incorporate by reference as being applicable to all related forward-looking statements wherever they appear in the prospectus and any accompanying prospectus supplement, and in the documents incorporated by reference. These factors include, among other things:</w:t>
      </w:r>
    </w:p>
    <w:p>
      <w:pPr>
        <w:spacing w:after="0" w:line="51"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impact of the COVID-19 pandemic on our business, financial results, liquidity, supply chain and workforce;</w:t>
      </w:r>
    </w:p>
    <w:p>
      <w:pPr>
        <w:spacing w:after="0" w:line="90" w:lineRule="exact"/>
        <w:rPr>
          <w:rFonts w:ascii="Arial" w:cs="Arial" w:eastAsia="Arial" w:hAnsi="Arial"/>
          <w:sz w:val="18"/>
          <w:szCs w:val="18"/>
          <w:color w:val="auto"/>
        </w:rPr>
      </w:pPr>
    </w:p>
    <w:p>
      <w:pPr>
        <w:ind w:left="880" w:right="46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and availability of adequate capital;</w:t>
      </w:r>
    </w:p>
    <w:p>
      <w:pPr>
        <w:spacing w:after="0" w:line="8"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strategy and grow our market share;</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execute marketing programs to drive traffic and convert that traffic into a loyal customer base;</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direct business and develop our e-commerce and internet infrastructure;</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our omni-channel initiatives;</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wholesale segment;</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central distribution center;</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disruptions in the global supply chain that may impact our ability to import inventory in a timely manner;</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store portfolio;</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successful in a highly competitive market;</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third parties to manufacture our merchandise;</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the proprietary information of our customers and our security systems;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 w:name="page9"/>
    <w:bookmarkEnd w:id="8"/>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fashion trends and customer preferences successfully;</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key trademarks and licenses;</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impairment of long-lived assets;</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LIBOR that could impact our LIBOR-based contracts;</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labor shortages or increases in labor costs due to new regulations;</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price, availability and quality of raw materials and finished goods that could increase costs;</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laws, rules and regulations;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ability of our stock price to withstand volatility due to many factors.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We currently intend to use the estimated net proceeds from the sale of the securities as set forth in the applicable prospectus supplement. We will not receive any of the proceeds from the sale of common stock being offered by the selling stockholders.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For a description of our common stock, please see the Description of Securities of the Company filed as Exhibit 4.1 to our Annual Report on Form 10-K for the fiscal year ended February 1, 2020 filed with the SEC on March 19, 2020, and any future description of capital stock filed thereafter for the purpose of updating such description.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Under our certificate of incorporation, we have authority to issue 1,000,000 shares of preferred stock, par value $.01 per share. Of these shares, 50,000 shares have been designated as “Series A Junior Participating Preferred Stock,” none of which are outstanding, and 200,000 shares have been designated as “Series B Convertible Preferred Stock,” none of which are outstanding.</w:t>
      </w:r>
    </w:p>
    <w:p>
      <w:pPr>
        <w:spacing w:after="0" w:line="184" w:lineRule="exact"/>
        <w:rPr>
          <w:sz w:val="20"/>
          <w:szCs w:val="20"/>
          <w:color w:val="auto"/>
        </w:rPr>
      </w:pPr>
    </w:p>
    <w:p>
      <w:pPr>
        <w:ind w:right="60" w:firstLine="864"/>
        <w:spacing w:after="0" w:line="254" w:lineRule="auto"/>
        <w:rPr>
          <w:sz w:val="20"/>
          <w:szCs w:val="20"/>
          <w:color w:val="auto"/>
        </w:rPr>
      </w:pPr>
      <w:r>
        <w:rPr>
          <w:rFonts w:ascii="Arial" w:cs="Arial" w:eastAsia="Arial" w:hAnsi="Arial"/>
          <w:sz w:val="18"/>
          <w:szCs w:val="18"/>
          <w:color w:val="auto"/>
        </w:rPr>
        <w:t>Shares of preferred stock may be issued from time to time, in one or more series, as authorized by our board of directors. Prior to the issuance of shares of each series, the board of directors is required by the Delaware General Corporation Law and our certificate of incorporation to fix, for each series, the designations, powers and preferences and the relative, participating, optional or other special rights of the shares of each series and any qualifications, limitations and restrictions thereof, as are permitted by Delaware law. Our board of directors could authorize the issuance of shares of preferred stock with terms and conditions that could have the effect of discouraging a takeover or other transactions that holders of common stock might believe to be in their best interests or in which holders of some, or a majority, of the shares of common stock might receive a premium for their shares over the then market price of such shares of common stock. When issued, the preferred stock will be fully paid and nonassessable and will have no preemptive rights.</w:t>
      </w:r>
    </w:p>
    <w:p>
      <w:pPr>
        <w:spacing w:after="0" w:line="192" w:lineRule="exact"/>
        <w:rPr>
          <w:sz w:val="20"/>
          <w:szCs w:val="20"/>
          <w:color w:val="auto"/>
        </w:rPr>
      </w:pPr>
    </w:p>
    <w:p>
      <w:pPr>
        <w:ind w:right="320" w:firstLine="864"/>
        <w:spacing w:after="0" w:line="277" w:lineRule="auto"/>
        <w:rPr>
          <w:sz w:val="20"/>
          <w:szCs w:val="20"/>
          <w:color w:val="auto"/>
        </w:rPr>
      </w:pPr>
      <w:r>
        <w:rPr>
          <w:rFonts w:ascii="Arial" w:cs="Arial" w:eastAsia="Arial" w:hAnsi="Arial"/>
          <w:sz w:val="18"/>
          <w:szCs w:val="18"/>
          <w:color w:val="auto"/>
        </w:rPr>
        <w:t>If we decide to issue any preferred stock pursuant to this prospectus, we will describe in a prospectus supplement the terms of the preferred stock, including, if applicable, the following:</w:t>
      </w:r>
    </w:p>
    <w:p>
      <w:pPr>
        <w:spacing w:after="0" w:line="62" w:lineRule="exact"/>
        <w:rPr>
          <w:sz w:val="20"/>
          <w:szCs w:val="20"/>
          <w:color w:val="auto"/>
        </w:rPr>
      </w:pPr>
    </w:p>
    <w:p>
      <w:pPr>
        <w:ind w:left="1300" w:hanging="44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series and stated value;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 w:name="page10"/>
    <w:bookmarkEnd w:id="9"/>
    <w:p>
      <w:pPr>
        <w:ind w:left="1300" w:hanging="442"/>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of the series of preferred stock offered, the liquidation preference per share, if applicable, and the offering price;</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applicable dividend rate(s) or amount(s), period(s) and payment date(s) or method(s) of calculation thereof;</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from which dividends on the preferred stock will accumulate, if applicable;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procedures for auction and remarketing;</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for a sinking fund;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applicable provision for redemption and the price or prices, terms and conditions on which preferred stock may be redeemed;</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securities exchange listing;</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voting rights and powers;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1300" w:right="140" w:hanging="44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applicable, of conversion into shares of our common stock, including the conversion price or rate or manner of calculation thereof;</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relative ranking and preference as to dividend rights and rights upon our liquidation, dissolution or the winding up of our affairs;</w:t>
      </w:r>
    </w:p>
    <w:p>
      <w:pPr>
        <w:spacing w:after="0" w:line="128" w:lineRule="exact"/>
        <w:rPr>
          <w:rFonts w:ascii="Arial" w:cs="Arial" w:eastAsia="Arial" w:hAnsi="Arial"/>
          <w:sz w:val="17"/>
          <w:szCs w:val="17"/>
          <w:color w:val="auto"/>
        </w:rPr>
      </w:pPr>
    </w:p>
    <w:p>
      <w:pPr>
        <w:ind w:left="1300" w:right="520" w:hanging="44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stock ranking senior to or on a parity with such series of preferred stock as to dividend rights and rights upon our liquidation, dissolution or the winding up of our affairs;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such series of preferred stock.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right="260" w:firstLine="864"/>
        <w:spacing w:after="0" w:line="277" w:lineRule="auto"/>
        <w:rPr>
          <w:sz w:val="20"/>
          <w:szCs w:val="20"/>
          <w:color w:val="auto"/>
        </w:rPr>
      </w:pPr>
      <w:r>
        <w:rPr>
          <w:rFonts w:ascii="Arial" w:cs="Arial" w:eastAsia="Arial" w:hAnsi="Arial"/>
          <w:sz w:val="18"/>
          <w:szCs w:val="18"/>
          <w:color w:val="auto"/>
        </w:rPr>
        <w:t>We may issue receipts for depositary shares representing fractional shares of preferred stock. The fractional share of the applicable series of preferred stock represented by each depositary share will be set forth in the applicable prospectus supplement.</w:t>
      </w:r>
    </w:p>
    <w:p>
      <w:pPr>
        <w:spacing w:after="0" w:line="170" w:lineRule="exact"/>
        <w:rPr>
          <w:sz w:val="20"/>
          <w:szCs w:val="20"/>
          <w:color w:val="auto"/>
        </w:rPr>
      </w:pPr>
    </w:p>
    <w:p>
      <w:pPr>
        <w:ind w:right="240" w:firstLine="864"/>
        <w:spacing w:after="0" w:line="301" w:lineRule="auto"/>
        <w:rPr>
          <w:sz w:val="20"/>
          <w:szCs w:val="20"/>
          <w:color w:val="auto"/>
        </w:rPr>
      </w:pPr>
      <w:r>
        <w:rPr>
          <w:rFonts w:ascii="Arial" w:cs="Arial" w:eastAsia="Arial" w:hAnsi="Arial"/>
          <w:sz w:val="16"/>
          <w:szCs w:val="16"/>
          <w:color w:val="auto"/>
        </w:rPr>
        <w:t>The shares of any series of preferred stock underlying any depositary shares that we may sell under this prospectus will be deposited under a deposit agreement between us and a depositary selected by us. Subject to the terms of the deposit agreement, each holder of a depositary share will be entitled, in proportion to the applicable fraction of a share of the preferred stock underlying the depositary share, to all of the rights, preferences, and privileges, and will be subject to the qualifications and restrictions, of the preferred stock underlying that depositary share.</w:t>
      </w:r>
    </w:p>
    <w:p>
      <w:pPr>
        <w:spacing w:after="0" w:line="157"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The depositary shares will be evidenced by depositary receipts issued under the deposit agreement. Depositary receipts will be distributed to the holders of the depositary shares that are sold in the applicable offering. We will incorporate by reference into the registration statement of which this prospectus is a part the form of any deposit agreement, including a form of depositary receipt, that describes the terms of any depositary shares we are offering before the issuance of the related depositary shares. The following summaries of material provisions of the deposit agreement, the depositary shares, and the depositary receipts are subject to, and qualified in their entirety by reference to, all of the provisions of the deposit agreement applicable to a particular offering of depositary shares. We urge you to read the prospectus supplements relating to any depositary shares that are sold under this prospectus, as well as the complete deposit agreement and depositary receipt.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Form</w:t>
      </w:r>
    </w:p>
    <w:p>
      <w:pPr>
        <w:spacing w:after="0" w:line="229" w:lineRule="exact"/>
        <w:rPr>
          <w:sz w:val="20"/>
          <w:szCs w:val="20"/>
          <w:color w:val="auto"/>
        </w:rPr>
      </w:pPr>
    </w:p>
    <w:p>
      <w:pPr>
        <w:ind w:right="100" w:firstLine="864"/>
        <w:spacing w:after="0" w:line="311" w:lineRule="auto"/>
        <w:rPr>
          <w:sz w:val="20"/>
          <w:szCs w:val="20"/>
          <w:color w:val="auto"/>
        </w:rPr>
      </w:pPr>
      <w:r>
        <w:rPr>
          <w:rFonts w:ascii="Arial" w:cs="Arial" w:eastAsia="Arial" w:hAnsi="Arial"/>
          <w:sz w:val="16"/>
          <w:szCs w:val="16"/>
          <w:color w:val="auto"/>
        </w:rPr>
        <w:t>Pending the preparation of definitive depositary receipts, the depositary may, upon our written order, issue temporary depositary receipts substantially identical to the definitive depositary receipts but not in definitive form. These temporary depositary receipts will entitle their holders to all of the rights of definitive depositary receipts. Temporary depositary receipts will then be exchangeable for definitive depositary receipts at our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right="60" w:firstLine="864"/>
        <w:spacing w:after="0" w:line="277" w:lineRule="auto"/>
        <w:rPr>
          <w:sz w:val="20"/>
          <w:szCs w:val="20"/>
          <w:color w:val="auto"/>
        </w:rPr>
      </w:pPr>
      <w:r>
        <w:rPr>
          <w:rFonts w:ascii="Arial" w:cs="Arial" w:eastAsia="Arial" w:hAnsi="Arial"/>
          <w:sz w:val="18"/>
          <w:szCs w:val="18"/>
          <w:color w:val="auto"/>
        </w:rPr>
        <w:t>The depositary will distribute all cash dividends or other cash distributions received with respect to the underlying preferred stock to the record holders of depositary shares in proportion to the number of depositary shares owned by those holders.</w:t>
      </w:r>
    </w:p>
    <w:p>
      <w:pPr>
        <w:spacing w:after="0" w:line="170"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received by it to the record holders of depositary shares in proportion to the number of depositary shares owned by those holders, unless the depositary determines that it is not feasible to do so. If this occurs, the depositary may, with our approval, sell the property and distribute the net proceeds from the sale to those holders in proportion to the number of depositary shares owned by them.</w:t>
      </w:r>
    </w:p>
    <w:p>
      <w:pPr>
        <w:spacing w:after="0" w:line="187" w:lineRule="exact"/>
        <w:rPr>
          <w:sz w:val="20"/>
          <w:szCs w:val="20"/>
          <w:color w:val="auto"/>
        </w:rPr>
      </w:pPr>
    </w:p>
    <w:p>
      <w:pPr>
        <w:ind w:right="480" w:firstLine="864"/>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Underlying Preferred Stock</w:t>
      </w:r>
    </w:p>
    <w:p>
      <w:pPr>
        <w:spacing w:after="0" w:line="229"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Except as otherwise provided in a prospectus supplement, holders may surrender depositary receipts at the principal office of the depositary and, upon payment of any unpaid amount due to the depositary, be entitled to receive the number of whole shares of underlying preferred stock and all money and other property represented by the related depositary shares. We will not issue any partial shares of preferred stock. If the holder delivers depositary receipts evidencing a number of depositary shares that represent more than a whole number of shares of preferred stock, the depositary will issue a new depositary receipt evidencing the excess number of depositary shares to the holder.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29" w:lineRule="exact"/>
        <w:rPr>
          <w:sz w:val="20"/>
          <w:szCs w:val="20"/>
          <w:color w:val="auto"/>
        </w:rPr>
      </w:pPr>
    </w:p>
    <w:p>
      <w:pPr>
        <w:ind w:right="60" w:firstLine="864"/>
        <w:spacing w:after="0" w:line="293" w:lineRule="auto"/>
        <w:rPr>
          <w:sz w:val="20"/>
          <w:szCs w:val="20"/>
          <w:color w:val="auto"/>
        </w:rPr>
      </w:pPr>
      <w:r>
        <w:rPr>
          <w:rFonts w:ascii="Arial" w:cs="Arial" w:eastAsia="Arial" w:hAnsi="Arial"/>
          <w:sz w:val="16"/>
          <w:szCs w:val="16"/>
          <w:color w:val="auto"/>
        </w:rPr>
        <w:t>If the preferred stock underlying any depositary shares we may sell under this prospectus is subject to redemption, the depositary shares will be redeemed from the proceeds received by the depositary resulting from any such redemption, in whole or in part, of that underlying preferred stock. The redemption price per depositary share will be equal to the applicable fraction of the redemption price per share payable with respect to the underlying preferred stock. Whenever we redeem shares of underlying preferred stock that are held by the depositary, the depositary will redeem, as of the same redemption date, the number of depositary shares representing the shares of underlying preferred stock so redeemed. If fewer than all of the depositary shares are to be redeemed, the depositary shares to be redeemed will be selected by lot or proportionately, as may be determined by the depositary.</w:t>
      </w:r>
    </w:p>
    <w:p>
      <w:pPr>
        <w:spacing w:after="0" w:line="164"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After the date fixed for redemption, the depositary shares called for redemption will no longer be deemed to be outstanding, and all rights of the holders of the depositary shares will cease, except the right to receive the monies payable and any other property to which the holders were entitled upon the redemption upon surrender to the depositary of the depositary receipts evidencing the depositary shares. Any funds deposited by us with the depositary for any depositary shares that the holders fail to redeem will be returned to us after a period of two years from the date the funds are deposited.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160" w:firstLine="864"/>
        <w:spacing w:after="0" w:line="271" w:lineRule="auto"/>
        <w:rPr>
          <w:sz w:val="20"/>
          <w:szCs w:val="20"/>
          <w:color w:val="auto"/>
        </w:rPr>
      </w:pPr>
      <w:r>
        <w:rPr>
          <w:rFonts w:ascii="Arial" w:cs="Arial" w:eastAsia="Arial" w:hAnsi="Arial"/>
          <w:sz w:val="17"/>
          <w:szCs w:val="17"/>
          <w:color w:val="auto"/>
        </w:rPr>
        <w:t>Upon receipt of notice of any meeting at which holders of the preferred stock underlying any depositary shares that we may sell under this prospectus are entitled to vote, the depositary will mail the information contained in the notice to the record holders of the depositary shares. Each record holder of the depositary shares on the record date, which will be the same date as the record date for the underlying preferred stock, will be entitled to instruct the depositary as to the exercise of the voting rights pertaining to the amount of the underlying preferred stock represented by the holder’s depositary shares. The depositary will then try, as far as practicable, to vote the number of shares of preferred stock underlying those depositary shares in accordance with those instructions, and we will agree to take all reasonable actions which may be deemed necessary by the depositary to enable the depositary to do so. The depositary will not vote the underlying preferred stock to the extent it does not receive specific instructions with respect to the depositary shares representing such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Preferred Stock</w:t>
      </w:r>
    </w:p>
    <w:p>
      <w:pPr>
        <w:spacing w:after="0" w:line="229"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color w:val="auto"/>
        </w:rPr>
        <w:t>If the prospectus supplement relating to any depositary shares that we may sell under this prospectus states that the underlying preferred stock is convertible into our common stock or other securities, the following will apply. The depositary shares, as such, will not be convertible into any of our securities. Rather, any holder of the depositary shares may surrender the related depositary receipts to the depositary with written instructions that direct us to cause conversion of the preferred stock represented by the depositary shares into or for whole shares of our common stock or other securities, as applicable. Upon receipt of those instructions and any amounts payable by the holder in connection with the conversion, we will cause the conversion using the same procedures as those provided for conversion of the underlying preferred stock. If only some of a holder’s depositary shares are converted, a new depositary receipt or receipts will be issued to the holder for any depositary shares not converted.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The form of depositary receipt evidencing the depositary shares and any provision of the deposit agreement may at any time be amended by agreement between us and the depositary. However, any amendment which materially and adversely alters the rights of the holders of depositary shares will not be effective until 90 days after notice of that amendment has been given to the holders. Each holder of depositary shares at the time any amendment becomes effective shall be deemed to consent and agree to that amendment and to be bound by the deposit agreement as so amended. The deposit agreement may be terminated by us or by the depositary only if all outstanding depositary shares have been redeemed or converted into any other securities into which the underlying preferred stock is convertible or there has been a final distribution, including to holders of depositary receipts, of the underlying preferred stock in connection with our liquidation, dissolution, or winding 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 the initial deposit of the preferred stock, the initial issuance of the depositary shares, any redemption of the preferred stock, and all withdrawals of preferred stock by owners of depositary shares. Holders of depositary receipts will pay transfer, income, and other taxes and governmental charges and other specified charges as provided in the deposit arrangement for their accounts. If these charges have not been paid, the depositary may refuse to transfer depositary shares, withhold dividends and distributions, and sell the depositary shares evidenced by the depositary receipt.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w:t>
      </w:r>
    </w:p>
    <w:p>
      <w:pPr>
        <w:spacing w:after="0" w:line="229" w:lineRule="exact"/>
        <w:rPr>
          <w:sz w:val="20"/>
          <w:szCs w:val="20"/>
          <w:color w:val="auto"/>
        </w:rPr>
      </w:pPr>
    </w:p>
    <w:p>
      <w:pPr>
        <w:ind w:right="40" w:firstLine="864"/>
        <w:spacing w:after="0" w:line="296" w:lineRule="auto"/>
        <w:rPr>
          <w:sz w:val="20"/>
          <w:szCs w:val="20"/>
          <w:color w:val="auto"/>
        </w:rPr>
      </w:pPr>
      <w:r>
        <w:rPr>
          <w:rFonts w:ascii="Arial" w:cs="Arial" w:eastAsia="Arial" w:hAnsi="Arial"/>
          <w:sz w:val="16"/>
          <w:szCs w:val="16"/>
          <w:color w:val="auto"/>
        </w:rPr>
        <w:t>Neither we nor the depositary will be liable if either of us is prevented or delayed by law or any circumstance beyond our control in performing our respective obligations under the deposit agreement. Our obligations and those of the depositary will be limited to performance of our respective duties under the deposit agreement without, in our case, negligence or bad faith or, in the case of the depositary, negligence or willful misconduct. We and the depositary may rely upon advice of counsel or accountants, or upon information provided by persons presenting the underlying preferred stock for deposit, holders of depositary receipts, or other persons believed by us in good faith to be competent and on documents believed to be genuine.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Trust Office of Depositary</w:t>
      </w:r>
    </w:p>
    <w:p>
      <w:pPr>
        <w:spacing w:after="0" w:line="229" w:lineRule="exact"/>
        <w:rPr>
          <w:sz w:val="20"/>
          <w:szCs w:val="20"/>
          <w:color w:val="auto"/>
        </w:rPr>
      </w:pPr>
    </w:p>
    <w:p>
      <w:pPr>
        <w:ind w:right="120" w:firstLine="864"/>
        <w:spacing w:after="0" w:line="263" w:lineRule="auto"/>
        <w:rPr>
          <w:sz w:val="20"/>
          <w:szCs w:val="20"/>
          <w:color w:val="auto"/>
        </w:rPr>
      </w:pPr>
      <w:r>
        <w:rPr>
          <w:rFonts w:ascii="Arial" w:cs="Arial" w:eastAsia="Arial" w:hAnsi="Arial"/>
          <w:sz w:val="18"/>
          <w:szCs w:val="18"/>
          <w:color w:val="auto"/>
        </w:rPr>
        <w:t>The depositary’s corporate trust office will be set forth in the applicable prospectus supplement relating to a series of depositary shares. The depositary will act as transfer agent and registrar for depositary receipts, and, if shares of a series of preferred stock are redeemable, the depositary will act as redemption agent for the corresponding depositary receipts.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212121"/>
        </w:rPr>
        <w:t>The depositary may resign at any time by delivering to us notice of its intent to do so, and we may at any time remove the depositary, any such resignation or removal to take effect upon the appointment of a successor depositary meeting the requirements specified in the deposit agreement and its acceptance of such appointment.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Holders</w:t>
      </w:r>
    </w:p>
    <w:p>
      <w:pPr>
        <w:spacing w:after="0" w:line="229"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17"/>
          <w:szCs w:val="17"/>
          <w:color w:val="auto"/>
        </w:rPr>
        <w:t>We will deliver all required reports and communications to holders of the preferred stock to the depositary, and it will forward those reports and communications to the holders of depositary shares. Upon request, the depositary will provide for inspection to the holders of depositary shares the transfer books of the depositary and the list of holders of receipts; provided that any requesting holder certifies to the depositary that such inspection is for a proper purpose reasonably related to such person’s interest as an owner of depositary shares evidenced by the receipts.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11"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84" w:lineRule="exact"/>
        <w:rPr>
          <w:sz w:val="20"/>
          <w:szCs w:val="20"/>
          <w:color w:val="auto"/>
        </w:rPr>
      </w:pPr>
    </w:p>
    <w:p>
      <w:pPr>
        <w:ind w:right="120" w:firstLine="864"/>
        <w:spacing w:after="0" w:line="257" w:lineRule="auto"/>
        <w:rPr>
          <w:sz w:val="20"/>
          <w:szCs w:val="20"/>
          <w:color w:val="auto"/>
        </w:rPr>
      </w:pPr>
      <w:r>
        <w:rPr>
          <w:rFonts w:ascii="Arial" w:cs="Arial" w:eastAsia="Arial" w:hAnsi="Arial"/>
          <w:sz w:val="18"/>
          <w:szCs w:val="18"/>
          <w:color w:val="auto"/>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applicable prospectus supplement will describe the terms of any warrants in respect of which this prospectus is being delivered, including:</w:t>
      </w:r>
    </w:p>
    <w:p>
      <w:pPr>
        <w:spacing w:after="0" w:line="140" w:lineRule="exact"/>
        <w:rPr>
          <w:sz w:val="20"/>
          <w:szCs w:val="20"/>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purchasable upon exercise of such warrants;</w:t>
      </w:r>
    </w:p>
    <w:p>
      <w:pPr>
        <w:spacing w:after="0" w:line="117" w:lineRule="exact"/>
        <w:rPr>
          <w:rFonts w:ascii="Arial" w:cs="Arial" w:eastAsia="Arial" w:hAnsi="Arial"/>
          <w:sz w:val="18"/>
          <w:szCs w:val="18"/>
          <w:color w:val="auto"/>
        </w:rPr>
      </w:pPr>
    </w:p>
    <w:p>
      <w:pPr>
        <w:ind w:left="1300" w:right="180" w:hanging="44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left="1300" w:right="40" w:hanging="44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incorporated by reference or free writing prospectus.</w:t>
      </w:r>
    </w:p>
    <w:p>
      <w:pPr>
        <w:spacing w:after="0" w:line="222" w:lineRule="exact"/>
        <w:rPr>
          <w:sz w:val="20"/>
          <w:szCs w:val="20"/>
          <w:color w:val="auto"/>
        </w:rPr>
      </w:pPr>
    </w:p>
    <w:p>
      <w:pPr>
        <w:ind w:right="60" w:firstLine="864"/>
        <w:spacing w:after="0" w:line="275" w:lineRule="auto"/>
        <w:rPr>
          <w:sz w:val="20"/>
          <w:szCs w:val="20"/>
          <w:color w:val="auto"/>
        </w:rPr>
      </w:pPr>
      <w:r>
        <w:rPr>
          <w:rFonts w:ascii="Arial" w:cs="Arial" w:eastAsia="Arial" w:hAnsi="Arial"/>
          <w:sz w:val="17"/>
          <w:szCs w:val="17"/>
          <w:color w:val="auto"/>
        </w:rPr>
        <w:t>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56"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A warrant will entitle the holder to purchase an amount of securities at an exercise price that will be stated in, or that will be determinable as described in, the applicable prospectus supplement or information incorporated by reference therein. Holders of warrants may exercise the warrants at any time up to the specified time on the expiration date set forth in the applicable prospectus supplement or information incorporated by reference therein. After the close of business on the expiration date, unexercised warrants will become void. Warrants may be redeemed as set forth in the applicable prospectus supplement or information incorporated by reference therein.</w:t>
      </w:r>
    </w:p>
    <w:p>
      <w:pPr>
        <w:spacing w:after="0" w:line="215"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Warrants may be exercised as set forth in the applicable prospectus supplement or information incorporated by reference therein. Upon receipt of payment and the warrant certificate properly completed and duly executed at the corporate trust office of the warrant agent or any other office indicated in the prospectus supplement or information incorporated by reference therein, we will forward, as soon as practicable, the securities purchasable upon such exercise. If less than all of the warrants represented by such warrant certificate are exercised, a new warrant certificate will be issued for the remaining warrants.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40" w:firstLine="864"/>
        <w:spacing w:after="0" w:line="301" w:lineRule="auto"/>
        <w:rPr>
          <w:sz w:val="20"/>
          <w:szCs w:val="20"/>
          <w:color w:val="auto"/>
        </w:rPr>
      </w:pPr>
      <w:r>
        <w:rPr>
          <w:rFonts w:ascii="Arial" w:cs="Arial" w:eastAsia="Arial" w:hAnsi="Arial"/>
          <w:sz w:val="16"/>
          <w:szCs w:val="16"/>
          <w:color w:val="auto"/>
        </w:rPr>
        <w:t>Our debt securities may be issued from time to time in one or more series and may include senior debt securities, subordinated debt securities, convertible debt securities and exchangeable debt securities. The particular terms of any series of debt securities and the extent to which the general provisions may apply to a particular series of debt securities will be described in the prospectus supplement relating to that series. When describing any debt securities, references to “we,” “us” and “our” refer to the issuer of those debt securities and not to any of its subsidiaries.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100" w:firstLine="864"/>
        <w:spacing w:after="0" w:line="291" w:lineRule="auto"/>
        <w:rPr>
          <w:sz w:val="20"/>
          <w:szCs w:val="20"/>
          <w:color w:val="auto"/>
        </w:rPr>
      </w:pPr>
      <w:r>
        <w:rPr>
          <w:rFonts w:ascii="Arial" w:cs="Arial" w:eastAsia="Arial" w:hAnsi="Arial"/>
          <w:sz w:val="16"/>
          <w:szCs w:val="16"/>
          <w:color w:val="auto"/>
        </w:rPr>
        <w:t>The debt securities we offer will be issued under an indenture between us and the trustee named in the indenture. You should also read the indenture under which the debt securities are to be issued. We have filed a form of indenture governing different types of debt securities with the SEC as an exhibit to the registration statement of which this prospectus is a part. The following summary of the indenture does not purport to be complete and is subject to, and qualified in its entirety by reference to, all of the provisions of the indenture, including definitions therein of certain terms. A form of each debt security, reflecting the specific terms and provisions of that series of debt securities, will be filed with the SEC in connection with each offering and will be incorporated by reference in the registration statement of which this prospectus forms a part. You may obtain a copy of the indenture and any form of debt security that has been filed in the manner described under “Where You Can Find More Information.”</w:t>
      </w:r>
    </w:p>
    <w:p>
      <w:pPr>
        <w:spacing w:after="0" w:line="193" w:lineRule="exact"/>
        <w:rPr>
          <w:sz w:val="20"/>
          <w:szCs w:val="20"/>
          <w:color w:val="auto"/>
        </w:rPr>
      </w:pPr>
    </w:p>
    <w:p>
      <w:pPr>
        <w:ind w:right="240" w:firstLine="864"/>
        <w:spacing w:after="0" w:line="263" w:lineRule="auto"/>
        <w:rPr>
          <w:sz w:val="20"/>
          <w:szCs w:val="20"/>
          <w:color w:val="auto"/>
        </w:rPr>
      </w:pPr>
      <w:r>
        <w:rPr>
          <w:rFonts w:ascii="Arial" w:cs="Arial" w:eastAsia="Arial" w:hAnsi="Arial"/>
          <w:sz w:val="18"/>
          <w:szCs w:val="18"/>
          <w:color w:val="auto"/>
        </w:rPr>
        <w:t>For a comprehensive description of any series of debt securities being offered to you pursuant to this prospectus, you should read this prospectus and the applicable prospectus supplement, indenture (including any amendments or supplements we may enter into from time to time that are permitted under the debt securities or indenture) and form of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56" w:lineRule="exact"/>
        <w:rPr>
          <w:sz w:val="20"/>
          <w:szCs w:val="20"/>
          <w:color w:val="auto"/>
        </w:rPr>
      </w:pPr>
    </w:p>
    <w:p>
      <w:pPr>
        <w:ind w:right="60" w:firstLine="864"/>
        <w:spacing w:after="0" w:line="255" w:lineRule="auto"/>
        <w:rPr>
          <w:sz w:val="20"/>
          <w:szCs w:val="20"/>
          <w:color w:val="auto"/>
        </w:rPr>
      </w:pPr>
      <w:r>
        <w:rPr>
          <w:rFonts w:ascii="Arial" w:cs="Arial" w:eastAsia="Arial" w:hAnsi="Arial"/>
          <w:sz w:val="18"/>
          <w:szCs w:val="18"/>
          <w:color w:val="auto"/>
        </w:rPr>
        <w:t>The indenture does not limit the amount of debt securities that we may issue. The indenture does provide that we may issue debt securities up to the principal amount that we may authorize, which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219" w:lineRule="exact"/>
        <w:rPr>
          <w:sz w:val="20"/>
          <w:szCs w:val="20"/>
          <w:color w:val="auto"/>
        </w:rPr>
      </w:pPr>
    </w:p>
    <w:p>
      <w:pPr>
        <w:ind w:right="160" w:firstLine="864"/>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215" w:lineRule="exact"/>
        <w:rPr>
          <w:sz w:val="20"/>
          <w:szCs w:val="20"/>
          <w:color w:val="auto"/>
        </w:rPr>
      </w:pPr>
    </w:p>
    <w:p>
      <w:pPr>
        <w:ind w:right="720" w:firstLine="864"/>
        <w:spacing w:after="0" w:line="277" w:lineRule="auto"/>
        <w:rPr>
          <w:sz w:val="20"/>
          <w:szCs w:val="20"/>
          <w:color w:val="auto"/>
        </w:rPr>
      </w:pPr>
      <w:r>
        <w:rPr>
          <w:rFonts w:ascii="Arial" w:cs="Arial" w:eastAsia="Arial" w:hAnsi="Arial"/>
          <w:sz w:val="18"/>
          <w:szCs w:val="18"/>
          <w:color w:val="auto"/>
        </w:rPr>
        <w:t>The prospectus supplement relating to a particular series of debt securities will describe the terms of the debt securities offered by that prospectus supplement and by this prospectus, including the following:</w:t>
      </w:r>
    </w:p>
    <w:p>
      <w:pPr>
        <w:spacing w:after="0" w:line="40" w:lineRule="exact"/>
        <w:rPr>
          <w:sz w:val="20"/>
          <w:szCs w:val="20"/>
          <w:color w:val="auto"/>
        </w:rPr>
      </w:pPr>
    </w:p>
    <w:p>
      <w:pPr>
        <w:ind w:left="1300" w:hanging="442"/>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title and authorized denominations of the debt securities;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any limit on the aggregate principal amount of that series of debt securities;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20" w:lineRule="exact"/>
        <w:rPr>
          <w:rFonts w:ascii="Arial" w:cs="Arial" w:eastAsia="Arial" w:hAnsi="Arial"/>
          <w:sz w:val="22"/>
          <w:szCs w:val="22"/>
          <w:color w:val="auto"/>
        </w:rPr>
      </w:pPr>
    </w:p>
    <w:p>
      <w:pPr>
        <w:ind w:left="1300" w:right="440" w:hanging="442"/>
        <w:spacing w:after="0" w:line="232"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2" w:lineRule="exact"/>
        <w:rPr>
          <w:rFonts w:ascii="Arial" w:cs="Arial" w:eastAsia="Arial" w:hAnsi="Arial"/>
          <w:sz w:val="22"/>
          <w:szCs w:val="22"/>
          <w:color w:val="auto"/>
        </w:rPr>
      </w:pPr>
    </w:p>
    <w:p>
      <w:pPr>
        <w:ind w:left="1300" w:hanging="442"/>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right, if any, to extend the interest payment periods and the duration of the extensions;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guarantors, if any, of our obligations under the debt securities;</w:t>
      </w:r>
    </w:p>
    <w:p>
      <w:pPr>
        <w:spacing w:after="0" w:line="120" w:lineRule="exact"/>
        <w:rPr>
          <w:rFonts w:ascii="Arial" w:cs="Arial" w:eastAsia="Arial" w:hAnsi="Arial"/>
          <w:sz w:val="22"/>
          <w:szCs w:val="22"/>
          <w:color w:val="auto"/>
        </w:rPr>
      </w:pPr>
    </w:p>
    <w:p>
      <w:pPr>
        <w:ind w:left="1300" w:hanging="442"/>
        <w:spacing w:after="0" w:line="238"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94" w:lineRule="exact"/>
        <w:rPr>
          <w:rFonts w:ascii="Arial" w:cs="Arial" w:eastAsia="Arial" w:hAnsi="Arial"/>
          <w:sz w:val="22"/>
          <w:szCs w:val="22"/>
          <w:color w:val="auto"/>
        </w:rPr>
      </w:pPr>
    </w:p>
    <w:p>
      <w:pPr>
        <w:ind w:left="1300" w:right="200" w:hanging="442"/>
        <w:spacing w:after="0" w:line="238"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left="1300" w:right="80" w:hanging="442"/>
        <w:spacing w:after="0" w:line="238"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period or periods within which, the price or prices at which, the currency or currencies in which, and other terms and conditions upon which those debt securities may be redeemed, in whole or in part, at our option or the option of a holder of those securities, if we or a holder is to have that option;</w:t>
      </w:r>
    </w:p>
    <w:p>
      <w:pPr>
        <w:spacing w:after="0" w:line="94" w:lineRule="exact"/>
        <w:rPr>
          <w:rFonts w:ascii="Arial" w:cs="Arial" w:eastAsia="Arial" w:hAnsi="Arial"/>
          <w:sz w:val="22"/>
          <w:szCs w:val="22"/>
          <w:color w:val="auto"/>
        </w:rPr>
      </w:pPr>
    </w:p>
    <w:p>
      <w:pPr>
        <w:ind w:left="1300" w:right="20" w:hanging="442"/>
        <w:spacing w:after="0" w:line="238"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94" w:lineRule="exact"/>
        <w:rPr>
          <w:rFonts w:ascii="Arial" w:cs="Arial" w:eastAsia="Arial" w:hAnsi="Arial"/>
          <w:sz w:val="22"/>
          <w:szCs w:val="22"/>
          <w:color w:val="auto"/>
        </w:rPr>
      </w:pPr>
    </w:p>
    <w:p>
      <w:pPr>
        <w:ind w:left="1300" w:hanging="442"/>
        <w:spacing w:after="0" w:line="232"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terms, if any, on which the debt securities of that series and any guarantees thereof will be subordinate in right and priority of payment to our other debt;</w:t>
      </w:r>
    </w:p>
    <w:p>
      <w:pPr>
        <w:spacing w:after="0" w:line="72" w:lineRule="exact"/>
        <w:rPr>
          <w:rFonts w:ascii="Arial" w:cs="Arial" w:eastAsia="Arial" w:hAnsi="Arial"/>
          <w:sz w:val="22"/>
          <w:szCs w:val="22"/>
          <w:color w:val="auto"/>
        </w:rPr>
      </w:pPr>
    </w:p>
    <w:p>
      <w:pPr>
        <w:ind w:left="1300" w:hanging="442"/>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denominations in which those debt securities will be issuable;</w:t>
      </w:r>
    </w:p>
    <w:p>
      <w:pPr>
        <w:spacing w:after="0" w:line="120" w:lineRule="exact"/>
        <w:rPr>
          <w:rFonts w:ascii="Arial" w:cs="Arial" w:eastAsia="Arial" w:hAnsi="Arial"/>
          <w:sz w:val="22"/>
          <w:szCs w:val="22"/>
          <w:color w:val="auto"/>
        </w:rPr>
      </w:pPr>
    </w:p>
    <w:p>
      <w:pPr>
        <w:ind w:left="1300" w:right="80" w:hanging="442"/>
        <w:spacing w:after="0" w:line="232"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95" w:lineRule="exact"/>
        <w:rPr>
          <w:rFonts w:ascii="Arial" w:cs="Arial" w:eastAsia="Arial" w:hAnsi="Arial"/>
          <w:sz w:val="22"/>
          <w:szCs w:val="22"/>
          <w:color w:val="auto"/>
        </w:rPr>
      </w:pPr>
    </w:p>
    <w:p>
      <w:pPr>
        <w:ind w:left="1300" w:right="420" w:hanging="442"/>
        <w:spacing w:after="0" w:line="232"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whether those debt securities will be issued in fully registered form without coupons or in a form registered as to principal only with coupons or in bearer form with coupons;</w:t>
      </w:r>
    </w:p>
    <w:p>
      <w:pPr>
        <w:spacing w:after="0" w:line="95" w:lineRule="exact"/>
        <w:rPr>
          <w:rFonts w:ascii="Arial" w:cs="Arial" w:eastAsia="Arial" w:hAnsi="Arial"/>
          <w:sz w:val="22"/>
          <w:szCs w:val="22"/>
          <w:color w:val="auto"/>
        </w:rPr>
      </w:pPr>
    </w:p>
    <w:p>
      <w:pPr>
        <w:ind w:left="1300" w:right="60" w:hanging="442"/>
        <w:spacing w:after="0" w:line="232"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95" w:lineRule="exact"/>
        <w:rPr>
          <w:rFonts w:ascii="Arial" w:cs="Arial" w:eastAsia="Arial" w:hAnsi="Arial"/>
          <w:sz w:val="22"/>
          <w:szCs w:val="22"/>
          <w:color w:val="auto"/>
        </w:rPr>
      </w:pPr>
    </w:p>
    <w:p>
      <w:pPr>
        <w:ind w:left="1300" w:right="180" w:hanging="442"/>
        <w:spacing w:after="0" w:line="232"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other than United States dollars, the currency or currencies in which payment of principal of or any premium or interest on those debt securities will be payable;</w:t>
      </w:r>
    </w:p>
    <w:p>
      <w:pPr>
        <w:spacing w:after="0" w:line="95" w:lineRule="exact"/>
        <w:rPr>
          <w:rFonts w:ascii="Arial" w:cs="Arial" w:eastAsia="Arial" w:hAnsi="Arial"/>
          <w:sz w:val="22"/>
          <w:szCs w:val="22"/>
          <w:color w:val="auto"/>
        </w:rPr>
      </w:pPr>
    </w:p>
    <w:p>
      <w:pPr>
        <w:ind w:left="1300" w:right="80" w:hanging="442"/>
        <w:spacing w:after="0" w:line="241"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4" w:lineRule="exact"/>
        <w:rPr>
          <w:rFonts w:ascii="Arial" w:cs="Arial" w:eastAsia="Arial" w:hAnsi="Arial"/>
          <w:sz w:val="22"/>
          <w:szCs w:val="22"/>
          <w:color w:val="auto"/>
        </w:rPr>
      </w:pPr>
    </w:p>
    <w:p>
      <w:pPr>
        <w:ind w:left="1300" w:right="480" w:hanging="442"/>
        <w:spacing w:after="0" w:line="232"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covenants relating to the debt securities that are in addition to, modify or delete those described in this prospectus, including the merger, consolidation and sale covenant;</w:t>
      </w:r>
    </w:p>
    <w:p>
      <w:pPr>
        <w:spacing w:after="0" w:line="72" w:lineRule="exact"/>
        <w:rPr>
          <w:rFonts w:ascii="Arial" w:cs="Arial" w:eastAsia="Arial" w:hAnsi="Arial"/>
          <w:sz w:val="22"/>
          <w:szCs w:val="22"/>
          <w:color w:val="auto"/>
        </w:rPr>
      </w:pPr>
    </w:p>
    <w:p>
      <w:pPr>
        <w:ind w:left="1300" w:hanging="442"/>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events of default relating to the debt securities that are in addition to, modify or delete those described in this prospectus;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nature and terms of any security for any secured debt securities;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terms applicable to any debt securities issued at a discount from their stated principal amount; and</w:t>
      </w:r>
    </w:p>
    <w:p>
      <w:pPr>
        <w:spacing w:after="0" w:line="28" w:lineRule="exact"/>
        <w:rPr>
          <w:rFonts w:ascii="Arial" w:cs="Arial" w:eastAsia="Arial" w:hAnsi="Arial"/>
          <w:sz w:val="22"/>
          <w:szCs w:val="22"/>
          <w:color w:val="auto"/>
        </w:rPr>
      </w:pPr>
    </w:p>
    <w:p>
      <w:pPr>
        <w:ind w:left="1300" w:hanging="442"/>
        <w:spacing w:after="0" w:line="203" w:lineRule="auto"/>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any other specific terms of any debt securities.</w:t>
      </w:r>
    </w:p>
    <w:p>
      <w:pPr>
        <w:spacing w:after="0" w:line="256" w:lineRule="exact"/>
        <w:rPr>
          <w:sz w:val="20"/>
          <w:szCs w:val="20"/>
          <w:color w:val="auto"/>
        </w:rPr>
      </w:pPr>
    </w:p>
    <w:p>
      <w:pPr>
        <w:ind w:right="200" w:firstLine="864"/>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w:t>
      </w:r>
    </w:p>
    <w:p>
      <w:pPr>
        <w:spacing w:after="0" w:line="229" w:lineRule="exact"/>
        <w:rPr>
          <w:sz w:val="20"/>
          <w:szCs w:val="20"/>
          <w:color w:val="auto"/>
        </w:rPr>
      </w:pPr>
    </w:p>
    <w:p>
      <w:pPr>
        <w:ind w:right="600" w:firstLine="864"/>
        <w:spacing w:after="0" w:line="308" w:lineRule="auto"/>
        <w:rPr>
          <w:sz w:val="20"/>
          <w:szCs w:val="20"/>
          <w:color w:val="auto"/>
        </w:rPr>
      </w:pPr>
      <w:r>
        <w:rPr>
          <w:rFonts w:ascii="Arial" w:cs="Arial" w:eastAsia="Arial" w:hAnsi="Arial"/>
          <w:sz w:val="17"/>
          <w:szCs w:val="17"/>
          <w:color w:val="auto"/>
        </w:rPr>
        <w:t>Unless otherwise indicated in the applicable prospectus supplement, each series of debt securities will be issued in registered form only, without coupons, and such registered securities will be issued in denominations of $1,000 or any integral multiple thereof.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20" w:firstLine="864"/>
        <w:spacing w:after="0" w:line="259" w:lineRule="auto"/>
        <w:rPr>
          <w:sz w:val="20"/>
          <w:szCs w:val="20"/>
          <w:color w:val="auto"/>
        </w:rPr>
      </w:pPr>
      <w:r>
        <w:rPr>
          <w:rFonts w:ascii="Arial" w:cs="Arial" w:eastAsia="Arial" w:hAnsi="Arial"/>
          <w:sz w:val="18"/>
          <w:szCs w:val="18"/>
          <w:color w:val="auto"/>
        </w:rPr>
        <w:t>Unless otherwise indicated in the applicable prospectus supplement, we will pay interest on the debt securities to the persons who are their registered holders at the close of business on a certain date preceding the respective interest payment date. We will not be required to register the transfer or exchange of debt securities of any series during a period beginning 15 days before the mailing of a notice of redemption of or an offer to repurchase debt securities of that series or 15 days before an interest payment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56" w:lineRule="exact"/>
        <w:rPr>
          <w:sz w:val="20"/>
          <w:szCs w:val="20"/>
          <w:color w:val="auto"/>
        </w:rPr>
      </w:pPr>
    </w:p>
    <w:p>
      <w:pPr>
        <w:ind w:right="500" w:firstLine="864"/>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common stock or other securities. The terms and conditions of conversion or exchange will be stated in the applicable prospectus supplement. The terms will include, among others, the following:</w:t>
      </w:r>
    </w:p>
    <w:p>
      <w:pPr>
        <w:ind w:left="1300" w:hanging="442"/>
        <w:spacing w:after="0" w:line="233"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conversion or exchange price;</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conversion or exchange period;</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events requiring adjustment to the conversion or exchange price; and</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provisions affecting conversion or exchange in the event of our redemption of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56" w:lineRule="exact"/>
        <w:rPr>
          <w:sz w:val="20"/>
          <w:szCs w:val="20"/>
          <w:color w:val="auto"/>
        </w:rPr>
      </w:pPr>
    </w:p>
    <w:p>
      <w:pPr>
        <w:ind w:right="100" w:firstLine="864"/>
        <w:spacing w:after="0" w:line="279" w:lineRule="auto"/>
        <w:rPr>
          <w:sz w:val="20"/>
          <w:szCs w:val="20"/>
          <w:color w:val="auto"/>
        </w:rPr>
      </w:pPr>
      <w:r>
        <w:rPr>
          <w:rFonts w:ascii="Arial" w:cs="Arial" w:eastAsia="Arial" w:hAnsi="Arial"/>
          <w:sz w:val="17"/>
          <w:szCs w:val="17"/>
          <w:color w:val="auto"/>
        </w:rPr>
        <w:t>The indenture generally permits a consolidation or merger between us and another entity, and another corporation, if the surviving corporation meets certain limitations and conditions. Subject to these conditions, the indenture also permits the sale or transfer by us of all or substantially all of our property and assets. If this happens, the remaining or acquiring corporation shall assume all of our responsibilities and liabilities under the indenture including the payment of all amounts due on the debt securities and performance of the covenants in the indenture.</w:t>
      </w:r>
    </w:p>
    <w:p>
      <w:pPr>
        <w:spacing w:after="0" w:line="171"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We are only permitted to consolidate or merge with or into any other corporation or sell all or substantially all of our assets according to the terms and conditions of the indenture, as indicated in the applicable prospectus supplement. The remaining or acquiring corporation will be substituted for us in the indenture with the same effect as if it had been an original party to the indenture. Thereafter, the successor corporation may exercise our rights and powers under any indenture, in our name or in its own name.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and Repurchase</w:t>
      </w:r>
    </w:p>
    <w:p>
      <w:pPr>
        <w:spacing w:after="0" w:line="229" w:lineRule="exact"/>
        <w:rPr>
          <w:sz w:val="20"/>
          <w:szCs w:val="20"/>
          <w:color w:val="auto"/>
        </w:rPr>
      </w:pPr>
    </w:p>
    <w:p>
      <w:pPr>
        <w:jc w:val="both"/>
        <w:ind w:right="100" w:firstLine="864"/>
        <w:spacing w:after="0" w:line="263" w:lineRule="auto"/>
        <w:rPr>
          <w:sz w:val="20"/>
          <w:szCs w:val="20"/>
          <w:color w:val="auto"/>
        </w:rPr>
      </w:pPr>
      <w:r>
        <w:rPr>
          <w:rFonts w:ascii="Arial" w:cs="Arial" w:eastAsia="Arial" w:hAnsi="Arial"/>
          <w:sz w:val="18"/>
          <w:szCs w:val="18"/>
          <w:color w:val="auto"/>
        </w:rPr>
        <w:t>The debt securities may be redeemable at our option, may be subject to mandatory redemption pursuant to a sinking fund or otherwise, or may be subject to repurchase by us at the option of the holders, in each case upon the terms, at the times and at the prices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indenture provides that the following will be “events of default” with respect to any series of debt securities:</w:t>
      </w:r>
    </w:p>
    <w:p>
      <w:pPr>
        <w:spacing w:after="0" w:line="94" w:lineRule="exact"/>
        <w:rPr>
          <w:sz w:val="20"/>
          <w:szCs w:val="20"/>
          <w:color w:val="auto"/>
        </w:rPr>
      </w:pPr>
    </w:p>
    <w:p>
      <w:pPr>
        <w:ind w:left="1300" w:hanging="442"/>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pay interest for 90 days after the date payment is due and payable;</w:t>
      </w:r>
    </w:p>
    <w:p>
      <w:pPr>
        <w:spacing w:after="0" w:line="120" w:lineRule="exact"/>
        <w:rPr>
          <w:rFonts w:ascii="Arial" w:cs="Arial" w:eastAsia="Arial" w:hAnsi="Arial"/>
          <w:sz w:val="22"/>
          <w:szCs w:val="22"/>
          <w:color w:val="auto"/>
        </w:rPr>
      </w:pPr>
    </w:p>
    <w:p>
      <w:pPr>
        <w:ind w:left="1300" w:right="380" w:hanging="442"/>
        <w:spacing w:after="0" w:line="232" w:lineRule="auto"/>
        <w:tabs>
          <w:tab w:leader="none" w:pos="1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72" w:lineRule="exact"/>
        <w:rPr>
          <w:rFonts w:ascii="Arial" w:cs="Arial" w:eastAsia="Arial" w:hAnsi="Arial"/>
          <w:sz w:val="22"/>
          <w:szCs w:val="22"/>
          <w:color w:val="auto"/>
        </w:rPr>
      </w:pPr>
    </w:p>
    <w:p>
      <w:pPr>
        <w:ind w:left="1300" w:hanging="442"/>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make sinking fund payments when due and continuance of such default for a period of 30 days;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perform other covenants for 90 days after notice of such default or breach and request for it to be remedied;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left="1300" w:hanging="442"/>
        <w:spacing w:after="0"/>
        <w:tabs>
          <w:tab w:leader="none" w:pos="13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events in bankruptcy, insolvency or reorganization relating to us; or</w:t>
      </w:r>
    </w:p>
    <w:p>
      <w:pPr>
        <w:spacing w:after="0" w:line="120" w:lineRule="exact"/>
        <w:rPr>
          <w:rFonts w:ascii="Arial" w:cs="Arial" w:eastAsia="Arial" w:hAnsi="Arial"/>
          <w:sz w:val="22"/>
          <w:szCs w:val="22"/>
          <w:color w:val="auto"/>
        </w:rPr>
      </w:pPr>
    </w:p>
    <w:p>
      <w:pPr>
        <w:ind w:left="1300" w:right="700" w:hanging="442"/>
        <w:spacing w:after="0" w:line="232" w:lineRule="auto"/>
        <w:tabs>
          <w:tab w:leader="none" w:pos="130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95"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211" w:lineRule="exact"/>
        <w:rPr>
          <w:sz w:val="20"/>
          <w:szCs w:val="20"/>
          <w:color w:val="auto"/>
        </w:rPr>
      </w:pPr>
    </w:p>
    <w:p>
      <w:pPr>
        <w:ind w:firstLine="864"/>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the holders of a majority in principal amount of the outstanding debt securities of any series may, on behalf of holders of all those debt securities, waive any past default and consequences of such default.</w:t>
      </w:r>
    </w:p>
    <w:p>
      <w:pPr>
        <w:spacing w:after="0" w:line="205" w:lineRule="exact"/>
        <w:rPr>
          <w:sz w:val="20"/>
          <w:szCs w:val="20"/>
          <w:color w:val="auto"/>
        </w:rPr>
      </w:pPr>
    </w:p>
    <w:p>
      <w:pPr>
        <w:ind w:right="60" w:firstLine="864"/>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40" w:lineRule="exact"/>
        <w:rPr>
          <w:sz w:val="20"/>
          <w:szCs w:val="20"/>
          <w:color w:val="auto"/>
        </w:rPr>
      </w:pPr>
    </w:p>
    <w:p>
      <w:pPr>
        <w:ind w:left="1300" w:hanging="442"/>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holder has previously given to the trustee written notice of a continuing default;</w:t>
      </w:r>
    </w:p>
    <w:p>
      <w:pPr>
        <w:spacing w:after="0" w:line="120" w:lineRule="exact"/>
        <w:rPr>
          <w:rFonts w:ascii="Arial" w:cs="Arial" w:eastAsia="Arial" w:hAnsi="Arial"/>
          <w:sz w:val="22"/>
          <w:szCs w:val="22"/>
          <w:color w:val="auto"/>
        </w:rPr>
      </w:pPr>
    </w:p>
    <w:p>
      <w:pPr>
        <w:ind w:left="1300" w:right="400" w:hanging="442"/>
        <w:spacing w:after="0" w:line="232"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95" w:lineRule="exact"/>
        <w:rPr>
          <w:rFonts w:ascii="Arial" w:cs="Arial" w:eastAsia="Arial" w:hAnsi="Arial"/>
          <w:sz w:val="22"/>
          <w:szCs w:val="22"/>
          <w:color w:val="auto"/>
        </w:rPr>
      </w:pPr>
    </w:p>
    <w:p>
      <w:pPr>
        <w:ind w:left="1300" w:right="500" w:hanging="442"/>
        <w:spacing w:after="0" w:line="232"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requesting holders have offered the trustee indemnity for the costs, expenses and liabilities that may be incurred by bringing the action;</w:t>
      </w:r>
    </w:p>
    <w:p>
      <w:pPr>
        <w:spacing w:after="0" w:line="72" w:lineRule="exact"/>
        <w:rPr>
          <w:rFonts w:ascii="Arial" w:cs="Arial" w:eastAsia="Arial" w:hAnsi="Arial"/>
          <w:sz w:val="22"/>
          <w:szCs w:val="22"/>
          <w:color w:val="auto"/>
        </w:rPr>
      </w:pPr>
    </w:p>
    <w:p>
      <w:pPr>
        <w:ind w:left="1300" w:hanging="442"/>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trustee has not instituted the action within 90 days of the request and offer of indemnity; and</w:t>
      </w:r>
    </w:p>
    <w:p>
      <w:pPr>
        <w:spacing w:after="0" w:line="120" w:lineRule="exact"/>
        <w:rPr>
          <w:rFonts w:ascii="Arial" w:cs="Arial" w:eastAsia="Arial" w:hAnsi="Arial"/>
          <w:sz w:val="22"/>
          <w:szCs w:val="22"/>
          <w:color w:val="auto"/>
        </w:rPr>
      </w:pPr>
    </w:p>
    <w:p>
      <w:pPr>
        <w:ind w:left="1300" w:right="20" w:hanging="442"/>
        <w:spacing w:after="0" w:line="232"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230"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52" w:lineRule="exact"/>
        <w:rPr>
          <w:sz w:val="20"/>
          <w:szCs w:val="20"/>
          <w:color w:val="auto"/>
        </w:rPr>
      </w:pPr>
    </w:p>
    <w:p>
      <w:pPr>
        <w:ind w:right="40" w:firstLine="864"/>
        <w:spacing w:after="0" w:line="275" w:lineRule="auto"/>
        <w:rPr>
          <w:sz w:val="20"/>
          <w:szCs w:val="20"/>
          <w:color w:val="auto"/>
        </w:rPr>
      </w:pPr>
      <w:r>
        <w:rPr>
          <w:rFonts w:ascii="Arial" w:cs="Arial" w:eastAsia="Arial" w:hAnsi="Arial"/>
          <w:sz w:val="17"/>
          <w:szCs w:val="17"/>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denominated in the currency of the debt securities, as trust funds, in an amount certified to be enough to pay when due, whether at maturity, upon redemption or otherwise, the principal of, and any premium and interest on, the debt securities and any mandatory sinking fund payments.</w:t>
      </w:r>
    </w:p>
    <w:p>
      <w:pPr>
        <w:spacing w:after="0" w:line="203"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Unless otherwise provided in the applicable prospectus supplement, we may also discharge certain of our obligations to holders of any series of debt securities at any time, which we refer to as defeasance. We may also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released from the obligations imposed by certain covenants of outstanding series of debt securities and provisions of the indenture, and we may omit to comply with those covenants without creating an event of default under the indenture, which we refer to as covenant defeasance. We may effect defeasance and covenant defeasance only if, among other things, we irrevocably deposit with the trustee cash or government obligations denominated in the currency of the debt securities, as trust funds, in an amount certified by a nationally recognized firm of independent certified accountants to be enough to pay at maturity, or upon redemption, the principal (including any mandatory sinking fund payments) of, and any premium and interest on, all outstanding debt securities of the series.</w:t>
      </w:r>
    </w:p>
    <w:p>
      <w:pPr>
        <w:spacing w:after="0" w:line="219" w:lineRule="exact"/>
        <w:rPr>
          <w:sz w:val="20"/>
          <w:szCs w:val="20"/>
          <w:color w:val="auto"/>
        </w:rPr>
      </w:pPr>
    </w:p>
    <w:p>
      <w:pPr>
        <w:ind w:right="260" w:firstLine="864"/>
        <w:spacing w:after="0" w:line="287" w:lineRule="auto"/>
        <w:rPr>
          <w:sz w:val="20"/>
          <w:szCs w:val="20"/>
          <w:color w:val="auto"/>
        </w:rPr>
      </w:pPr>
      <w:r>
        <w:rPr>
          <w:rFonts w:ascii="Arial" w:cs="Arial" w:eastAsia="Arial" w:hAnsi="Arial"/>
          <w:sz w:val="16"/>
          <w:szCs w:val="16"/>
          <w:color w:val="auto"/>
        </w:rPr>
        <w:t>Although we may discharge or decrease our obligations under the indenture as described in the preceding paragraphs, we may not discharge certain enumerated obligations, including but not limited to,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and Waivers</w:t>
      </w:r>
    </w:p>
    <w:p>
      <w:pPr>
        <w:spacing w:after="0" w:line="103"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40" w:lineRule="exact"/>
        <w:rPr>
          <w:sz w:val="20"/>
          <w:szCs w:val="20"/>
          <w:color w:val="auto"/>
        </w:rPr>
      </w:pPr>
    </w:p>
    <w:p>
      <w:pPr>
        <w:ind w:left="1300" w:hanging="442"/>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cure any ambiguity, defect, or inconsistency in the indenture or in the debt securities of any series;</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evidence the assumption by a successor entity of our obligations;</w:t>
      </w:r>
    </w:p>
    <w:p>
      <w:pPr>
        <w:spacing w:after="0" w:line="120" w:lineRule="exact"/>
        <w:rPr>
          <w:rFonts w:ascii="Arial" w:cs="Arial" w:eastAsia="Arial" w:hAnsi="Arial"/>
          <w:sz w:val="22"/>
          <w:szCs w:val="22"/>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securities;</w:t>
      </w:r>
    </w:p>
    <w:p>
      <w:pPr>
        <w:spacing w:after="0" w:line="117" w:lineRule="exact"/>
        <w:rPr>
          <w:rFonts w:ascii="Arial" w:cs="Arial" w:eastAsia="Arial" w:hAnsi="Arial"/>
          <w:sz w:val="18"/>
          <w:szCs w:val="18"/>
          <w:color w:val="auto"/>
        </w:rPr>
      </w:pPr>
    </w:p>
    <w:p>
      <w:pPr>
        <w:ind w:left="1300" w:hanging="442"/>
        <w:spacing w:after="0" w:line="275"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 to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indenture conferred upon us;</w:t>
      </w:r>
    </w:p>
    <w:p>
      <w:pPr>
        <w:spacing w:after="0" w:line="68" w:lineRule="exact"/>
        <w:rPr>
          <w:rFonts w:ascii="Arial" w:cs="Arial" w:eastAsia="Arial" w:hAnsi="Arial"/>
          <w:sz w:val="17"/>
          <w:szCs w:val="17"/>
          <w:color w:val="auto"/>
        </w:rPr>
      </w:pPr>
    </w:p>
    <w:p>
      <w:pPr>
        <w:ind w:left="1300" w:right="800" w:hanging="44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of any debt securities in any material respect;</w:t>
      </w:r>
    </w:p>
    <w:p>
      <w:pPr>
        <w:spacing w:after="0" w:line="117" w:lineRule="exact"/>
        <w:rPr>
          <w:rFonts w:ascii="Arial" w:cs="Arial" w:eastAsia="Arial" w:hAnsi="Arial"/>
          <w:sz w:val="18"/>
          <w:szCs w:val="18"/>
          <w:color w:val="auto"/>
        </w:rPr>
      </w:pPr>
    </w:p>
    <w:p>
      <w:pPr>
        <w:ind w:left="1300" w:right="180" w:hanging="442"/>
        <w:spacing w:after="0" w:line="263"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the issuance of and establish the form and terms and conditions of the debt securities of any series as provided in the indenture, to establish the form of any certifications required to be furnished pursuant to the terms of the indenture or any series of debt securities, or to add to the rights of the holders of any series of debt securities;</w:t>
      </w:r>
    </w:p>
    <w:p>
      <w:pPr>
        <w:spacing w:after="0" w:line="75"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indenture by a successor trustee; and</w:t>
      </w:r>
    </w:p>
    <w:p>
      <w:pPr>
        <w:spacing w:after="0" w:line="117" w:lineRule="exact"/>
        <w:rPr>
          <w:rFonts w:ascii="Arial" w:cs="Arial" w:eastAsia="Arial" w:hAnsi="Arial"/>
          <w:sz w:val="18"/>
          <w:szCs w:val="18"/>
          <w:color w:val="auto"/>
        </w:rPr>
      </w:pPr>
    </w:p>
    <w:p>
      <w:pPr>
        <w:ind w:left="1300" w:right="100" w:hanging="44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any requirements of the SEC in connection with the qualification of the indenture under the Trust Indenture Act of 1939, as amended (the “Trust Indenture Act”).</w:t>
      </w:r>
    </w:p>
    <w:p>
      <w:pPr>
        <w:spacing w:after="0" w:line="62"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Any provision of the indenture shall automatically be deemed to have been modified, eliminated or added to the extent required to be made as a result of an amendment to the Trust Indenture Act.</w:t>
      </w:r>
    </w:p>
    <w:p>
      <w:pPr>
        <w:spacing w:after="0" w:line="197"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26" w:lineRule="exact"/>
        <w:rPr>
          <w:sz w:val="20"/>
          <w:szCs w:val="20"/>
          <w:color w:val="auto"/>
        </w:rPr>
      </w:pPr>
    </w:p>
    <w:p>
      <w:pPr>
        <w:ind w:left="1300" w:hanging="442"/>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extend the fixed maturity of any debt security;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left="1300" w:hanging="442"/>
        <w:spacing w:after="0"/>
        <w:tabs>
          <w:tab w:leader="none" w:pos="13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reduce the principal amount of any debt security;</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reduce the rate or extend the time of payment of interest on any debt security;</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reduce any premium payable upon redemption of any debt security; or</w:t>
      </w:r>
    </w:p>
    <w:p>
      <w:pPr>
        <w:spacing w:after="0" w:line="120" w:lineRule="exact"/>
        <w:rPr>
          <w:rFonts w:ascii="Arial" w:cs="Arial" w:eastAsia="Arial" w:hAnsi="Arial"/>
          <w:sz w:val="22"/>
          <w:szCs w:val="22"/>
          <w:color w:val="auto"/>
        </w:rPr>
      </w:pPr>
    </w:p>
    <w:p>
      <w:pPr>
        <w:ind w:left="1300" w:right="300" w:hanging="442"/>
        <w:spacing w:after="0" w:line="232" w:lineRule="auto"/>
        <w:tabs>
          <w:tab w:leader="none" w:pos="13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95"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The indenture provides that the holders of not less than a majority in aggregate principal amount of the then outstanding debt securities of any series, by notice to the trustee, may on behalf of the holders of the debt securities of that series waive any default and its consequences under the indenture except:</w:t>
      </w:r>
    </w:p>
    <w:p>
      <w:pPr>
        <w:ind w:left="1400" w:hanging="434"/>
        <w:spacing w:after="0" w:line="233" w:lineRule="auto"/>
        <w:tabs>
          <w:tab w:leader="none" w:pos="140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default in the payment of the principal of or premium or interest on any such debt security; or</w:t>
      </w:r>
    </w:p>
    <w:p>
      <w:pPr>
        <w:spacing w:after="0" w:line="121" w:lineRule="exact"/>
        <w:rPr>
          <w:rFonts w:ascii="Arial" w:cs="Arial" w:eastAsia="Arial" w:hAnsi="Arial"/>
          <w:sz w:val="22"/>
          <w:szCs w:val="22"/>
          <w:color w:val="auto"/>
        </w:rPr>
      </w:pPr>
    </w:p>
    <w:p>
      <w:pPr>
        <w:ind w:left="1400" w:right="80" w:hanging="434"/>
        <w:spacing w:after="0" w:line="232" w:lineRule="auto"/>
        <w:tabs>
          <w:tab w:leader="none" w:pos="140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56" w:lineRule="exact"/>
        <w:rPr>
          <w:sz w:val="20"/>
          <w:szCs w:val="20"/>
          <w:color w:val="auto"/>
        </w:rPr>
      </w:pPr>
    </w:p>
    <w:p>
      <w:pPr>
        <w:ind w:right="180" w:firstLine="864"/>
        <w:spacing w:after="0" w:line="259"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or nominee for a depositary identified in the applicable prospectus supplement. Global debt securities may be issued in either registered or bearer form and in either temporary or permanent form. Unless and until it is exchanged in whole or in part for individual certificates evidencing debt securities, a global debt security may not be transferred except as a whole:</w:t>
      </w:r>
    </w:p>
    <w:p>
      <w:pPr>
        <w:spacing w:after="0" w:line="79" w:lineRule="exact"/>
        <w:rPr>
          <w:sz w:val="20"/>
          <w:szCs w:val="20"/>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the depository to a nominee of such depository;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 nominee of such depository to such depository or another nominee of such depository;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such depository, or any such nominee to a successor of such depository, or a nominee of such successor.</w:t>
      </w:r>
    </w:p>
    <w:p>
      <w:pPr>
        <w:spacing w:after="0" w:line="117" w:lineRule="exact"/>
        <w:rPr>
          <w:sz w:val="20"/>
          <w:szCs w:val="20"/>
          <w:color w:val="auto"/>
        </w:rPr>
      </w:pPr>
    </w:p>
    <w:p>
      <w:pPr>
        <w:ind w:right="560" w:firstLine="864"/>
        <w:spacing w:after="0" w:line="277" w:lineRule="auto"/>
        <w:rPr>
          <w:sz w:val="20"/>
          <w:szCs w:val="20"/>
          <w:color w:val="auto"/>
        </w:rPr>
      </w:pPr>
      <w:r>
        <w:rPr>
          <w:rFonts w:ascii="Arial" w:cs="Arial" w:eastAsia="Arial" w:hAnsi="Arial"/>
          <w:sz w:val="18"/>
          <w:szCs w:val="18"/>
          <w:color w:val="auto"/>
        </w:rPr>
        <w:t>The specific terms of the depository arrangement with respect to a series of global debt securities and certain limitations and restrictions relating to a series of global bearer securities will be described in the applicable prospectus supplement.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56" w:lineRule="exact"/>
        <w:rPr>
          <w:sz w:val="20"/>
          <w:szCs w:val="20"/>
          <w:color w:val="auto"/>
        </w:rPr>
      </w:pPr>
    </w:p>
    <w:p>
      <w:pPr>
        <w:ind w:right="120" w:firstLine="864"/>
        <w:spacing w:after="0" w:line="273" w:lineRule="auto"/>
        <w:rPr>
          <w:sz w:val="20"/>
          <w:szCs w:val="20"/>
          <w:color w:val="auto"/>
        </w:rPr>
      </w:pPr>
      <w:r>
        <w:rPr>
          <w:rFonts w:ascii="Arial" w:cs="Arial" w:eastAsia="Arial" w:hAnsi="Arial"/>
          <w:sz w:val="17"/>
          <w:szCs w:val="17"/>
          <w:color w:val="auto"/>
        </w:rPr>
        <w:t>The indenture provides that in the event that the trustee resigns or is removed with respect to less than all series of debt securities outstanding under the indenture, there may be more than one trustee under the indenture. If there are different trustees for different series of debt securities under the indenture, each such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w:t>
      </w:r>
    </w:p>
    <w:p>
      <w:pPr>
        <w:spacing w:after="0" w:line="205" w:lineRule="exact"/>
        <w:rPr>
          <w:sz w:val="20"/>
          <w:szCs w:val="20"/>
          <w:color w:val="auto"/>
        </w:rPr>
      </w:pPr>
    </w:p>
    <w:p>
      <w:pPr>
        <w:ind w:firstLine="864"/>
        <w:spacing w:after="0" w:line="311"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76" w:lineRule="exact"/>
        <w:rPr>
          <w:sz w:val="20"/>
          <w:szCs w:val="20"/>
          <w:color w:val="auto"/>
        </w:rPr>
      </w:pPr>
    </w:p>
    <w:p>
      <w:pPr>
        <w:ind w:right="200" w:firstLine="864"/>
        <w:spacing w:after="0" w:line="277" w:lineRule="auto"/>
        <w:rPr>
          <w:sz w:val="20"/>
          <w:szCs w:val="20"/>
          <w:color w:val="auto"/>
        </w:rPr>
      </w:pPr>
      <w:r>
        <w:rPr>
          <w:rFonts w:ascii="Arial" w:cs="Arial" w:eastAsia="Arial" w:hAnsi="Arial"/>
          <w:sz w:val="18"/>
          <w:szCs w:val="18"/>
          <w:color w:val="auto"/>
        </w:rPr>
        <w:t>The trustee may engage in other transactions with us. If the trustee acquires any conflicting interest relating to any duties concerning the debt securities, however, the trustee must eliminate the conflict or resign as trustee.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5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indenture is, and any debt securities will be, governed by, and construed in accordance with, the laws of the State of New York.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We may issue purchase contracts, including contracts obligating holders to purchase from us, and for us to sell to holders, a specific or varying number of shares of common stock or preferred stock, depositary shares, warrants, or any combination of the above, at a future date or dates. Alternatively, the purchase contracts may obligate us to purchase from holders, and obligate holders to sell to us, a specific or varying number of shares of common stock or preferred stock, depositary shares, warrants, or any combination of the above. The price of the securities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the other securities described in this prospectus or securities of third parties, including U.S. Treasury securities, securing the holder’s obligations under the purchase contract. If we issue a purchase contract as part of a unit, the applicable prospectus supplement will state whether the purchase contract will be separable from the other securities in the unit before the purchase contract settlement date.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 and in certain circumstances, we may deliver newly issued prepaid purchase contracts, often known as prepaid securities, upon release to a holder of any collateral securing such holder’s obligations under the original purchase contract.</w:t>
      </w:r>
    </w:p>
    <w:p>
      <w:pPr>
        <w:spacing w:after="0" w:line="168"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62" w:lineRule="exact"/>
        <w:rPr>
          <w:sz w:val="20"/>
          <w:szCs w:val="20"/>
          <w:color w:val="auto"/>
        </w:rPr>
      </w:pPr>
    </w:p>
    <w:p>
      <w:pPr>
        <w:ind w:left="1300" w:right="200" w:hanging="442"/>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5" w:lineRule="exact"/>
        <w:rPr>
          <w:rFonts w:ascii="Arial" w:cs="Arial" w:eastAsia="Arial" w:hAnsi="Arial"/>
          <w:sz w:val="16"/>
          <w:szCs w:val="16"/>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will be issued as part of a unit and, if so, the other securities comprising the unit;</w:t>
      </w:r>
    </w:p>
    <w:p>
      <w:pPr>
        <w:spacing w:after="0" w:line="117"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Material U.S. federal income tax consideration applicable to the purchase contracts will also be discussed in the applicable prospectus supplement.</w:t>
      </w:r>
    </w:p>
    <w:p>
      <w:pPr>
        <w:spacing w:after="0" w:line="1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right="40" w:firstLine="864"/>
        <w:spacing w:after="0" w:line="279" w:lineRule="auto"/>
        <w:rPr>
          <w:sz w:val="20"/>
          <w:szCs w:val="20"/>
          <w:color w:val="auto"/>
        </w:rPr>
      </w:pPr>
      <w:r>
        <w:rPr>
          <w:rFonts w:ascii="Arial" w:cs="Arial" w:eastAsia="Arial" w:hAnsi="Arial"/>
          <w:sz w:val="17"/>
          <w:szCs w:val="17"/>
          <w:color w:val="auto"/>
        </w:rPr>
        <w:t>We may issue rights to purchase common stock, preferred stock, depositary shares, debt securities or warrants that we may offer to our security 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1" w:name="page22"/>
    <w:bookmarkEnd w:id="21"/>
    <w:p>
      <w:pPr>
        <w:jc w:val="both"/>
        <w:ind w:right="160"/>
        <w:spacing w:after="0" w:line="263" w:lineRule="auto"/>
        <w:rPr>
          <w:sz w:val="20"/>
          <w:szCs w:val="20"/>
          <w:color w:val="auto"/>
        </w:rPr>
      </w:pPr>
      <w:r>
        <w:rPr>
          <w:rFonts w:ascii="Arial" w:cs="Arial" w:eastAsia="Arial" w:hAnsi="Arial"/>
          <w:sz w:val="18"/>
          <w:szCs w:val="18"/>
          <w:color w:val="auto"/>
        </w:rPr>
        <w:t>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prospectus supplement relating to any rights that we offer will include specific terms relating to the offering, including, among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103" w:lineRule="exact"/>
        <w:rPr>
          <w:sz w:val="20"/>
          <w:szCs w:val="20"/>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117" w:lineRule="exact"/>
        <w:rPr>
          <w:rFonts w:ascii="Arial" w:cs="Arial" w:eastAsia="Arial" w:hAnsi="Arial"/>
          <w:sz w:val="18"/>
          <w:szCs w:val="18"/>
          <w:color w:val="auto"/>
        </w:rPr>
      </w:pPr>
    </w:p>
    <w:p>
      <w:pPr>
        <w:ind w:left="1300" w:right="440" w:hanging="44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rights issued and the aggregate number of shares of common stock, preferred stock, depositary shares, debt securities or warrants purchasable upon exercise of the rights;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federal income tax considerations.</w:t>
      </w:r>
    </w:p>
    <w:p>
      <w:pPr>
        <w:spacing w:after="0" w:line="117"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Each right would entitle the holder of the rights to purchase for cash the amount of shares of common stock, preferred stock, depositary shares or warrants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87" w:lineRule="exact"/>
        <w:rPr>
          <w:sz w:val="20"/>
          <w:szCs w:val="20"/>
          <w:color w:val="auto"/>
        </w:rPr>
      </w:pPr>
    </w:p>
    <w:p>
      <w:pPr>
        <w:jc w:val="both"/>
        <w:ind w:right="140" w:firstLine="864"/>
        <w:spacing w:after="0" w:line="263"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300" w:firstLine="864"/>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depositary shares, debt securities, purchase contracts, and/or warrants offered by any prospectus supplement, and may be attached to or separate from those securities.</w:t>
      </w:r>
    </w:p>
    <w:p>
      <w:pPr>
        <w:spacing w:after="0" w:line="187" w:lineRule="exact"/>
        <w:rPr>
          <w:sz w:val="20"/>
          <w:szCs w:val="20"/>
          <w:color w:val="auto"/>
        </w:rPr>
      </w:pPr>
    </w:p>
    <w:p>
      <w:pPr>
        <w:jc w:val="both"/>
        <w:ind w:right="120" w:firstLine="864"/>
        <w:spacing w:after="0" w:line="263" w:lineRule="auto"/>
        <w:rPr>
          <w:sz w:val="20"/>
          <w:szCs w:val="20"/>
          <w:color w:val="auto"/>
        </w:rPr>
      </w:pPr>
      <w:r>
        <w:rPr>
          <w:rFonts w:ascii="Arial" w:cs="Arial" w:eastAsia="Arial" w:hAnsi="Arial"/>
          <w:sz w:val="18"/>
          <w:szCs w:val="18"/>
          <w:color w:val="auto"/>
        </w:rPr>
        <w:t>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4" w:lineRule="exact"/>
        <w:rPr>
          <w:sz w:val="20"/>
          <w:szCs w:val="20"/>
          <w:color w:val="auto"/>
        </w:rPr>
      </w:pPr>
    </w:p>
    <w:p>
      <w:pPr>
        <w:ind w:right="100" w:firstLine="864"/>
        <w:spacing w:after="0" w:line="275" w:lineRule="auto"/>
        <w:rPr>
          <w:sz w:val="20"/>
          <w:szCs w:val="20"/>
          <w:color w:val="auto"/>
        </w:rPr>
      </w:pPr>
      <w:r>
        <w:rPr>
          <w:rFonts w:ascii="Arial" w:cs="Arial" w:eastAsia="Arial" w:hAnsi="Arial"/>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864"/>
        <w:spacing w:after="0" w:line="263" w:lineRule="auto"/>
        <w:rPr>
          <w:sz w:val="20"/>
          <w:szCs w:val="20"/>
          <w:color w:val="auto"/>
        </w:rPr>
      </w:pPr>
      <w:r>
        <w:rPr>
          <w:rFonts w:ascii="Arial" w:cs="Arial" w:eastAsia="Arial" w:hAnsi="Arial"/>
          <w:sz w:val="18"/>
          <w:szCs w:val="18"/>
          <w:color w:val="auto"/>
        </w:rPr>
        <w:t>We may issue units consisting of common stock, preferred stock, depositary shares, debt securities, warrants, purchase contracts or any combination thereof. Each unit will be issued so that the holder of the unit is also the holder of each security included in the unit. Thus, the holder of a unit will have the rights and obligations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a holder of each included security. The unit agreement under which a unit is issued may provide that the securities included in the unit may not be held or transferred separately, at any time, or at any time before a specified date.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117" w:lineRule="exact"/>
        <w:rPr>
          <w:sz w:val="20"/>
          <w:szCs w:val="20"/>
          <w:color w:val="auto"/>
        </w:rPr>
      </w:pPr>
    </w:p>
    <w:p>
      <w:pPr>
        <w:ind w:left="1740" w:right="180" w:hanging="436"/>
        <w:spacing w:after="0" w:line="277" w:lineRule="auto"/>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62" w:lineRule="exact"/>
        <w:rPr>
          <w:rFonts w:ascii="Arial" w:cs="Arial" w:eastAsia="Arial" w:hAnsi="Arial"/>
          <w:sz w:val="18"/>
          <w:szCs w:val="18"/>
          <w:color w:val="auto"/>
        </w:rPr>
      </w:pPr>
    </w:p>
    <w:p>
      <w:pPr>
        <w:ind w:left="1740" w:hanging="436"/>
        <w:spacing w:after="0"/>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17" w:lineRule="exact"/>
        <w:rPr>
          <w:rFonts w:ascii="Arial" w:cs="Arial" w:eastAsia="Arial" w:hAnsi="Arial"/>
          <w:sz w:val="18"/>
          <w:szCs w:val="18"/>
          <w:color w:val="auto"/>
        </w:rPr>
      </w:pPr>
    </w:p>
    <w:p>
      <w:pPr>
        <w:ind w:left="1740" w:hanging="436"/>
        <w:spacing w:after="0"/>
        <w:tabs>
          <w:tab w:leader="none" w:pos="1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provisions for the issuance, payment, settlement, transfer, or exchange of the units or of the securities comprising the units.</w:t>
      </w:r>
    </w:p>
    <w:p>
      <w:pPr>
        <w:spacing w:after="0" w:line="140" w:lineRule="exact"/>
        <w:rPr>
          <w:sz w:val="20"/>
          <w:szCs w:val="20"/>
          <w:color w:val="auto"/>
        </w:rPr>
      </w:pPr>
    </w:p>
    <w:p>
      <w:pPr>
        <w:ind w:right="100" w:firstLine="864"/>
        <w:spacing w:after="0" w:line="311" w:lineRule="auto"/>
        <w:rPr>
          <w:sz w:val="20"/>
          <w:szCs w:val="20"/>
          <w:color w:val="auto"/>
        </w:rPr>
      </w:pPr>
      <w:r>
        <w:rPr>
          <w:rFonts w:ascii="Arial" w:cs="Arial" w:eastAsia="Arial" w:hAnsi="Arial"/>
          <w:sz w:val="16"/>
          <w:szCs w:val="16"/>
          <w:color w:val="auto"/>
        </w:rPr>
        <w:t>The provisions described in this section, as well as those described under “Description of Common Stock,” “Description of Preferred Stock,” “Description of Depositary Shares,” “Description of Debt Securities,” “Description of Warrants,” “Description of Purchase Contracts” and “Description of Units” will apply to each unit and to any common stock, preferred stock, depositary share or warrant included in each unit,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ind w:firstLine="864"/>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without the consent of the related unit agent or the holder of any other unit, may enforce by appropriate legal action its rights as holder under any security included in the unit.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29" w:lineRule="exact"/>
        <w:rPr>
          <w:sz w:val="20"/>
          <w:szCs w:val="20"/>
          <w:color w:val="auto"/>
        </w:rPr>
      </w:pPr>
    </w:p>
    <w:p>
      <w:pPr>
        <w:ind w:right="100" w:firstLine="864"/>
        <w:spacing w:after="0" w:line="342" w:lineRule="auto"/>
        <w:rPr>
          <w:sz w:val="20"/>
          <w:szCs w:val="20"/>
          <w:color w:val="auto"/>
        </w:rPr>
      </w:pPr>
      <w:r>
        <w:rPr>
          <w:rFonts w:ascii="Arial" w:cs="Arial" w:eastAsia="Arial" w:hAnsi="Arial"/>
          <w:sz w:val="16"/>
          <w:szCs w:val="16"/>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This prospectus also relates to the possible resale by certain of our stockholders, who we refer to in this prospectus as the “selling stockholders,” of up to 7,500,000 shares of our common stock that were issued and outstanding prior to the original date of filing of the registration statement of which this prospectus forms a part. The selling stockholders originally acquired the shares of our common stock included in this prospectus in open market purchases or as compensatory stock awards or compensation for services.</w:t>
      </w:r>
    </w:p>
    <w:p>
      <w:pPr>
        <w:spacing w:after="0" w:line="79" w:lineRule="exact"/>
        <w:rPr>
          <w:sz w:val="20"/>
          <w:szCs w:val="20"/>
          <w:color w:val="auto"/>
        </w:rPr>
      </w:pPr>
    </w:p>
    <w:p>
      <w:pPr>
        <w:ind w:right="120" w:firstLine="864"/>
        <w:spacing w:after="0" w:line="255"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84"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auto"/>
        </w:rPr>
        <w:t>The selling stockholders will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shares of our common stock pursuant to any available exemption from the registration requirements of the Securities Act.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or the selling stockholders may sell the securities being offered hereby in one or more of the following ways from time to time:</w:t>
      </w:r>
    </w:p>
    <w:p>
      <w:pPr>
        <w:spacing w:after="0" w:line="117" w:lineRule="exact"/>
        <w:rPr>
          <w:sz w:val="20"/>
          <w:szCs w:val="20"/>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one or more underwriters or dealers for resale to the public or to investors;</w:t>
      </w:r>
    </w:p>
    <w:p>
      <w:pPr>
        <w:spacing w:after="0" w:line="117" w:lineRule="exact"/>
        <w:rPr>
          <w:rFonts w:ascii="Arial" w:cs="Arial" w:eastAsia="Arial" w:hAnsi="Arial"/>
          <w:sz w:val="18"/>
          <w:szCs w:val="18"/>
          <w:color w:val="auto"/>
        </w:rPr>
      </w:pPr>
    </w:p>
    <w:p>
      <w:pPr>
        <w:ind w:left="1300" w:right="400" w:hanging="44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to or through a market maker or into an existing trading market, or an exchange or otherwise;</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investors in privately negotiated transactions;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securities that we or the selling stockholders distribute by any of these methods may be sold, in one or more transactions, at:</w:t>
      </w:r>
    </w:p>
    <w:p>
      <w:pPr>
        <w:spacing w:after="0" w:line="117" w:lineRule="exact"/>
        <w:rPr>
          <w:sz w:val="20"/>
          <w:szCs w:val="20"/>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set forth in a prospectus supplement the terms of the offering of securities by us or the selling stockholders, including:</w:t>
      </w:r>
    </w:p>
    <w:p>
      <w:pPr>
        <w:spacing w:after="0" w:line="117" w:lineRule="exact"/>
        <w:rPr>
          <w:sz w:val="20"/>
          <w:szCs w:val="20"/>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proceeds we will receive from the sale of securities offered by us;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or the selling stockholders;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agency fees or underwriting discounts and commissions and other items constituting agents’ or underwriters’ compensation;</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securities exchanges on which such common stock may be listed.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Underwriters, dealers and agents that participate in the distribution of the securities may be underwriters as defined in the Securities Act and any discounts or commissions they receive from us or the selling stockholders and any profit on their resale of the securities may be treated as underwriting discounts and commissions under the Securities Act. We will identify in the applicable prospectus supplement any underwriters, dealers or agents and will describe their compensation. We or the selling stockholders may have agreements with the underwriters, dealers and agents to indemnify them against specified civil liabilities, including liabilities under the Securities Act. Underwriters, dealers and agents may engage in transactions with or perform services for us or our subsidiaries and/or the selling stockholders in the ordinary course of their businesses.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4" w:name="page25"/>
    <w:bookmarkEnd w:id="24"/>
    <w:p>
      <w:pPr>
        <w:ind w:firstLine="864"/>
        <w:spacing w:after="0" w:line="272" w:lineRule="auto"/>
        <w:rPr>
          <w:sz w:val="20"/>
          <w:szCs w:val="20"/>
          <w:color w:val="auto"/>
        </w:rPr>
      </w:pPr>
      <w:r>
        <w:rPr>
          <w:rFonts w:ascii="Arial" w:cs="Arial" w:eastAsia="Arial" w:hAnsi="Arial"/>
          <w:sz w:val="17"/>
          <w:szCs w:val="17"/>
          <w:color w:val="auto"/>
        </w:rPr>
        <w:t>If we or the selling stockholders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offered if they purchase any of the securities offered. We or the selling stockholders may change from time to time any initial public offering price and any discounts or concessions the underwriters allow or reallow or pay to dealers. We or the selling stockholders may use underwriters with whom we and/or the selling stockholders have a material relationship. We will describe in the prospectus supplement naming the underwriters the nature of any such relationship.</w:t>
      </w:r>
    </w:p>
    <w:p>
      <w:pPr>
        <w:spacing w:after="0" w:line="177"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If indicated in the applicable prospectus supplement, we and/or the selling stockholders will authorize underwriters or other persons acting as our and/or the selling stockholders agents to solicit offers by particular institutions to purchase securities from us and/or the selling stockholders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and/or the selling stockholders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or the selling stockholders shall have sold to the underwriters the total principal amount of the securities less the principal amount thereof covered by the contracts. The underwriters and such other agents will not have any responsibility in respect of the validity or performance of such contracts.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w:t>
      </w:r>
    </w:p>
    <w:p>
      <w:pPr>
        <w:spacing w:after="0" w:line="229" w:lineRule="exact"/>
        <w:rPr>
          <w:sz w:val="20"/>
          <w:szCs w:val="20"/>
          <w:color w:val="auto"/>
        </w:rPr>
      </w:pPr>
    </w:p>
    <w:p>
      <w:pPr>
        <w:ind w:right="600" w:firstLine="864"/>
        <w:spacing w:after="0" w:line="277" w:lineRule="auto"/>
        <w:rPr>
          <w:sz w:val="20"/>
          <w:szCs w:val="20"/>
          <w:color w:val="auto"/>
        </w:rPr>
      </w:pPr>
      <w:r>
        <w:rPr>
          <w:rFonts w:ascii="Arial" w:cs="Arial" w:eastAsia="Arial" w:hAnsi="Arial"/>
          <w:sz w:val="18"/>
          <w:szCs w:val="18"/>
          <w:color w:val="auto"/>
        </w:rPr>
        <w:t>We or the selling stockholders may designate agents who agree to use their reasonable efforts to solicit purchases for the period of their appointment or to sell securities on a continuing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or the selling stockholders may also sell securities directly to one or more purchasers without using underwriters or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229" w:lineRule="exact"/>
        <w:rPr>
          <w:sz w:val="20"/>
          <w:szCs w:val="20"/>
          <w:color w:val="auto"/>
        </w:rPr>
      </w:pPr>
    </w:p>
    <w:p>
      <w:pPr>
        <w:ind w:right="100" w:firstLine="864"/>
        <w:spacing w:after="0" w:line="257"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offered by us will be a new issue with no established trading market, other than our common stock, which is traded on the OTCQX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Activities</w:t>
      </w:r>
    </w:p>
    <w:p>
      <w:pPr>
        <w:spacing w:after="0" w:line="229"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Shorts sales involve the sale by the underwriters of a greater number of securities than they are required to purchase in the offering. “Covered” short sales are sales made in an amount not greater than the underwriters’ option to purchase additional securities from us or the selling stockholders, if any, in the offering. If the underwriters have an over-allotment option to purchase additional securities from us or the selling stockholders,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5" w:name="page26"/>
    <w:bookmarkEnd w:id="25"/>
    <w:p>
      <w:pPr>
        <w:ind w:right="380"/>
        <w:spacing w:after="0" w:line="279" w:lineRule="auto"/>
        <w:rPr>
          <w:sz w:val="20"/>
          <w:szCs w:val="20"/>
          <w:color w:val="auto"/>
        </w:rPr>
      </w:pPr>
      <w:r>
        <w:rPr>
          <w:rFonts w:ascii="Arial" w:cs="Arial" w:eastAsia="Arial" w:hAnsi="Arial"/>
          <w:sz w:val="17"/>
          <w:szCs w:val="17"/>
          <w:color w:val="auto"/>
        </w:rPr>
        <w:t>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71"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effect the price of the securities to the extent that it discourages resale of the securities. The magnitude or effect of any stabilization or other transactions is uncertain. These transactions may be effected on the OTCQX Market or otherwise and, if commenced, may be discontinued at any time.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40" w:firstLine="864"/>
        <w:spacing w:after="0" w:line="259" w:lineRule="auto"/>
        <w:rPr>
          <w:sz w:val="20"/>
          <w:szCs w:val="20"/>
          <w:color w:val="auto"/>
        </w:rPr>
      </w:pPr>
      <w:r>
        <w:rPr>
          <w:rFonts w:ascii="Arial" w:cs="Arial" w:eastAsia="Arial" w:hAnsi="Arial"/>
          <w:sz w:val="18"/>
          <w:szCs w:val="18"/>
          <w:color w:val="auto"/>
        </w:rPr>
        <w:t>The consolidated financial statements of Destination XL Group, Inc. as of January 30, 2021 and February 1, 2020 and for each of the years in the three-year period ending January 30,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audit report refers to a change in the method of accounting for leases due to the adoption of a new standard as of February 3, 2019.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560" w:firstLine="864"/>
        <w:spacing w:after="0" w:line="263"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our counsel, Greenberg Traurig, LLP, Boston, Massachusetts. If the securities are distributed in an underwritten offering, certain legal matters will be passed upon for the underwriters by counsel identified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864"/>
        <w:spacing w:after="0" w:line="296"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6"/>
          <w:szCs w:val="16"/>
          <w:i w:val="1"/>
          <w:iCs w:val="1"/>
          <w:u w:val="single" w:color="auto"/>
          <w:color w:val="0000FF"/>
        </w:rPr>
        <w:t>https://investor.dxl.com/investor-relations</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61" w:lineRule="exact"/>
        <w:rPr>
          <w:sz w:val="20"/>
          <w:szCs w:val="20"/>
          <w:color w:val="auto"/>
        </w:rPr>
      </w:pPr>
    </w:p>
    <w:p>
      <w:pPr>
        <w:ind w:right="300" w:firstLine="864"/>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right="680"/>
        <w:spacing w:after="0" w:line="277" w:lineRule="auto"/>
        <w:rPr>
          <w:sz w:val="20"/>
          <w:szCs w:val="20"/>
          <w:color w:val="auto"/>
        </w:rPr>
      </w:pPr>
      <w:r>
        <w:rPr>
          <w:rFonts w:ascii="Arial" w:cs="Arial" w:eastAsia="Arial" w:hAnsi="Arial"/>
          <w:sz w:val="18"/>
          <w:szCs w:val="18"/>
          <w:color w:val="auto"/>
        </w:rPr>
        <w:t>or reports that have been incorporated by reference in this prospectus, to the extent the new information differs from or is inconsistent with the old information.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filing:</w:t>
      </w:r>
    </w:p>
    <w:p>
      <w:pPr>
        <w:spacing w:after="0" w:line="103" w:lineRule="exact"/>
        <w:rPr>
          <w:sz w:val="20"/>
          <w:szCs w:val="20"/>
          <w:color w:val="auto"/>
        </w:rPr>
      </w:pPr>
    </w:p>
    <w:p>
      <w:pPr>
        <w:ind w:left="1700" w:right="380" w:hanging="842"/>
        <w:spacing w:after="0" w:line="277" w:lineRule="auto"/>
        <w:tabs>
          <w:tab w:leader="none" w:pos="1700" w:val="left"/>
        </w:tabs>
        <w:numPr>
          <w:ilvl w:val="0"/>
          <w:numId w:val="26"/>
        </w:numPr>
        <w:rPr>
          <w:rFonts w:ascii="Arial" w:cs="Arial" w:eastAsia="Arial" w:hAnsi="Arial"/>
          <w:sz w:val="18"/>
          <w:szCs w:val="18"/>
          <w:color w:val="0000EE"/>
        </w:rPr>
      </w:pPr>
      <w:hyperlink r:id="rId36">
        <w:r>
          <w:rPr>
            <w:rFonts w:ascii="Arial" w:cs="Arial" w:eastAsia="Arial" w:hAnsi="Arial"/>
            <w:sz w:val="18"/>
            <w:szCs w:val="18"/>
            <w:u w:val="single" w:color="auto"/>
            <w:color w:val="0000EE"/>
          </w:rPr>
          <w:t>Our Annual Report on Form 10-K for the fiscal year ended January 30, 2021</w:t>
        </w:r>
        <w:r>
          <w:rPr>
            <w:rFonts w:ascii="Arial" w:cs="Arial" w:eastAsia="Arial" w:hAnsi="Arial"/>
            <w:sz w:val="18"/>
            <w:szCs w:val="18"/>
            <w:color w:val="000000"/>
          </w:rPr>
          <w:t>, as amended by the</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Form 10-K/A filed on June 1,</w:t>
        </w:r>
      </w:hyperlink>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2021</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700" w:hanging="842"/>
        <w:spacing w:after="0"/>
        <w:tabs>
          <w:tab w:leader="none" w:pos="1700" w:val="left"/>
        </w:tabs>
        <w:numPr>
          <w:ilvl w:val="0"/>
          <w:numId w:val="26"/>
        </w:numPr>
        <w:rPr>
          <w:rFonts w:ascii="Arial" w:cs="Arial" w:eastAsia="Arial" w:hAnsi="Arial"/>
          <w:sz w:val="18"/>
          <w:szCs w:val="18"/>
          <w:color w:val="0000EE"/>
        </w:rPr>
      </w:pPr>
      <w:hyperlink r:id="rId37">
        <w:r>
          <w:rPr>
            <w:rFonts w:ascii="Arial" w:cs="Arial" w:eastAsia="Arial" w:hAnsi="Arial"/>
            <w:sz w:val="18"/>
            <w:szCs w:val="18"/>
            <w:u w:val="single" w:color="auto"/>
            <w:color w:val="0000EE"/>
          </w:rPr>
          <w:t>Our Quarterly Report on Form 10-Q for the quarter ended May 1, 2021</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700" w:right="200" w:hanging="842"/>
        <w:spacing w:after="0" w:line="277"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8">
        <w:r>
          <w:rPr>
            <w:rFonts w:ascii="Arial" w:cs="Arial" w:eastAsia="Arial" w:hAnsi="Arial"/>
            <w:sz w:val="18"/>
            <w:szCs w:val="18"/>
            <w:u w:val="single" w:color="auto"/>
            <w:color w:val="0000EE"/>
          </w:rPr>
          <w:t>February 5, 2021</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10, 2021</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March 18, 2021</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April 15, 2021</w:t>
        </w:r>
      </w:hyperlink>
      <w:r>
        <w:rPr>
          <w:rFonts w:ascii="Arial" w:cs="Arial" w:eastAsia="Arial" w:hAnsi="Arial"/>
          <w:sz w:val="18"/>
          <w:szCs w:val="18"/>
          <w:color w:val="auto"/>
        </w:rPr>
        <w:t xml:space="preserve">, and two Form 8-K/As filed with the SEC on </w:t>
      </w:r>
      <w:hyperlink r:id="rId42">
        <w:r>
          <w:rPr>
            <w:rFonts w:ascii="Arial" w:cs="Arial" w:eastAsia="Arial" w:hAnsi="Arial"/>
            <w:sz w:val="18"/>
            <w:szCs w:val="18"/>
            <w:u w:val="single" w:color="auto"/>
            <w:color w:val="0000EE"/>
          </w:rPr>
          <w:t>February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3">
        <w:r>
          <w:rPr>
            <w:rFonts w:ascii="Arial" w:cs="Arial" w:eastAsia="Arial" w:hAnsi="Arial"/>
            <w:sz w:val="18"/>
            <w:szCs w:val="18"/>
            <w:u w:val="single" w:color="auto"/>
            <w:color w:val="0000EE"/>
          </w:rPr>
          <w:t>February 5, 2021</w:t>
        </w:r>
      </w:hyperlink>
      <w:r>
        <w:rPr>
          <w:rFonts w:ascii="Arial" w:cs="Arial" w:eastAsia="Arial" w:hAnsi="Arial"/>
          <w:sz w:val="18"/>
          <w:szCs w:val="18"/>
          <w:color w:val="auto"/>
        </w:rPr>
        <w:t>, respectively; and</w:t>
      </w:r>
    </w:p>
    <w:p>
      <w:pPr>
        <w:spacing w:after="0" w:line="62" w:lineRule="exact"/>
        <w:rPr>
          <w:rFonts w:ascii="Arial" w:cs="Arial" w:eastAsia="Arial" w:hAnsi="Arial"/>
          <w:sz w:val="18"/>
          <w:szCs w:val="18"/>
          <w:color w:val="auto"/>
        </w:rPr>
      </w:pPr>
    </w:p>
    <w:p>
      <w:pPr>
        <w:ind w:left="1700" w:right="2800" w:hanging="842"/>
        <w:spacing w:after="0" w:line="342" w:lineRule="auto"/>
        <w:tabs>
          <w:tab w:leader="none" w:pos="1700" w:val="left"/>
        </w:tabs>
        <w:numPr>
          <w:ilvl w:val="0"/>
          <w:numId w:val="26"/>
        </w:numPr>
        <w:rPr>
          <w:rFonts w:ascii="Arial" w:cs="Arial" w:eastAsia="Arial" w:hAnsi="Arial"/>
          <w:sz w:val="16"/>
          <w:szCs w:val="16"/>
          <w:color w:val="0000EE"/>
        </w:rPr>
      </w:pPr>
      <w:hyperlink r:id="rId44">
        <w:r>
          <w:rPr>
            <w:rFonts w:ascii="Arial" w:cs="Arial" w:eastAsia="Arial" w:hAnsi="Arial"/>
            <w:sz w:val="16"/>
            <w:szCs w:val="16"/>
            <w:color w:val="auto"/>
          </w:rPr>
          <w:t xml:space="preserve">The description of our common stock contained in </w:t>
        </w:r>
        <w:r>
          <w:rPr>
            <w:rFonts w:ascii="Arial" w:cs="Arial" w:eastAsia="Arial" w:hAnsi="Arial"/>
            <w:sz w:val="16"/>
            <w:szCs w:val="16"/>
            <w:u w:val="single" w:color="auto"/>
            <w:color w:val="0000EE"/>
          </w:rPr>
          <w:t>Exhibit 4.1 to our Annual Report on Form</w:t>
        </w:r>
      </w:hyperlink>
      <w:r>
        <w:rPr>
          <w:rFonts w:ascii="Arial" w:cs="Arial" w:eastAsia="Arial" w:hAnsi="Arial"/>
          <w:sz w:val="16"/>
          <w:szCs w:val="16"/>
          <w:color w:val="auto"/>
        </w:rPr>
        <w:t xml:space="preserve"> </w:t>
      </w:r>
      <w:hyperlink r:id="rId44">
        <w:r>
          <w:rPr>
            <w:rFonts w:ascii="Arial" w:cs="Arial" w:eastAsia="Arial" w:hAnsi="Arial"/>
            <w:sz w:val="16"/>
            <w:szCs w:val="16"/>
            <w:u w:val="single" w:color="auto"/>
            <w:color w:val="0000EE"/>
          </w:rPr>
          <w:t>10-K for the fiscal year ended February 1, 2020</w:t>
        </w:r>
        <w:r>
          <w:rPr>
            <w:rFonts w:ascii="Arial" w:cs="Arial" w:eastAsia="Arial" w:hAnsi="Arial"/>
            <w:sz w:val="16"/>
            <w:szCs w:val="16"/>
            <w:color w:val="0000EE"/>
          </w:rPr>
          <w:t xml:space="preserve"> </w:t>
        </w:r>
        <w:r>
          <w:rPr>
            <w:rFonts w:ascii="Arial" w:cs="Arial" w:eastAsia="Arial" w:hAnsi="Arial"/>
            <w:sz w:val="16"/>
            <w:szCs w:val="16"/>
            <w:color w:val="000000"/>
          </w:rPr>
          <w:t>filed with the SEC on March 19, 2020.</w:t>
        </w:r>
      </w:hyperlink>
    </w:p>
    <w:p>
      <w:pPr>
        <w:spacing w:after="0" w:line="16" w:lineRule="exact"/>
        <w:rPr>
          <w:rFonts w:ascii="Arial" w:cs="Arial" w:eastAsia="Arial" w:hAnsi="Arial"/>
          <w:sz w:val="16"/>
          <w:szCs w:val="16"/>
          <w:color w:val="auto"/>
        </w:rPr>
      </w:pPr>
    </w:p>
    <w:p>
      <w:pPr>
        <w:ind w:right="60" w:firstLine="864"/>
        <w:spacing w:after="0" w:line="259" w:lineRule="auto"/>
        <w:rPr>
          <w:sz w:val="20"/>
          <w:szCs w:val="20"/>
          <w:color w:val="auto"/>
        </w:rPr>
      </w:pPr>
      <w:r>
        <w:rPr>
          <w:rFonts w:ascii="Arial" w:cs="Arial" w:eastAsia="Arial" w:hAnsi="Arial"/>
          <w:sz w:val="18"/>
          <w:szCs w:val="18"/>
          <w:color w:val="auto"/>
        </w:rPr>
        <w:t>In addition, we also incorporate by reference all documents and reports which we file pursuant to Section 13(a), 13(c), 14 or 15(d) of the Exchange Act (i) after the date of the initial registration statement and prior to the effectiveness of the registration statement and (ii) after the date of this prospectus and prior to the termination of the offering of the securities under this Registration Statement (except in each case for the information contained in such documents that is deemed to be “furnished” and not “filed”).</w:t>
      </w:r>
    </w:p>
    <w:p>
      <w:pPr>
        <w:spacing w:after="0" w:line="187"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You may request, orally or upon written request, a copy of these documents, which will be provided to you at no cost, by contacting:</w:t>
      </w:r>
    </w:p>
    <w:p>
      <w:pPr>
        <w:spacing w:after="0" w:line="225"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Destination XL Group, Inc.</w:t>
      </w:r>
    </w:p>
    <w:p>
      <w:pPr>
        <w:spacing w:after="0" w:line="23"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555 Turnpike Street</w:t>
      </w:r>
    </w:p>
    <w:p>
      <w:pPr>
        <w:spacing w:after="0" w:line="9"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Canton, MA 02021</w:t>
      </w:r>
    </w:p>
    <w:p>
      <w:pPr>
        <w:spacing w:after="0" w:line="9"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(781) 828-9300</w:t>
      </w:r>
    </w:p>
    <w:p>
      <w:pPr>
        <w:spacing w:after="0" w:line="211" w:lineRule="exact"/>
        <w:rPr>
          <w:rFonts w:ascii="Arial" w:cs="Arial" w:eastAsia="Arial" w:hAnsi="Arial"/>
          <w:sz w:val="16"/>
          <w:szCs w:val="16"/>
          <w:color w:val="auto"/>
        </w:rPr>
      </w:pPr>
    </w:p>
    <w:p>
      <w:pPr>
        <w:ind w:firstLine="864"/>
        <w:spacing w:after="0" w:line="272" w:lineRule="auto"/>
        <w:rPr>
          <w:sz w:val="20"/>
          <w:szCs w:val="20"/>
          <w:color w:val="auto"/>
        </w:rPr>
      </w:pPr>
      <w:r>
        <w:rPr>
          <w:rFonts w:ascii="Arial" w:cs="Arial" w:eastAsia="Arial" w:hAnsi="Arial"/>
          <w:sz w:val="17"/>
          <w:szCs w:val="17"/>
          <w:color w:val="auto"/>
        </w:rPr>
        <w:t>You should rely only on the information contained in this prospectus, including information incorporated by reference as described above, or any prospectus supplement that we have specifically referred you to. We have not authorized anyone else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auto"/>
        </w:rPr>
        <w:t>The expenses in connection with the issuance and distribution of the securities being registered are set forth in the following table (all amounts except the registration fee are estimated):</w:t>
      </w:r>
    </w:p>
    <w:p>
      <w:pPr>
        <w:spacing w:after="0" w:line="386"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 registration fee</w:t>
            </w:r>
          </w:p>
        </w:tc>
        <w:tc>
          <w:tcPr>
            <w:tcW w:w="3220" w:type="dxa"/>
            <w:vAlign w:val="bottom"/>
          </w:tcPr>
          <w:p>
            <w:pPr>
              <w:jc w:val="right"/>
              <w:spacing w:after="0"/>
              <w:rPr>
                <w:sz w:val="20"/>
                <w:szCs w:val="20"/>
                <w:color w:val="auto"/>
              </w:rPr>
            </w:pPr>
            <w:r>
              <w:rPr>
                <w:rFonts w:ascii="Arial" w:cs="Arial" w:eastAsia="Arial" w:hAnsi="Arial"/>
                <w:sz w:val="18"/>
                <w:szCs w:val="18"/>
                <w:color w:val="auto"/>
              </w:rPr>
              <w:t>$10,899.09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Total Expenses</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1500" w:right="160" w:hanging="304"/>
        <w:spacing w:after="0" w:line="259" w:lineRule="auto"/>
        <w:tabs>
          <w:tab w:leader="none" w:pos="1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83"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40" w:firstLine="864"/>
        <w:spacing w:after="0" w:line="269" w:lineRule="auto"/>
        <w:rPr>
          <w:sz w:val="20"/>
          <w:szCs w:val="20"/>
          <w:color w:val="auto"/>
        </w:rPr>
      </w:pPr>
      <w:r>
        <w:rPr>
          <w:rFonts w:ascii="Arial" w:cs="Arial" w:eastAsia="Arial" w:hAnsi="Arial"/>
          <w:sz w:val="17"/>
          <w:szCs w:val="17"/>
          <w:color w:val="auto"/>
        </w:rPr>
        <w:t>Section 145 of the Delaware General Corporation Law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or she reasonably believed to be in or not opposed to the corporation’s best interests, and, for criminal proceedings, had no reasonable cause to believe his or her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or her duty. Where an officer or director is successful on the merits or otherwise in the defense of any action referred to above, the corporation must indemnify him against the expenses which such officer or director actually and reasonably incurred.</w:t>
      </w:r>
    </w:p>
    <w:p>
      <w:pPr>
        <w:spacing w:after="0" w:line="182"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Our certificate of incorporation and bylaws provide that we will indemnify, to the fullest extent permitted by the DGCL, each director or officer of our company, whom we refer to as an “Indemnitee.” Such indemnification includes payment by us, in advance of the final disposition of a civil or criminal action, suit, or proceeding, of expenses incurred by a director or officer in defending such action, suit, or proceeding upon receipt of any undertaking by or on behalf of such director or officer to repay such payment if it is ultimately determined that he or she is not entitled to be indemnified by us.</w:t>
      </w:r>
    </w:p>
    <w:p>
      <w:pPr>
        <w:spacing w:after="0" w:line="188" w:lineRule="exact"/>
        <w:rPr>
          <w:sz w:val="20"/>
          <w:szCs w:val="20"/>
          <w:color w:val="auto"/>
        </w:rPr>
      </w:pPr>
    </w:p>
    <w:p>
      <w:pPr>
        <w:ind w:right="200" w:firstLine="864"/>
        <w:spacing w:after="0" w:line="259" w:lineRule="auto"/>
        <w:rPr>
          <w:sz w:val="20"/>
          <w:szCs w:val="20"/>
          <w:color w:val="auto"/>
        </w:rPr>
      </w:pPr>
      <w:r>
        <w:rPr>
          <w:rFonts w:ascii="Arial" w:cs="Arial" w:eastAsia="Arial" w:hAnsi="Arial"/>
          <w:sz w:val="18"/>
          <w:szCs w:val="18"/>
          <w:color w:val="auto"/>
        </w:rPr>
        <w:t>Under Delaware law, to the extent that an Indemnitee is successful on the merits in defense of a suit or proceeding brought against him or her by reason of the fact that he or she is or was a director, officer, or agent of our company, or serves or served any other enterprise or organization at the request of our company, we shall indemnify him or her against expenses (including attorneys’ fees) actually and reasonably incurred in connection with such action.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firstLine="864"/>
        <w:spacing w:after="0" w:line="259" w:lineRule="auto"/>
        <w:rPr>
          <w:sz w:val="20"/>
          <w:szCs w:val="20"/>
          <w:color w:val="auto"/>
        </w:rPr>
      </w:pPr>
      <w:r>
        <w:rPr>
          <w:rFonts w:ascii="Arial" w:cs="Arial" w:eastAsia="Arial" w:hAnsi="Arial"/>
          <w:sz w:val="18"/>
          <w:szCs w:val="18"/>
          <w:color w:val="auto"/>
        </w:rPr>
        <w:t>If unsuccessful in defense of a third-party civil suit or a criminal suit, or if such a suit is settled, an Indemnitee may be indemnified under Delaware law against both (i) expenses, including attorney’s fees, and (ii) judgments, fines, and amounts paid in settlement if he or she acted in good faith and in a manner he or she reasonably believed to be in, or not opposed to, the best interests of our company, and, with respect to any criminal action, had no reasonable cause to believe his or her conduct was unlawful.</w:t>
      </w:r>
    </w:p>
    <w:p>
      <w:pPr>
        <w:spacing w:after="0" w:line="187" w:lineRule="exact"/>
        <w:rPr>
          <w:sz w:val="20"/>
          <w:szCs w:val="20"/>
          <w:color w:val="auto"/>
        </w:rPr>
      </w:pPr>
    </w:p>
    <w:p>
      <w:pPr>
        <w:ind w:right="20" w:firstLine="864"/>
        <w:spacing w:after="0" w:line="275" w:lineRule="auto"/>
        <w:rPr>
          <w:sz w:val="20"/>
          <w:szCs w:val="20"/>
          <w:color w:val="auto"/>
        </w:rPr>
      </w:pPr>
      <w:r>
        <w:rPr>
          <w:rFonts w:ascii="Arial" w:cs="Arial" w:eastAsia="Arial" w:hAnsi="Arial"/>
          <w:sz w:val="17"/>
          <w:szCs w:val="17"/>
          <w:color w:val="auto"/>
        </w:rPr>
        <w:t>If unsuccessful in defense of a suit brought by or in the right of our company, where the suit is settled, an Indemnitee may be indemnified under Delaware law only against expenses (including attorneys’ fees) actually and reasonably incurred in the defense or settlement of the suit if he or she acted in good faith and in a manner he or she reasonably believed to be in, or not opposed to, the best interests of our company except that if the Indemnitee is adjudged to be liable for negligence or misconduct in the performance of his or her duty to our company, he or she cannot be made whole even for expenses unless a court determines that he or she is fully and reasonably entitled to indemnification for such expenses.</w:t>
      </w:r>
    </w:p>
    <w:p>
      <w:pPr>
        <w:spacing w:after="0" w:line="176" w:lineRule="exact"/>
        <w:rPr>
          <w:sz w:val="20"/>
          <w:szCs w:val="20"/>
          <w:color w:val="auto"/>
        </w:rPr>
      </w:pPr>
    </w:p>
    <w:p>
      <w:pPr>
        <w:ind w:right="60" w:firstLine="864"/>
        <w:spacing w:after="0" w:line="301" w:lineRule="auto"/>
        <w:rPr>
          <w:sz w:val="20"/>
          <w:szCs w:val="20"/>
          <w:color w:val="auto"/>
        </w:rPr>
      </w:pPr>
      <w:r>
        <w:rPr>
          <w:rFonts w:ascii="Arial" w:cs="Arial" w:eastAsia="Arial" w:hAnsi="Arial"/>
          <w:sz w:val="16"/>
          <w:szCs w:val="16"/>
          <w:color w:val="auto"/>
        </w:rPr>
        <w:t>Also under Delaware law, expenses incurred by an officer or director in defending a civil or criminal action, suit, or proceeding may be paid by our company in advance of the final disposition of the suit, action, or proceeding upon receipt of an undertaking by or on behalf of the officer or director to repay such amount if it is ultimately determined that he or she is not entitled to be indemnified by our company. We may also advance expenses incurred by other employees and agents of our company upon such terms and conditions, if any, that our board of directors of the registrant deems appropriate.</w:t>
      </w:r>
    </w:p>
    <w:p>
      <w:pPr>
        <w:spacing w:after="0" w:line="157"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auto"/>
        </w:rPr>
        <w:t>Reference is made to “Undertakings,” below, for the registrant’s undertakings in this Registration Statement with respect to indemnification of liabilities arising under the Securities Act of 1933, as amended.</w:t>
      </w:r>
    </w:p>
    <w:p>
      <w:pPr>
        <w:spacing w:after="0" w:line="166"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exhibits listed in the Exhibit Index below are filed as part of this Registration Statement.</w:t>
      </w:r>
    </w:p>
    <w:p>
      <w:pPr>
        <w:spacing w:after="0" w:line="221" w:lineRule="exact"/>
        <w:rPr>
          <w:sz w:val="20"/>
          <w:szCs w:val="20"/>
          <w:color w:val="auto"/>
        </w:rPr>
      </w:pPr>
    </w:p>
    <w:p>
      <w:pPr>
        <w:ind w:left="880"/>
        <w:spacing w:after="0"/>
        <w:tabs>
          <w:tab w:leader="none" w:pos="2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720" w:hanging="848"/>
        <w:spacing w:after="0"/>
        <w:tabs>
          <w:tab w:leader="none" w:pos="1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580" w:right="480" w:hanging="858"/>
        <w:spacing w:after="0" w:line="277" w:lineRule="auto"/>
        <w:tabs>
          <w:tab w:leader="none" w:pos="2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70" w:lineRule="exact"/>
        <w:rPr>
          <w:rFonts w:ascii="Arial" w:cs="Arial" w:eastAsia="Arial" w:hAnsi="Arial"/>
          <w:sz w:val="18"/>
          <w:szCs w:val="18"/>
          <w:color w:val="auto"/>
        </w:rPr>
      </w:pPr>
    </w:p>
    <w:p>
      <w:pPr>
        <w:ind w:left="2580" w:right="20" w:hanging="858"/>
        <w:spacing w:after="0" w:line="271" w:lineRule="auto"/>
        <w:tabs>
          <w:tab w:leader="none" w:pos="2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2580" w:right="60" w:hanging="858"/>
        <w:spacing w:after="0" w:line="277" w:lineRule="auto"/>
        <w:tabs>
          <w:tab w:leader="none" w:pos="2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(1)(i), (1)(ii) and (1)(iii)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20"/>
        <w:spacing w:after="0" w:line="263" w:lineRule="auto"/>
        <w:rPr>
          <w:sz w:val="20"/>
          <w:szCs w:val="20"/>
          <w:color w:val="auto"/>
        </w:rPr>
      </w:pPr>
      <w:r>
        <w:rPr>
          <w:rFonts w:ascii="Arial" w:cs="Arial" w:eastAsia="Arial" w:hAnsi="Arial"/>
          <w:sz w:val="18"/>
          <w:szCs w:val="18"/>
          <w:color w:val="auto"/>
        </w:rPr>
        <w:t>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the Registration Statement.</w:t>
      </w:r>
    </w:p>
    <w:p>
      <w:pPr>
        <w:spacing w:after="0" w:line="184" w:lineRule="exact"/>
        <w:rPr>
          <w:sz w:val="20"/>
          <w:szCs w:val="20"/>
          <w:color w:val="auto"/>
        </w:rPr>
      </w:pPr>
    </w:p>
    <w:p>
      <w:pPr>
        <w:jc w:val="both"/>
        <w:ind w:right="40" w:firstLine="872"/>
        <w:spacing w:after="0" w:line="263" w:lineRule="auto"/>
        <w:tabs>
          <w:tab w:leader="none" w:pos="17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right="100" w:firstLine="872"/>
        <w:spacing w:after="0" w:line="277" w:lineRule="auto"/>
        <w:tabs>
          <w:tab w:leader="none" w:pos="17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720" w:hanging="848"/>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880" w:right="180" w:firstLine="789"/>
        <w:spacing w:after="0" w:line="277" w:lineRule="auto"/>
        <w:tabs>
          <w:tab w:leader="none" w:pos="18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880" w:firstLine="789"/>
        <w:spacing w:after="0" w:line="287" w:lineRule="auto"/>
        <w:tabs>
          <w:tab w:leader="none" w:pos="1942"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1" w:lineRule="exact"/>
        <w:rPr>
          <w:rFonts w:ascii="Arial" w:cs="Arial" w:eastAsia="Arial" w:hAnsi="Arial"/>
          <w:sz w:val="16"/>
          <w:szCs w:val="16"/>
          <w:color w:val="auto"/>
        </w:rPr>
      </w:pPr>
    </w:p>
    <w:p>
      <w:pPr>
        <w:ind w:left="1720" w:hanging="848"/>
        <w:spacing w:after="0"/>
        <w:tabs>
          <w:tab w:leader="none" w:pos="1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187" w:lineRule="exact"/>
        <w:rPr>
          <w:sz w:val="20"/>
          <w:szCs w:val="20"/>
          <w:color w:val="auto"/>
        </w:rPr>
      </w:pPr>
    </w:p>
    <w:p>
      <w:pPr>
        <w:ind w:left="2480" w:hanging="811"/>
        <w:spacing w:after="0"/>
        <w:tabs>
          <w:tab w:leader="none" w:pos="2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pursuant to Rule 424;</w:t>
      </w:r>
    </w:p>
    <w:p>
      <w:pPr>
        <w:spacing w:after="0" w:line="210" w:lineRule="exact"/>
        <w:rPr>
          <w:rFonts w:ascii="Arial" w:cs="Arial" w:eastAsia="Arial" w:hAnsi="Arial"/>
          <w:sz w:val="17"/>
          <w:szCs w:val="17"/>
          <w:color w:val="auto"/>
        </w:rPr>
      </w:pPr>
    </w:p>
    <w:p>
      <w:pPr>
        <w:ind w:left="880" w:right="280" w:firstLine="789"/>
        <w:spacing w:after="0" w:line="277" w:lineRule="auto"/>
        <w:tabs>
          <w:tab w:leader="none" w:pos="25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880" w:right="480" w:firstLine="789"/>
        <w:spacing w:after="0" w:line="277" w:lineRule="auto"/>
        <w:tabs>
          <w:tab w:leader="none" w:pos="25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580" w:hanging="911"/>
        <w:spacing w:after="0"/>
        <w:tabs>
          <w:tab w:leader="none" w:pos="2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60" w:firstLine="864"/>
        <w:spacing w:after="0" w:line="259" w:lineRule="auto"/>
        <w:rPr>
          <w:sz w:val="20"/>
          <w:szCs w:val="20"/>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sz w:val="20"/>
          <w:szCs w:val="20"/>
          <w:color w:val="auto"/>
        </w:rPr>
      </w:pPr>
    </w:p>
    <w:p>
      <w:pPr>
        <w:ind w:right="60" w:firstLine="864"/>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firstLine="872"/>
        <w:spacing w:after="0" w:line="263" w:lineRule="auto"/>
        <w:tabs>
          <w:tab w:leader="none" w:pos="17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60"/>
        <w:spacing w:after="0"/>
        <w:tabs>
          <w:tab w:leader="none" w:pos="1420" w:val="left"/>
        </w:tabs>
        <w:rPr>
          <w:sz w:val="20"/>
          <w:szCs w:val="20"/>
          <w:color w:val="auto"/>
        </w:rPr>
      </w:pPr>
      <w:r>
        <w:rPr>
          <w:rFonts w:ascii="Arial" w:cs="Arial" w:eastAsia="Arial" w:hAnsi="Arial"/>
          <w:sz w:val="18"/>
          <w:szCs w:val="18"/>
          <w:b w:val="1"/>
          <w:bCs w:val="1"/>
          <w:u w:val="single" w:color="auto"/>
          <w:color w:val="auto"/>
        </w:rPr>
        <w:t>NUMBER</w:t>
        <w:tab/>
        <w:t>DESCRIPTION</w:t>
      </w:r>
    </w:p>
    <w:p>
      <w:pPr>
        <w:spacing w:after="0" w:line="211"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**1.1</w:t>
        <w:tab/>
        <w:t>Form of Underwriting Agreement.</w:t>
      </w:r>
    </w:p>
    <w:p>
      <w:pPr>
        <w:spacing w:after="0" w:line="23" w:lineRule="exact"/>
        <w:rPr>
          <w:sz w:val="20"/>
          <w:szCs w:val="20"/>
          <w:color w:val="auto"/>
        </w:rPr>
      </w:pPr>
    </w:p>
    <w:p>
      <w:pPr>
        <w:ind w:left="1440" w:right="640" w:hanging="413"/>
        <w:spacing w:after="0" w:line="250"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49">
        <w:r>
          <w:rPr>
            <w:rFonts w:ascii="Arial" w:cs="Arial" w:eastAsia="Arial" w:hAnsi="Arial"/>
            <w:sz w:val="18"/>
            <w:szCs w:val="18"/>
            <w:u w:val="single" w:color="auto"/>
            <w:color w:val="0000EE"/>
          </w:rPr>
          <w:t>Restated Certificate of Incorporation of the Company (conformed copy incorporating all amendments through August 9, 2018)</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(included as Exhibit 3.1 to the Company’s Quarterly Report on Form 10-Q filed August 30, 2018, and incorporated herein by</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reference).</w:t>
        </w:r>
      </w:hyperlink>
    </w:p>
    <w:p>
      <w:pPr>
        <w:spacing w:after="0" w:line="1" w:lineRule="exact"/>
        <w:rPr>
          <w:rFonts w:ascii="Arial" w:cs="Arial" w:eastAsia="Arial" w:hAnsi="Arial"/>
          <w:sz w:val="18"/>
          <w:szCs w:val="18"/>
          <w:u w:val="single" w:color="auto"/>
          <w:color w:val="0000EE"/>
        </w:rPr>
      </w:pPr>
    </w:p>
    <w:p>
      <w:pPr>
        <w:ind w:left="1440" w:hanging="413"/>
        <w:spacing w:after="0" w:line="250"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50">
        <w:r>
          <w:rPr>
            <w:rFonts w:ascii="Arial" w:cs="Arial" w:eastAsia="Arial" w:hAnsi="Arial"/>
            <w:sz w:val="18"/>
            <w:szCs w:val="18"/>
            <w:u w:val="single" w:color="auto"/>
            <w:color w:val="0000EE"/>
          </w:rPr>
          <w:t>Fourth Amended and Restated By-Laws (included as Exhibit 3.1 to the Company’s Current Report on Form 8-K filed on June 18, 2015,</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and incorporated herein by reference).</w:t>
        </w:r>
      </w:hyperlink>
    </w:p>
    <w:p>
      <w:pPr>
        <w:spacing w:after="0" w:line="1" w:lineRule="exact"/>
        <w:rPr>
          <w:sz w:val="20"/>
          <w:szCs w:val="20"/>
          <w:color w:val="auto"/>
        </w:rPr>
      </w:pPr>
    </w:p>
    <w:p>
      <w:pPr>
        <w:ind w:left="94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34">
        <w:r>
          <w:rPr>
            <w:rFonts w:ascii="Arial" w:cs="Arial" w:eastAsia="Arial" w:hAnsi="Arial"/>
            <w:sz w:val="16"/>
            <w:szCs w:val="16"/>
            <w:u w:val="single" w:color="auto"/>
            <w:color w:val="0000EE"/>
          </w:rPr>
          <w:t>Form of Indenture</w:t>
        </w:r>
      </w:hyperlink>
      <w:r>
        <w:rPr>
          <w:rFonts w:ascii="Arial" w:cs="Arial" w:eastAsia="Arial" w:hAnsi="Arial"/>
          <w:sz w:val="16"/>
          <w:szCs w:val="16"/>
          <w:color w:val="000000"/>
        </w:rPr>
        <w:t>.</w:t>
      </w:r>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**4.2</w:t>
        <w:tab/>
        <w:t>Form of Debt Security.</w:t>
      </w:r>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**4.3</w:t>
        <w:tab/>
        <w:t>Form of Preferred Stock Certificate and Form of Certificate of Designation of Preferred Stock.</w:t>
      </w:r>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**4.4</w:t>
        <w:tab/>
        <w:t>Form of Warrant Agreement and Form of Warrant Certificate.</w:t>
      </w:r>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**4.5</w:t>
        <w:tab/>
        <w:t>Form of Deposit Agreement for Depositary Shares and Form of Depositary Receipt for Depositary Shares.</w:t>
      </w:r>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**4.6</w:t>
        <w:tab/>
        <w:t>Form of Purchase Contract.</w:t>
      </w:r>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**4.7</w:t>
        <w:tab/>
        <w:t>Form of Unit Agreement and Unit Certificate.</w:t>
      </w:r>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**4.8</w:t>
        <w:tab/>
        <w:t>Form of Rights Agreement and Form of Rights Certificate.</w:t>
      </w:r>
    </w:p>
    <w:p>
      <w:pPr>
        <w:spacing w:after="0" w:line="9" w:lineRule="exact"/>
        <w:rPr>
          <w:sz w:val="20"/>
          <w:szCs w:val="20"/>
          <w:color w:val="auto"/>
        </w:rPr>
      </w:pPr>
    </w:p>
    <w:p>
      <w:pPr>
        <w:ind w:left="94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87">
        <w:r>
          <w:rPr>
            <w:rFonts w:ascii="Arial" w:cs="Arial" w:eastAsia="Arial" w:hAnsi="Arial"/>
            <w:sz w:val="16"/>
            <w:szCs w:val="16"/>
            <w:u w:val="single" w:color="auto"/>
            <w:color w:val="0000EE"/>
          </w:rPr>
          <w:t>Opinion of Greenberg Traurig LLP, counsel to the Registrant</w:t>
        </w:r>
      </w:hyperlink>
      <w:r>
        <w:rPr>
          <w:rFonts w:ascii="Arial" w:cs="Arial" w:eastAsia="Arial" w:hAnsi="Arial"/>
          <w:sz w:val="16"/>
          <w:szCs w:val="16"/>
          <w:color w:val="000000"/>
        </w:rPr>
        <w:t>.</w:t>
      </w:r>
    </w:p>
    <w:p>
      <w:pPr>
        <w:spacing w:after="0" w:line="9" w:lineRule="exact"/>
        <w:rPr>
          <w:sz w:val="20"/>
          <w:szCs w:val="20"/>
          <w:color w:val="auto"/>
        </w:rPr>
      </w:pPr>
    </w:p>
    <w:p>
      <w:pPr>
        <w:ind w:left="84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87">
        <w:r>
          <w:rPr>
            <w:rFonts w:ascii="Arial" w:cs="Arial" w:eastAsia="Arial" w:hAnsi="Arial"/>
            <w:sz w:val="16"/>
            <w:szCs w:val="16"/>
            <w:u w:val="single" w:color="auto"/>
            <w:color w:val="0000EE"/>
          </w:rPr>
          <w:t>Consent of Greenberg Traurig LLP (included in Exhibit 5.1).</w:t>
        </w:r>
      </w:hyperlink>
    </w:p>
    <w:p>
      <w:pPr>
        <w:spacing w:after="0" w:line="9" w:lineRule="exact"/>
        <w:rPr>
          <w:sz w:val="20"/>
          <w:szCs w:val="20"/>
          <w:color w:val="auto"/>
        </w:rPr>
      </w:pPr>
    </w:p>
    <w:p>
      <w:pPr>
        <w:ind w:left="84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93">
        <w:r>
          <w:rPr>
            <w:rFonts w:ascii="Arial" w:cs="Arial" w:eastAsia="Arial" w:hAnsi="Arial"/>
            <w:sz w:val="16"/>
            <w:szCs w:val="16"/>
            <w:u w:val="single" w:color="auto"/>
            <w:color w:val="0000EE"/>
          </w:rPr>
          <w:t>Consent of Independent Registered Public Accounting Firm.</w:t>
        </w:r>
      </w:hyperlink>
    </w:p>
    <w:p>
      <w:pPr>
        <w:spacing w:after="0" w:line="9" w:lineRule="exact"/>
        <w:rPr>
          <w:sz w:val="20"/>
          <w:szCs w:val="20"/>
          <w:color w:val="auto"/>
        </w:rPr>
      </w:pPr>
    </w:p>
    <w:p>
      <w:pPr>
        <w:ind w:left="840"/>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32">
        <w:r>
          <w:rPr>
            <w:rFonts w:ascii="Arial" w:cs="Arial" w:eastAsia="Arial" w:hAnsi="Arial"/>
            <w:sz w:val="16"/>
            <w:szCs w:val="16"/>
            <w:u w:val="single" w:color="auto"/>
            <w:color w:val="0000EE"/>
          </w:rPr>
          <w:t>Power of Attorney (contained in signature page).</w:t>
        </w:r>
      </w:hyperlink>
    </w:p>
    <w:p>
      <w:pPr>
        <w:spacing w:after="0" w:line="9"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under Trust Indenture Act of 1939 of Trustee.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w:t>
      </w:r>
    </w:p>
    <w:p>
      <w:pPr>
        <w:spacing w:after="0" w:line="103" w:lineRule="exact"/>
        <w:rPr>
          <w:sz w:val="20"/>
          <w:szCs w:val="20"/>
          <w:color w:val="auto"/>
        </w:rPr>
      </w:pPr>
    </w:p>
    <w:p>
      <w:pPr>
        <w:ind w:left="860" w:hanging="420"/>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80" w:right="320" w:hanging="440"/>
        <w:spacing w:after="0" w:line="250"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subsequently filed by amendment or as an exhibit to a document to be incorporated or deemed to be incorporated by reference to this registration statement, including a Current Report on Form 8-K.</w:t>
      </w:r>
    </w:p>
    <w:p>
      <w:pPr>
        <w:spacing w:after="0" w:line="1" w:lineRule="exact"/>
        <w:rPr>
          <w:sz w:val="20"/>
          <w:szCs w:val="20"/>
          <w:color w:val="auto"/>
        </w:rPr>
      </w:pPr>
    </w:p>
    <w:p>
      <w:pPr>
        <w:ind w:left="880" w:right="280" w:hanging="440"/>
        <w:spacing w:after="0" w:line="260"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incorporated herein by reference from a subsequent filing in accordance with Section 305(b)(2) of the Trust Indenture Act of 1939, as amended,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Canton, Commonwealth of Massachusetts, on this 10th day of June, 2021.</w:t>
      </w:r>
    </w:p>
    <w:p>
      <w:pPr>
        <w:spacing w:after="0" w:line="18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672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Harvey S. Kanter</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1"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We, the undersigned officers and directors of Destination XL Group, Inc., hereby severally constitute and appoint Harvey S. Kanter and Peter H. Stratton, Jr.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generally to do all such things in our name and behalf in our capacities as officers and directors to enable Destination XL Group,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p>
      <w:pPr>
        <w:ind w:left="1620"/>
        <w:spacing w:after="0"/>
        <w:tabs>
          <w:tab w:leader="none" w:pos="6500" w:val="left"/>
          <w:tab w:leader="none" w:pos="10100" w:val="left"/>
        </w:tabs>
        <w:rPr>
          <w:sz w:val="20"/>
          <w:szCs w:val="20"/>
          <w:color w:val="auto"/>
        </w:rPr>
      </w:pPr>
      <w:r>
        <w:rPr>
          <w:rFonts w:ascii="Arial" w:cs="Arial" w:eastAsia="Arial" w:hAnsi="Arial"/>
          <w:sz w:val="18"/>
          <w:szCs w:val="18"/>
          <w:b w:val="1"/>
          <w:bCs w:val="1"/>
          <w:color w:val="auto"/>
        </w:rPr>
        <w:t>Signatures</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554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p>
      <w:pPr>
        <w:spacing w:after="0" w:line="4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Harvey S. Kanter</w:t>
      </w:r>
    </w:p>
    <w:p>
      <w:pPr>
        <w:spacing w:after="0" w:line="17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546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62"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auto"/>
        </w:rPr>
        <w:t>Peter H. Stratton, Jr.</w:t>
      </w:r>
    </w:p>
    <w:p>
      <w:pPr>
        <w:spacing w:after="0" w:line="5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554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John F. Cooney</w:t>
      </w:r>
    </w:p>
    <w:p>
      <w:pPr>
        <w:spacing w:after="0" w:line="200" w:lineRule="exact"/>
        <w:rPr>
          <w:sz w:val="20"/>
          <w:szCs w:val="20"/>
          <w:color w:val="auto"/>
        </w:rPr>
      </w:pPr>
    </w:p>
    <w:p>
      <w:pPr>
        <w:spacing w:after="0" w:line="245"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/s/ Lionel F. Conacher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54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62"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Lionel F. Conacher</w:t>
      </w:r>
    </w:p>
    <w:p>
      <w:pPr>
        <w:spacing w:after="0" w:line="22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Jack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546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9"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Jack Boyle</w:t>
      </w:r>
    </w:p>
    <w:p>
      <w:pPr>
        <w:spacing w:after="0" w:line="22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Willem Mesdaq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54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9"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Willem Mesdag</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 Mitchell S. Presser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54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5580" w:val="left"/>
        </w:tabs>
        <w:rPr>
          <w:sz w:val="20"/>
          <w:szCs w:val="20"/>
          <w:color w:val="auto"/>
        </w:rPr>
      </w:pPr>
      <w:r>
        <w:rPr>
          <w:rFonts w:ascii="Arial" w:cs="Arial" w:eastAsia="Arial" w:hAnsi="Arial"/>
          <w:sz w:val="18"/>
          <w:szCs w:val="18"/>
          <w:color w:val="auto"/>
        </w:rPr>
        <w:t>President and Chief Executive Officer (Principal Executive Officer)</w:t>
      </w:r>
      <w:r>
        <w:rPr>
          <w:sz w:val="20"/>
          <w:szCs w:val="20"/>
          <w:color w:val="auto"/>
        </w:rPr>
        <w:tab/>
      </w:r>
      <w:r>
        <w:rPr>
          <w:rFonts w:ascii="Arial" w:cs="Arial" w:eastAsia="Arial" w:hAnsi="Arial"/>
          <w:sz w:val="15"/>
          <w:szCs w:val="15"/>
          <w:color w:val="auto"/>
        </w:rPr>
        <w:t>June 10, 2021</w:t>
      </w:r>
    </w:p>
    <w:p>
      <w:pPr>
        <w:spacing w:after="0" w:line="265"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Executive Vice President, Chief Financial Officer and Treasurer</w:t>
      </w:r>
      <w:r>
        <w:rPr>
          <w:sz w:val="20"/>
          <w:szCs w:val="20"/>
          <w:color w:val="auto"/>
        </w:rPr>
        <w:tab/>
      </w:r>
      <w:r>
        <w:rPr>
          <w:rFonts w:ascii="Arial" w:cs="Arial" w:eastAsia="Arial" w:hAnsi="Arial"/>
          <w:sz w:val="15"/>
          <w:szCs w:val="15"/>
          <w:color w:val="auto"/>
        </w:rPr>
        <w:t>June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Vice President and Managing Director of Finance, Chief Accounting</w:t>
      </w:r>
      <w:r>
        <w:rPr>
          <w:sz w:val="20"/>
          <w:szCs w:val="20"/>
          <w:color w:val="auto"/>
        </w:rPr>
        <w:tab/>
      </w:r>
      <w:r>
        <w:rPr>
          <w:rFonts w:ascii="Arial" w:cs="Arial" w:eastAsia="Arial" w:hAnsi="Arial"/>
          <w:sz w:val="15"/>
          <w:szCs w:val="15"/>
          <w:color w:val="auto"/>
        </w:rPr>
        <w:t>June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Corporate Controller (Principal Accounting Officer)</w:t>
      </w:r>
    </w:p>
    <w:p>
      <w:pPr>
        <w:spacing w:after="0" w:line="265"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Chairman of the Board of Directors</w:t>
      </w:r>
      <w:r>
        <w:rPr>
          <w:sz w:val="20"/>
          <w:szCs w:val="20"/>
          <w:color w:val="auto"/>
        </w:rPr>
        <w:tab/>
      </w:r>
      <w:r>
        <w:rPr>
          <w:rFonts w:ascii="Arial" w:cs="Arial" w:eastAsia="Arial" w:hAnsi="Arial"/>
          <w:sz w:val="15"/>
          <w:szCs w:val="15"/>
          <w:color w:val="auto"/>
        </w:rPr>
        <w:t>June 10, 2021</w:t>
      </w:r>
    </w:p>
    <w:p>
      <w:pPr>
        <w:spacing w:after="0" w:line="200" w:lineRule="exact"/>
        <w:rPr>
          <w:sz w:val="20"/>
          <w:szCs w:val="20"/>
          <w:color w:val="auto"/>
        </w:rPr>
      </w:pPr>
    </w:p>
    <w:p>
      <w:pPr>
        <w:spacing w:after="0" w:line="295" w:lineRule="exact"/>
        <w:rPr>
          <w:sz w:val="20"/>
          <w:szCs w:val="20"/>
          <w:color w:val="auto"/>
        </w:rPr>
      </w:pPr>
    </w:p>
    <w:p>
      <w:pPr>
        <w:spacing w:after="0"/>
        <w:tabs>
          <w:tab w:leader="none" w:pos="55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10, 2021</w:t>
      </w:r>
    </w:p>
    <w:p>
      <w:pPr>
        <w:spacing w:after="0" w:line="200" w:lineRule="exact"/>
        <w:rPr>
          <w:sz w:val="20"/>
          <w:szCs w:val="20"/>
          <w:color w:val="auto"/>
        </w:rPr>
      </w:pPr>
    </w:p>
    <w:p>
      <w:pPr>
        <w:spacing w:after="0" w:line="330" w:lineRule="exact"/>
        <w:rPr>
          <w:sz w:val="20"/>
          <w:szCs w:val="20"/>
          <w:color w:val="auto"/>
        </w:rPr>
      </w:pPr>
    </w:p>
    <w:p>
      <w:pPr>
        <w:spacing w:after="0"/>
        <w:tabs>
          <w:tab w:leader="none" w:pos="55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10, 2021</w:t>
      </w:r>
    </w:p>
    <w:p>
      <w:pPr>
        <w:spacing w:after="0" w:line="200" w:lineRule="exact"/>
        <w:rPr>
          <w:sz w:val="20"/>
          <w:szCs w:val="20"/>
          <w:color w:val="auto"/>
        </w:rPr>
      </w:pPr>
    </w:p>
    <w:p>
      <w:pPr>
        <w:spacing w:after="0" w:line="330" w:lineRule="exact"/>
        <w:rPr>
          <w:sz w:val="20"/>
          <w:szCs w:val="20"/>
          <w:color w:val="auto"/>
        </w:rPr>
      </w:pPr>
    </w:p>
    <w:p>
      <w:pPr>
        <w:spacing w:after="0"/>
        <w:tabs>
          <w:tab w:leader="none" w:pos="55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June 10, 2021</w:t>
      </w:r>
    </w:p>
    <w:p>
      <w:pPr>
        <w:spacing w:after="0" w:line="93" w:lineRule="exact"/>
        <w:rPr>
          <w:sz w:val="20"/>
          <w:szCs w:val="20"/>
          <w:color w:val="auto"/>
        </w:rPr>
      </w:pPr>
    </w:p>
    <w:p>
      <w:pPr>
        <w:sectPr>
          <w:pgSz w:w="11900" w:h="16838" w:orient="portrait"/>
          <w:cols w:equalWidth="0" w:num="2">
            <w:col w:w="3480" w:space="720"/>
            <w:col w:w="7060"/>
          </w:cols>
          <w:pgMar w:left="320" w:top="553" w:right="3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9"/>
              </w:rPr>
              <w:t>Mitchell S. Presser</w:t>
            </w:r>
          </w:p>
        </w:tc>
        <w:tc>
          <w:tcPr>
            <w:tcW w:w="32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32"/>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Ivy Ross</w:t>
            </w:r>
          </w:p>
        </w:tc>
        <w:tc>
          <w:tcPr>
            <w:tcW w:w="32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500"/>
              <w:spacing w:after="0"/>
              <w:rPr>
                <w:sz w:val="20"/>
                <w:szCs w:val="20"/>
                <w:color w:val="auto"/>
              </w:rPr>
            </w:pPr>
            <w:r>
              <w:rPr>
                <w:rFonts w:ascii="Arial" w:cs="Arial" w:eastAsia="Arial" w:hAnsi="Arial"/>
                <w:sz w:val="18"/>
                <w:szCs w:val="18"/>
                <w:color w:val="auto"/>
              </w:rPr>
              <w:t>June 10, 2021</w:t>
            </w:r>
          </w:p>
        </w:tc>
      </w:tr>
      <w:tr>
        <w:trPr>
          <w:trHeight w:val="250"/>
        </w:trPr>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6"/>
              </w:rPr>
              <w:t>Ivy Ross</w:t>
            </w:r>
          </w:p>
        </w:tc>
        <w:tc>
          <w:tcPr>
            <w:tcW w:w="326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432"/>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Elaine Rubin</w:t>
            </w:r>
          </w:p>
        </w:tc>
        <w:tc>
          <w:tcPr>
            <w:tcW w:w="32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500"/>
              <w:spacing w:after="0"/>
              <w:rPr>
                <w:sz w:val="20"/>
                <w:szCs w:val="20"/>
                <w:color w:val="auto"/>
              </w:rPr>
            </w:pPr>
            <w:r>
              <w:rPr>
                <w:rFonts w:ascii="Arial" w:cs="Arial" w:eastAsia="Arial" w:hAnsi="Arial"/>
                <w:sz w:val="18"/>
                <w:szCs w:val="18"/>
                <w:color w:val="auto"/>
              </w:rPr>
              <w:t>June 10, 2021</w:t>
            </w:r>
          </w:p>
        </w:tc>
      </w:tr>
      <w:tr>
        <w:trPr>
          <w:trHeight w:val="250"/>
        </w:trPr>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1"/>
              </w:rPr>
              <w:t>Elaine Rubin</w:t>
            </w:r>
          </w:p>
        </w:tc>
        <w:tc>
          <w:tcPr>
            <w:tcW w:w="326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641"/>
        </w:trPr>
        <w:tc>
          <w:tcPr>
            <w:tcW w:w="40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type w:val="continuous"/>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4.1</w:t>
      </w:r>
    </w:p>
    <w:p>
      <w:pPr>
        <w:spacing w:after="0" w:line="198" w:lineRule="exact"/>
        <w:rPr>
          <w:sz w:val="20"/>
          <w:szCs w:val="20"/>
          <w:color w:val="auto"/>
        </w:rPr>
      </w:pPr>
    </w:p>
    <w:p>
      <w:pPr>
        <w:jc w:val="center"/>
        <w:ind w:right="2360"/>
        <w:spacing w:after="0"/>
        <w:rPr>
          <w:sz w:val="20"/>
          <w:szCs w:val="20"/>
          <w:color w:val="auto"/>
        </w:rPr>
      </w:pPr>
      <w:r>
        <w:rPr>
          <w:rFonts w:ascii="Arial" w:cs="Arial" w:eastAsia="Arial" w:hAnsi="Arial"/>
          <w:sz w:val="17"/>
          <w:szCs w:val="17"/>
          <w:b w:val="1"/>
          <w:bCs w:val="1"/>
          <w:color w:val="auto"/>
        </w:rPr>
        <w:t>DESTINATION XL GROUP, INC.,</w:t>
      </w:r>
    </w:p>
    <w:p>
      <w:pPr>
        <w:spacing w:after="0" w:line="39"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Iss</w:t>
      </w:r>
      <w:r>
        <w:rPr>
          <w:rFonts w:ascii="Arial" w:cs="Arial" w:eastAsia="Arial" w:hAnsi="Arial"/>
          <w:sz w:val="18"/>
          <w:szCs w:val="18"/>
          <w:color w:val="auto"/>
        </w:rPr>
        <w:t>u</w:t>
      </w:r>
      <w:r>
        <w:rPr>
          <w:rFonts w:ascii="Arial" w:cs="Arial" w:eastAsia="Arial" w:hAnsi="Arial"/>
          <w:sz w:val="18"/>
          <w:szCs w:val="18"/>
          <w:b w:val="1"/>
          <w:bCs w:val="1"/>
          <w:color w:val="auto"/>
        </w:rPr>
        <w:t>er</w:t>
      </w:r>
    </w:p>
    <w:p>
      <w:pPr>
        <w:spacing w:after="0" w:line="180"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AND</w:t>
      </w:r>
    </w:p>
    <w:p>
      <w:pPr>
        <w:spacing w:after="0" w:line="198"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[TRUSTEE],</w:t>
      </w:r>
    </w:p>
    <w:p>
      <w:pPr>
        <w:spacing w:after="0" w:line="19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17145</wp:posOffset>
            </wp:positionV>
            <wp:extent cx="1602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360"/>
        <w:spacing w:after="0"/>
        <w:rPr>
          <w:sz w:val="20"/>
          <w:szCs w:val="20"/>
          <w:color w:val="auto"/>
        </w:rPr>
      </w:pPr>
      <w:r>
        <w:rPr>
          <w:rFonts w:ascii="Arial" w:cs="Arial" w:eastAsia="Arial" w:hAnsi="Arial"/>
          <w:sz w:val="18"/>
          <w:szCs w:val="18"/>
          <w:b w:val="1"/>
          <w:bCs w:val="1"/>
          <w:color w:val="auto"/>
        </w:rPr>
        <w:t>INDENTURE</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17145</wp:posOffset>
            </wp:positionV>
            <wp:extent cx="1602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501650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wp:posOffset>
            </wp:positionV>
            <wp:extent cx="64122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34" w:name="page35"/>
    <w:bookmarkEnd w:id="34"/>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ARTICLE 1 DEFINITIONS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8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1.01   Definitions of Terms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2.01   Designation and Terms of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Arial" w:cs="Arial" w:eastAsia="Arial" w:hAnsi="Arial"/>
                <w:sz w:val="18"/>
                <w:szCs w:val="18"/>
                <w:color w:val="auto"/>
              </w:rPr>
              <w:t>Section 2.02   Form of Securities and Trustee’s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2.03   Denominations: Provisions for Payment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Arial" w:cs="Arial" w:eastAsia="Arial" w:hAnsi="Arial"/>
                <w:sz w:val="18"/>
                <w:szCs w:val="18"/>
                <w:color w:val="auto"/>
              </w:rPr>
              <w:t>Section 2.04   Execution and Authentications</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2.05   Registration of Transfer and Exchange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340"/>
              <w:spacing w:after="0"/>
              <w:rPr>
                <w:sz w:val="20"/>
                <w:szCs w:val="20"/>
                <w:color w:val="auto"/>
              </w:rPr>
            </w:pPr>
            <w:r>
              <w:rPr>
                <w:rFonts w:ascii="Arial" w:cs="Arial" w:eastAsia="Arial" w:hAnsi="Arial"/>
                <w:sz w:val="18"/>
                <w:szCs w:val="18"/>
                <w:color w:val="auto"/>
                <w:w w:val="99"/>
              </w:rPr>
              <w:t>Section 2.06</w:t>
            </w:r>
          </w:p>
        </w:tc>
        <w:tc>
          <w:tcPr>
            <w:tcW w:w="812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2.07   Mutilated, Destroyed, Lost or Stolen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340"/>
              <w:spacing w:after="0"/>
              <w:rPr>
                <w:sz w:val="20"/>
                <w:szCs w:val="20"/>
                <w:color w:val="auto"/>
              </w:rPr>
            </w:pPr>
            <w:r>
              <w:rPr>
                <w:rFonts w:ascii="Arial" w:cs="Arial" w:eastAsia="Arial" w:hAnsi="Arial"/>
                <w:sz w:val="18"/>
                <w:szCs w:val="18"/>
                <w:color w:val="auto"/>
                <w:w w:val="99"/>
              </w:rPr>
              <w:t>Section 2.08</w:t>
            </w:r>
          </w:p>
        </w:tc>
        <w:tc>
          <w:tcPr>
            <w:tcW w:w="812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2.09   Benefits of Indenture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340"/>
              <w:spacing w:after="0"/>
              <w:rPr>
                <w:sz w:val="20"/>
                <w:szCs w:val="20"/>
                <w:color w:val="auto"/>
              </w:rPr>
            </w:pPr>
            <w:r>
              <w:rPr>
                <w:rFonts w:ascii="Arial" w:cs="Arial" w:eastAsia="Arial" w:hAnsi="Arial"/>
                <w:sz w:val="18"/>
                <w:szCs w:val="18"/>
                <w:color w:val="auto"/>
                <w:w w:val="99"/>
              </w:rPr>
              <w:t>Section 2.10</w:t>
            </w:r>
          </w:p>
        </w:tc>
        <w:tc>
          <w:tcPr>
            <w:tcW w:w="8120" w:type="dxa"/>
            <w:vAlign w:val="bottom"/>
          </w:tcPr>
          <w:p>
            <w:pPr>
              <w:ind w:left="140"/>
              <w:spacing w:after="0"/>
              <w:rPr>
                <w:sz w:val="20"/>
                <w:szCs w:val="20"/>
                <w:color w:val="auto"/>
              </w:rPr>
            </w:pPr>
            <w:r>
              <w:rPr>
                <w:rFonts w:ascii="Arial" w:cs="Arial" w:eastAsia="Arial" w:hAnsi="Arial"/>
                <w:sz w:val="18"/>
                <w:szCs w:val="18"/>
                <w:color w:val="auto"/>
              </w:rPr>
              <w:t>Authenticating Agent</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Section 2.11</w:t>
            </w:r>
          </w:p>
        </w:tc>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340"/>
              <w:spacing w:after="0"/>
              <w:rPr>
                <w:sz w:val="20"/>
                <w:szCs w:val="20"/>
                <w:color w:val="auto"/>
              </w:rPr>
            </w:pPr>
            <w:r>
              <w:rPr>
                <w:rFonts w:ascii="Arial" w:cs="Arial" w:eastAsia="Arial" w:hAnsi="Arial"/>
                <w:sz w:val="18"/>
                <w:szCs w:val="18"/>
                <w:color w:val="auto"/>
                <w:w w:val="99"/>
              </w:rPr>
              <w:t>Section 2.12</w:t>
            </w:r>
          </w:p>
        </w:tc>
        <w:tc>
          <w:tcPr>
            <w:tcW w:w="8120" w:type="dxa"/>
            <w:vAlign w:val="bottom"/>
          </w:tcPr>
          <w:p>
            <w:pPr>
              <w:ind w:left="140"/>
              <w:spacing w:after="0"/>
              <w:rPr>
                <w:sz w:val="20"/>
                <w:szCs w:val="20"/>
                <w:color w:val="auto"/>
              </w:rPr>
            </w:pPr>
            <w:r>
              <w:rPr>
                <w:rFonts w:ascii="Arial" w:cs="Arial" w:eastAsia="Arial" w:hAnsi="Arial"/>
                <w:sz w:val="18"/>
                <w:szCs w:val="18"/>
                <w:color w:val="auto"/>
              </w:rPr>
              <w:t>CUSIP Numbers</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340"/>
              <w:spacing w:after="0"/>
              <w:rPr>
                <w:sz w:val="20"/>
                <w:szCs w:val="20"/>
                <w:color w:val="auto"/>
              </w:rPr>
            </w:pPr>
            <w:r>
              <w:rPr>
                <w:rFonts w:ascii="Arial" w:cs="Arial" w:eastAsia="Arial" w:hAnsi="Arial"/>
                <w:sz w:val="18"/>
                <w:szCs w:val="18"/>
                <w:color w:val="auto"/>
                <w:w w:val="99"/>
              </w:rPr>
              <w:t>Section 3.01</w:t>
            </w:r>
          </w:p>
        </w:tc>
        <w:tc>
          <w:tcPr>
            <w:tcW w:w="812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3.02   Notice of Redemption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Arial" w:cs="Arial" w:eastAsia="Arial" w:hAnsi="Arial"/>
                <w:sz w:val="18"/>
                <w:szCs w:val="18"/>
                <w:color w:val="auto"/>
              </w:rPr>
              <w:t>Section 3.03   Payment Upon Redemption</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Section 3.04</w:t>
            </w:r>
          </w:p>
        </w:tc>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Sinking Fund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3.06   Redemption of Securities for Sinking Fund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4 COVENANTS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4.01   Payment of Principal, Premium and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40"/>
              <w:spacing w:after="0"/>
              <w:rPr>
                <w:sz w:val="20"/>
                <w:szCs w:val="20"/>
                <w:color w:val="auto"/>
              </w:rPr>
            </w:pPr>
            <w:r>
              <w:rPr>
                <w:rFonts w:ascii="Arial" w:cs="Arial" w:eastAsia="Arial" w:hAnsi="Arial"/>
                <w:sz w:val="18"/>
                <w:szCs w:val="18"/>
                <w:color w:val="auto"/>
              </w:rPr>
              <w:t>Section 4.02   Maintenance of Office or Agency</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Section 4.03</w:t>
            </w:r>
          </w:p>
        </w:tc>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Paying Agents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gridSpan w:val="2"/>
          </w:tcPr>
          <w:p>
            <w:pPr>
              <w:ind w:left="340"/>
              <w:spacing w:after="0"/>
              <w:rPr>
                <w:sz w:val="20"/>
                <w:szCs w:val="20"/>
                <w:color w:val="auto"/>
              </w:rPr>
            </w:pPr>
            <w:r>
              <w:rPr>
                <w:rFonts w:ascii="Arial" w:cs="Arial" w:eastAsia="Arial" w:hAnsi="Arial"/>
                <w:sz w:val="18"/>
                <w:szCs w:val="18"/>
                <w:color w:val="auto"/>
              </w:rPr>
              <w:t>Section 4.04   Appointment to Fill Vacancy in Office of Trustee</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5" w:name="page36"/>
    <w:bookmarkEnd w:id="35"/>
    <w:p>
      <w:pPr>
        <w:jc w:val="center"/>
        <w:ind w:right="-110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5.03   Reports by the Company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5.04   Reports by the Trustee</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6.01   Events of Default</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6.03   Application of Moneys Collected</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6.04   Limitation on Suits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6.06   Control by Securityholders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6.07   Undertaking to Pay Costs</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ARTICLE 7 CONCERNING THE TRUSTEE</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7.01   Certain Duties and Responsibilities of Trustee</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7.02   Certain Rights of Trustee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7.04   May Hold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7.05   Moneys Held in Trust</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7.06   Compensation and Reimbursement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7.07   Reliance on Officer’s Certificate</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7.08   Disqualification; Conflicting Interests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7.09   Corporate Trustee Required; Eligibility</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7.10   Resignation and Removal; Appointment of Successor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7.11   Acceptance of Appointment By Successor</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7.12   Merger, Conversion, Consolidation or Succession to Business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Section 7.13   Preferential Collection of Claims Against the Company</w:t>
            </w: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7.14   Notice of Default.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806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60" w:type="dxa"/>
            <w:vAlign w:val="bottom"/>
          </w:tcPr>
          <w:p>
            <w:pPr>
              <w:ind w:left="3260"/>
              <w:spacing w:after="0"/>
              <w:rPr>
                <w:sz w:val="20"/>
                <w:szCs w:val="20"/>
                <w:color w:val="auto"/>
              </w:rPr>
            </w:pPr>
            <w:r>
              <w:rPr>
                <w:rFonts w:ascii="Arial" w:cs="Arial" w:eastAsia="Arial" w:hAnsi="Arial"/>
                <w:sz w:val="18"/>
                <w:szCs w:val="18"/>
                <w:b w:val="1"/>
                <w:bCs w:val="1"/>
                <w:color w:val="auto"/>
              </w:rPr>
              <w:t>(CONTINUED)</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8 CONCERNING THE SECURITYHOLDERS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8.01</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Evidence of Action by Securityholders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Section 8.02</w:t>
            </w:r>
          </w:p>
        </w:tc>
        <w:tc>
          <w:tcPr>
            <w:tcW w:w="8060" w:type="dxa"/>
            <w:vAlign w:val="bottom"/>
          </w:tcPr>
          <w:p>
            <w:pPr>
              <w:ind w:left="80"/>
              <w:spacing w:after="0"/>
              <w:rPr>
                <w:sz w:val="20"/>
                <w:szCs w:val="20"/>
                <w:color w:val="auto"/>
              </w:rPr>
            </w:pPr>
            <w:r>
              <w:rPr>
                <w:rFonts w:ascii="Arial" w:cs="Arial" w:eastAsia="Arial" w:hAnsi="Arial"/>
                <w:sz w:val="18"/>
                <w:szCs w:val="18"/>
                <w:color w:val="auto"/>
              </w:rPr>
              <w:t>Proof of Execution by Securityholders</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8.03</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Who May be Deemed Owners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Section 8.04</w:t>
            </w:r>
          </w:p>
        </w:tc>
        <w:tc>
          <w:tcPr>
            <w:tcW w:w="8060" w:type="dxa"/>
            <w:vAlign w:val="bottom"/>
          </w:tcPr>
          <w:p>
            <w:pPr>
              <w:ind w:left="80"/>
              <w:spacing w:after="0"/>
              <w:rPr>
                <w:sz w:val="20"/>
                <w:szCs w:val="20"/>
                <w:color w:val="auto"/>
              </w:rPr>
            </w:pPr>
            <w:r>
              <w:rPr>
                <w:rFonts w:ascii="Arial" w:cs="Arial" w:eastAsia="Arial" w:hAnsi="Arial"/>
                <w:sz w:val="18"/>
                <w:szCs w:val="18"/>
                <w:color w:val="auto"/>
              </w:rPr>
              <w:t>Certain Securities Owned by Company Disregarded</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8.05</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Actions Binding on Future Securityholders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9 SUPPLEMENTAL INDENTURES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9.01</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Supplemental Indentures Without the Consent of Securityholders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Section 9.02</w:t>
            </w:r>
          </w:p>
        </w:tc>
        <w:tc>
          <w:tcPr>
            <w:tcW w:w="8060" w:type="dxa"/>
            <w:vAlign w:val="bottom"/>
          </w:tcPr>
          <w:p>
            <w:pPr>
              <w:ind w:left="80"/>
              <w:spacing w:after="0"/>
              <w:rPr>
                <w:sz w:val="20"/>
                <w:szCs w:val="20"/>
                <w:color w:val="auto"/>
              </w:rPr>
            </w:pPr>
            <w:r>
              <w:rPr>
                <w:rFonts w:ascii="Arial" w:cs="Arial" w:eastAsia="Arial" w:hAnsi="Arial"/>
                <w:sz w:val="18"/>
                <w:szCs w:val="18"/>
                <w:color w:val="auto"/>
              </w:rPr>
              <w:t>Supplemental Indentures With Consent of Securityholders</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9.03</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Supplemental Indentures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Section 9.04</w:t>
            </w:r>
          </w:p>
        </w:tc>
        <w:tc>
          <w:tcPr>
            <w:tcW w:w="8060" w:type="dxa"/>
            <w:vAlign w:val="bottom"/>
          </w:tcPr>
          <w:p>
            <w:pPr>
              <w:ind w:left="80"/>
              <w:spacing w:after="0"/>
              <w:rPr>
                <w:sz w:val="20"/>
                <w:szCs w:val="20"/>
                <w:color w:val="auto"/>
              </w:rPr>
            </w:pPr>
            <w:r>
              <w:rPr>
                <w:rFonts w:ascii="Arial" w:cs="Arial" w:eastAsia="Arial" w:hAnsi="Arial"/>
                <w:sz w:val="18"/>
                <w:szCs w:val="18"/>
                <w:color w:val="auto"/>
              </w:rPr>
              <w:t>Securities Affected by Supplemental Indentures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9.05</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Execution of Supplemental Indentures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10 SUCCESSOR ENTITY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10.01</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 May Consolidate, Etc.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10.02</w:t>
            </w:r>
          </w:p>
        </w:tc>
        <w:tc>
          <w:tcPr>
            <w:tcW w:w="8060" w:type="dxa"/>
            <w:vAlign w:val="bottom"/>
          </w:tcPr>
          <w:p>
            <w:pPr>
              <w:ind w:left="80"/>
              <w:spacing w:after="0"/>
              <w:rPr>
                <w:sz w:val="20"/>
                <w:szCs w:val="20"/>
                <w:color w:val="auto"/>
              </w:rPr>
            </w:pPr>
            <w:r>
              <w:rPr>
                <w:rFonts w:ascii="Arial" w:cs="Arial" w:eastAsia="Arial" w:hAnsi="Arial"/>
                <w:sz w:val="18"/>
                <w:szCs w:val="18"/>
                <w:color w:val="auto"/>
              </w:rPr>
              <w:t>Successor Entity Substituted</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ARTICLE 11 SATISFACTION AND DISCHARGE</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11.01</w:t>
            </w:r>
          </w:p>
        </w:tc>
        <w:tc>
          <w:tcPr>
            <w:tcW w:w="8060" w:type="dxa"/>
            <w:vAlign w:val="bottom"/>
          </w:tcPr>
          <w:p>
            <w:pPr>
              <w:ind w:left="80"/>
              <w:spacing w:after="0"/>
              <w:rPr>
                <w:sz w:val="20"/>
                <w:szCs w:val="20"/>
                <w:color w:val="auto"/>
              </w:rPr>
            </w:pPr>
            <w:r>
              <w:rPr>
                <w:rFonts w:ascii="Arial" w:cs="Arial" w:eastAsia="Arial" w:hAnsi="Arial"/>
                <w:sz w:val="18"/>
                <w:szCs w:val="18"/>
                <w:color w:val="auto"/>
              </w:rPr>
              <w:t>Satisfaction and Discharge of Indenture</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11.02</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Discharge of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11.03</w:t>
            </w:r>
          </w:p>
        </w:tc>
        <w:tc>
          <w:tcPr>
            <w:tcW w:w="8060" w:type="dxa"/>
            <w:vAlign w:val="bottom"/>
          </w:tcPr>
          <w:p>
            <w:pPr>
              <w:ind w:left="80"/>
              <w:spacing w:after="0"/>
              <w:rPr>
                <w:sz w:val="20"/>
                <w:szCs w:val="20"/>
                <w:color w:val="auto"/>
              </w:rPr>
            </w:pPr>
            <w:r>
              <w:rPr>
                <w:rFonts w:ascii="Arial" w:cs="Arial" w:eastAsia="Arial" w:hAnsi="Arial"/>
                <w:sz w:val="18"/>
                <w:szCs w:val="18"/>
                <w:color w:val="auto"/>
              </w:rPr>
              <w:t>Deposited Moneys to be Held in Trust</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11.04</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 of Moneys Held by Paying Agents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11.05</w:t>
            </w:r>
          </w:p>
        </w:tc>
        <w:tc>
          <w:tcPr>
            <w:tcW w:w="8060" w:type="dxa"/>
            <w:vAlign w:val="bottom"/>
          </w:tcPr>
          <w:p>
            <w:pPr>
              <w:ind w:left="80"/>
              <w:spacing w:after="0"/>
              <w:rPr>
                <w:sz w:val="20"/>
                <w:szCs w:val="20"/>
                <w:color w:val="auto"/>
              </w:rPr>
            </w:pPr>
            <w:r>
              <w:rPr>
                <w:rFonts w:ascii="Arial" w:cs="Arial" w:eastAsia="Arial" w:hAnsi="Arial"/>
                <w:sz w:val="18"/>
                <w:szCs w:val="18"/>
                <w:color w:val="auto"/>
              </w:rPr>
              <w:t>Repayment to Company</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SHAREHOLDERS, OFFICERS AND DIRECTORS</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12.01</w:t>
            </w:r>
          </w:p>
        </w:tc>
        <w:tc>
          <w:tcPr>
            <w:tcW w:w="8060" w:type="dxa"/>
            <w:vAlign w:val="bottom"/>
          </w:tcPr>
          <w:p>
            <w:pPr>
              <w:ind w:left="80"/>
              <w:spacing w:after="0"/>
              <w:rPr>
                <w:sz w:val="20"/>
                <w:szCs w:val="20"/>
                <w:color w:val="auto"/>
              </w:rPr>
            </w:pPr>
            <w:r>
              <w:rPr>
                <w:rFonts w:ascii="Arial" w:cs="Arial" w:eastAsia="Arial" w:hAnsi="Arial"/>
                <w:sz w:val="18"/>
                <w:szCs w:val="18"/>
                <w:color w:val="auto"/>
              </w:rPr>
              <w:t>No Recourse</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13.01</w:t>
            </w:r>
          </w:p>
        </w:tc>
        <w:tc>
          <w:tcPr>
            <w:tcW w:w="8060" w:type="dxa"/>
            <w:vAlign w:val="bottom"/>
          </w:tcPr>
          <w:p>
            <w:pPr>
              <w:ind w:left="80"/>
              <w:spacing w:after="0"/>
              <w:rPr>
                <w:sz w:val="20"/>
                <w:szCs w:val="20"/>
                <w:color w:val="auto"/>
              </w:rPr>
            </w:pPr>
            <w:r>
              <w:rPr>
                <w:rFonts w:ascii="Arial" w:cs="Arial" w:eastAsia="Arial" w:hAnsi="Arial"/>
                <w:sz w:val="18"/>
                <w:szCs w:val="18"/>
                <w:color w:val="auto"/>
              </w:rPr>
              <w:t>Effect on Successors and Assigns</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13.02</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Actions by Successor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13.03</w:t>
            </w:r>
          </w:p>
        </w:tc>
        <w:tc>
          <w:tcPr>
            <w:tcW w:w="8060" w:type="dxa"/>
            <w:vAlign w:val="bottom"/>
          </w:tcPr>
          <w:p>
            <w:pPr>
              <w:ind w:left="80"/>
              <w:spacing w:after="0"/>
              <w:rPr>
                <w:sz w:val="20"/>
                <w:szCs w:val="20"/>
                <w:color w:val="auto"/>
              </w:rPr>
            </w:pPr>
            <w:r>
              <w:rPr>
                <w:rFonts w:ascii="Arial" w:cs="Arial" w:eastAsia="Arial" w:hAnsi="Arial"/>
                <w:sz w:val="18"/>
                <w:szCs w:val="18"/>
                <w:color w:val="auto"/>
              </w:rPr>
              <w:t>Surrender of Company Powers</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13.04</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13.05</w:t>
            </w:r>
          </w:p>
        </w:tc>
        <w:tc>
          <w:tcPr>
            <w:tcW w:w="8060" w:type="dxa"/>
            <w:vAlign w:val="bottom"/>
          </w:tcPr>
          <w:p>
            <w:pPr>
              <w:ind w:left="80"/>
              <w:spacing w:after="0"/>
              <w:rPr>
                <w:sz w:val="20"/>
                <w:szCs w:val="20"/>
                <w:color w:val="auto"/>
              </w:rPr>
            </w:pPr>
            <w:r>
              <w:rPr>
                <w:rFonts w:ascii="Arial" w:cs="Arial" w:eastAsia="Arial" w:hAnsi="Arial"/>
                <w:sz w:val="18"/>
                <w:szCs w:val="18"/>
                <w:color w:val="auto"/>
              </w:rPr>
              <w:t>Governing Law; Jury Trial Waiver</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13.06</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Treatment of Securities as Debt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13.07</w:t>
            </w:r>
          </w:p>
        </w:tc>
        <w:tc>
          <w:tcPr>
            <w:tcW w:w="8060" w:type="dxa"/>
            <w:vAlign w:val="bottom"/>
          </w:tcPr>
          <w:p>
            <w:pPr>
              <w:ind w:left="80"/>
              <w:spacing w:after="0"/>
              <w:rPr>
                <w:sz w:val="20"/>
                <w:szCs w:val="20"/>
                <w:color w:val="auto"/>
              </w:rPr>
            </w:pPr>
            <w:r>
              <w:rPr>
                <w:rFonts w:ascii="Arial" w:cs="Arial" w:eastAsia="Arial" w:hAnsi="Arial"/>
                <w:sz w:val="18"/>
                <w:szCs w:val="18"/>
                <w:color w:val="auto"/>
              </w:rPr>
              <w:t>Certificates and Opinions as to Conditions Precedent</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13.08</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on Business Days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13.09</w:t>
            </w:r>
          </w:p>
        </w:tc>
        <w:tc>
          <w:tcPr>
            <w:tcW w:w="8060" w:type="dxa"/>
            <w:vAlign w:val="bottom"/>
          </w:tcPr>
          <w:p>
            <w:pPr>
              <w:ind w:left="80"/>
              <w:spacing w:after="0"/>
              <w:rPr>
                <w:sz w:val="20"/>
                <w:szCs w:val="20"/>
                <w:color w:val="auto"/>
              </w:rPr>
            </w:pPr>
            <w:r>
              <w:rPr>
                <w:rFonts w:ascii="Arial" w:cs="Arial" w:eastAsia="Arial" w:hAnsi="Arial"/>
                <w:sz w:val="18"/>
                <w:szCs w:val="18"/>
                <w:color w:val="auto"/>
              </w:rPr>
              <w:t>Conflict with Trust Indenture Act</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13.10</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Counterparts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13.11</w:t>
            </w:r>
          </w:p>
        </w:tc>
        <w:tc>
          <w:tcPr>
            <w:tcW w:w="8060" w:type="dxa"/>
            <w:vAlign w:val="bottom"/>
          </w:tcPr>
          <w:p>
            <w:pPr>
              <w:ind w:left="80"/>
              <w:spacing w:after="0"/>
              <w:rPr>
                <w:sz w:val="20"/>
                <w:szCs w:val="20"/>
                <w:color w:val="auto"/>
              </w:rPr>
            </w:pPr>
            <w:r>
              <w:rPr>
                <w:rFonts w:ascii="Arial" w:cs="Arial" w:eastAsia="Arial" w:hAnsi="Arial"/>
                <w:sz w:val="18"/>
                <w:szCs w:val="18"/>
                <w:color w:val="auto"/>
              </w:rPr>
              <w:t>Separability</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13.12</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Compliance Certificates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13.13</w:t>
            </w:r>
          </w:p>
        </w:tc>
        <w:tc>
          <w:tcPr>
            <w:tcW w:w="8060" w:type="dxa"/>
            <w:vAlign w:val="bottom"/>
          </w:tcPr>
          <w:p>
            <w:pPr>
              <w:ind w:left="80"/>
              <w:spacing w:after="0"/>
              <w:rPr>
                <w:sz w:val="20"/>
                <w:szCs w:val="20"/>
                <w:color w:val="auto"/>
              </w:rPr>
            </w:pPr>
            <w:r>
              <w:rPr>
                <w:rFonts w:ascii="Arial" w:cs="Arial" w:eastAsia="Arial" w:hAnsi="Arial"/>
                <w:sz w:val="18"/>
                <w:szCs w:val="18"/>
                <w:color w:val="auto"/>
              </w:rPr>
              <w:t>Patriot Act</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Section 13.14</w:t>
            </w:r>
          </w:p>
        </w:tc>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Force Majeure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40"/>
              <w:spacing w:after="0"/>
              <w:rPr>
                <w:sz w:val="20"/>
                <w:szCs w:val="20"/>
                <w:color w:val="auto"/>
              </w:rPr>
            </w:pPr>
            <w:r>
              <w:rPr>
                <w:rFonts w:ascii="Arial" w:cs="Arial" w:eastAsia="Arial" w:hAnsi="Arial"/>
                <w:sz w:val="18"/>
                <w:szCs w:val="18"/>
                <w:color w:val="auto"/>
                <w:w w:val="96"/>
              </w:rPr>
              <w:t>Section 13.12</w:t>
            </w:r>
          </w:p>
        </w:tc>
        <w:tc>
          <w:tcPr>
            <w:tcW w:w="8060" w:type="dxa"/>
            <w:vAlign w:val="bottom"/>
          </w:tcPr>
          <w:p>
            <w:pPr>
              <w:ind w:left="80"/>
              <w:spacing w:after="0"/>
              <w:rPr>
                <w:sz w:val="20"/>
                <w:szCs w:val="20"/>
                <w:color w:val="auto"/>
              </w:rPr>
            </w:pPr>
            <w:r>
              <w:rPr>
                <w:rFonts w:ascii="Arial" w:cs="Arial" w:eastAsia="Arial" w:hAnsi="Arial"/>
                <w:sz w:val="18"/>
                <w:szCs w:val="18"/>
                <w:color w:val="auto"/>
              </w:rPr>
              <w:t>Table of Contents; Headings</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INDENTURE</w:t>
      </w:r>
    </w:p>
    <w:p>
      <w:pPr>
        <w:spacing w:after="0" w:line="198" w:lineRule="exact"/>
        <w:rPr>
          <w:sz w:val="20"/>
          <w:szCs w:val="20"/>
          <w:color w:val="auto"/>
        </w:rPr>
      </w:pPr>
    </w:p>
    <w:p>
      <w:pPr>
        <w:jc w:val="both"/>
        <w:ind w:firstLine="647"/>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 ], 20__, among</w:t>
      </w:r>
      <w:r>
        <w:rPr>
          <w:rFonts w:ascii="Arial" w:cs="Arial" w:eastAsia="Arial" w:hAnsi="Arial"/>
          <w:sz w:val="18"/>
          <w:szCs w:val="18"/>
          <w:b w:val="1"/>
          <w:bCs w:val="1"/>
          <w:color w:val="auto"/>
        </w:rPr>
        <w:t xml:space="preserve"> Destination XL Group, Inc.</w:t>
      </w:r>
      <w:r>
        <w:rPr>
          <w:rFonts w:ascii="Arial" w:cs="Arial" w:eastAsia="Arial" w:hAnsi="Arial"/>
          <w:sz w:val="18"/>
          <w:szCs w:val="18"/>
          <w:color w:val="auto"/>
        </w:rPr>
        <w:t>, a Delaware corporation (the “Company”), and [</w:t>
      </w:r>
      <w:r>
        <w:rPr>
          <w:rFonts w:ascii="Arial" w:cs="Arial" w:eastAsia="Arial" w:hAnsi="Arial"/>
          <w:sz w:val="18"/>
          <w:szCs w:val="18"/>
          <w:b w:val="1"/>
          <w:bCs w:val="1"/>
          <w:color w:val="auto"/>
        </w:rPr>
        <w:t>TRUSTEE</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(the “Trustee”):</w:t>
      </w:r>
    </w:p>
    <w:p>
      <w:pPr>
        <w:spacing w:after="0" w:line="81"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its lawful corporate purposes, the Company has duly authorized the execution and delivery of this Indenture to provide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63" w:lineRule="exact"/>
        <w:rPr>
          <w:sz w:val="20"/>
          <w:szCs w:val="20"/>
          <w:color w:val="auto"/>
        </w:rPr>
      </w:pPr>
    </w:p>
    <w:p>
      <w:pPr>
        <w:ind w:right="40" w:firstLine="64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10" w:lineRule="exact"/>
        <w:rPr>
          <w:sz w:val="20"/>
          <w:szCs w:val="20"/>
          <w:color w:val="auto"/>
        </w:rPr>
      </w:pPr>
    </w:p>
    <w:p>
      <w:pPr>
        <w:jc w:val="both"/>
        <w:ind w:firstLine="64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1.01 Definitions of Terms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97" w:lineRule="exact"/>
        <w:rPr>
          <w:sz w:val="20"/>
          <w:szCs w:val="20"/>
          <w:color w:val="auto"/>
        </w:rPr>
      </w:pPr>
    </w:p>
    <w:p>
      <w:pPr>
        <w:jc w:val="both"/>
        <w:ind w:right="20" w:firstLine="6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the Trustee or an authenticating agent with respect to all or any of the series of Securities appointed by the Trustee pursuant to Section 2.10.</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98" w:lineRule="exact"/>
        <w:rPr>
          <w:sz w:val="20"/>
          <w:szCs w:val="20"/>
          <w:color w:val="auto"/>
        </w:rPr>
      </w:pPr>
    </w:p>
    <w:p>
      <w:pPr>
        <w:jc w:val="both"/>
        <w:ind w:right="20" w:firstLine="6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firstLine="64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5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3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26" w:lineRule="exact"/>
        <w:rPr>
          <w:sz w:val="20"/>
          <w:szCs w:val="20"/>
          <w:color w:val="auto"/>
        </w:rPr>
      </w:pPr>
    </w:p>
    <w:p>
      <w:pPr>
        <w:jc w:val="both"/>
        <w:ind w:right="20" w:firstLine="64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means </w:t>
      </w:r>
      <w:r>
        <w:rPr>
          <w:rFonts w:ascii="Arial" w:cs="Arial" w:eastAsia="Arial" w:hAnsi="Arial"/>
          <w:sz w:val="18"/>
          <w:szCs w:val="18"/>
          <w:b w:val="1"/>
          <w:bCs w:val="1"/>
          <w:color w:val="auto"/>
        </w:rPr>
        <w:t>Destination XL Group, Inc.</w:t>
      </w:r>
      <w:r>
        <w:rPr>
          <w:rFonts w:ascii="Arial" w:cs="Arial" w:eastAsia="Arial" w:hAnsi="Arial"/>
          <w:sz w:val="18"/>
          <w:szCs w:val="18"/>
          <w:color w:val="auto"/>
        </w:rPr>
        <w:t xml:space="preserve">, a corporation duly organized and existing under the laws of the State of </w:t>
      </w:r>
      <w:r>
        <w:rPr>
          <w:rFonts w:ascii="Arial" w:cs="Arial" w:eastAsia="Arial" w:hAnsi="Arial"/>
          <w:sz w:val="18"/>
          <w:szCs w:val="18"/>
          <w:b w:val="1"/>
          <w:bCs w:val="1"/>
          <w:color w:val="auto"/>
        </w:rPr>
        <w:t>Delaware</w:t>
      </w:r>
      <w:r>
        <w:rPr>
          <w:rFonts w:ascii="Arial" w:cs="Arial" w:eastAsia="Arial" w:hAnsi="Arial"/>
          <w:sz w:val="18"/>
          <w:szCs w:val="18"/>
          <w:color w:val="auto"/>
        </w:rPr>
        <w:t>, and, subject to the provisions of Article Ten, shall also include its successors and assigns.</w:t>
      </w:r>
    </w:p>
    <w:p>
      <w:pPr>
        <w:spacing w:after="0" w:line="85" w:lineRule="exact"/>
        <w:rPr>
          <w:sz w:val="20"/>
          <w:szCs w:val="20"/>
          <w:color w:val="auto"/>
        </w:rPr>
      </w:pPr>
    </w:p>
    <w:p>
      <w:pPr>
        <w:ind w:right="20" w:firstLine="6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____________________________________.</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198"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8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89"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89" w:lineRule="exact"/>
        <w:rPr>
          <w:sz w:val="20"/>
          <w:szCs w:val="20"/>
          <w:color w:val="auto"/>
        </w:rPr>
      </w:pPr>
    </w:p>
    <w:p>
      <w:pPr>
        <w:jc w:val="both"/>
        <w:ind w:firstLine="647"/>
        <w:spacing w:after="0" w:line="25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given</w:t>
      </w:r>
      <w:r>
        <w:rPr>
          <w:rFonts w:ascii="Arial" w:cs="Arial" w:eastAsia="Arial" w:hAnsi="Arial"/>
          <w:sz w:val="18"/>
          <w:szCs w:val="18"/>
          <w:color w:val="auto"/>
        </w:rPr>
        <w:t>”, “</w:t>
      </w:r>
      <w:r>
        <w:rPr>
          <w:rFonts w:ascii="Arial" w:cs="Arial" w:eastAsia="Arial" w:hAnsi="Arial"/>
          <w:sz w:val="18"/>
          <w:szCs w:val="18"/>
          <w:b w:val="1"/>
          <w:bCs w:val="1"/>
          <w:i w:val="1"/>
          <w:iCs w:val="1"/>
          <w:color w:val="auto"/>
        </w:rPr>
        <w:t>mailed</w:t>
      </w:r>
      <w:r>
        <w:rPr>
          <w:rFonts w:ascii="Arial" w:cs="Arial" w:eastAsia="Arial" w:hAnsi="Arial"/>
          <w:sz w:val="18"/>
          <w:szCs w:val="18"/>
          <w:color w:val="auto"/>
        </w:rPr>
        <w:t>”, “</w:t>
      </w:r>
      <w:r>
        <w:rPr>
          <w:rFonts w:ascii="Arial" w:cs="Arial" w:eastAsia="Arial" w:hAnsi="Arial"/>
          <w:sz w:val="18"/>
          <w:szCs w:val="18"/>
          <w:b w:val="1"/>
          <w:bCs w:val="1"/>
          <w:i w:val="1"/>
          <w:iCs w:val="1"/>
          <w:color w:val="auto"/>
        </w:rPr>
        <w:t>notify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sent</w:t>
      </w:r>
      <w:r>
        <w:rPr>
          <w:rFonts w:ascii="Arial" w:cs="Arial" w:eastAsia="Arial" w:hAnsi="Arial"/>
          <w:sz w:val="18"/>
          <w:szCs w:val="18"/>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30"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96" w:lineRule="exact"/>
        <w:rPr>
          <w:sz w:val="20"/>
          <w:szCs w:val="20"/>
          <w:color w:val="auto"/>
        </w:rPr>
      </w:pPr>
    </w:p>
    <w:p>
      <w:pPr>
        <w:jc w:val="both"/>
        <w:ind w:firstLine="64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8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3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3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0"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30"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84" w:lineRule="exact"/>
        <w:rPr>
          <w:sz w:val="20"/>
          <w:szCs w:val="20"/>
          <w:color w:val="auto"/>
        </w:rPr>
      </w:pPr>
    </w:p>
    <w:p>
      <w:pPr>
        <w:jc w:val="both"/>
        <w:ind w:firstLine="64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5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0"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63" w:lineRule="exact"/>
        <w:rPr>
          <w:sz w:val="20"/>
          <w:szCs w:val="20"/>
          <w:color w:val="auto"/>
        </w:rPr>
      </w:pPr>
    </w:p>
    <w:p>
      <w:pPr>
        <w:ind w:right="20" w:firstLine="6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98"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w:t>
      </w:r>
      <w:r>
        <w:rPr>
          <w:rFonts w:ascii="Arial" w:cs="Arial" w:eastAsia="Arial" w:hAnsi="Arial"/>
          <w:sz w:val="18"/>
          <w:szCs w:val="18"/>
          <w:color w:val="auto"/>
        </w:rPr>
        <w:t>”, “</w:t>
      </w:r>
      <w:r>
        <w:rPr>
          <w:rFonts w:ascii="Arial" w:cs="Arial" w:eastAsia="Arial" w:hAnsi="Arial"/>
          <w:sz w:val="18"/>
          <w:szCs w:val="18"/>
          <w:b w:val="1"/>
          <w:bCs w:val="1"/>
          <w:i w:val="1"/>
          <w:i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198"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means _________________________, and, subject to the provisions of Article Seven, shall also include its successors and assigns, and,</w:t>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198"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b w:val="1"/>
          <w:bCs w:val="1"/>
          <w:i w:val="1"/>
          <w:iCs w:val="1"/>
          <w:color w:val="auto"/>
        </w:rPr>
        <w:t xml:space="preserve">“U.S.A. Patriot Act” </w:t>
      </w:r>
      <w:r>
        <w:rPr>
          <w:rFonts w:ascii="Arial" w:cs="Arial" w:eastAsia="Arial" w:hAnsi="Arial"/>
          <w:sz w:val="18"/>
          <w:szCs w:val="18"/>
          <w:color w:val="auto"/>
        </w:rPr>
        <w:t>means the Uniting and Strengthening America by Providing Appropriate Tools Required to Intercept and Obstruct Terrorism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of 2001, Pub. L. 107-56, as amended and signed into law October 26, 2001.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98"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ISSUE, DESCRIPTION, TERMS, EXECUTION, REGISTRATION AND EXCHANGE OF SECURITIES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2.01 Designation and Terms of Securities</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58"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aggregate principal amount of Securities that may be authenticated and delivered under this Indenture is</w:t>
      </w:r>
      <w:r>
        <w:rPr>
          <w:rFonts w:ascii="Arial" w:cs="Arial" w:eastAsia="Arial" w:hAnsi="Arial"/>
          <w:sz w:val="18"/>
          <w:szCs w:val="18"/>
          <w:b w:val="1"/>
          <w:bCs w:val="1"/>
          <w:color w:val="auto"/>
        </w:rPr>
        <w:t xml:space="preserve"> </w:t>
      </w:r>
      <w:r>
        <w:rPr>
          <w:rFonts w:ascii="Arial" w:cs="Arial" w:eastAsia="Arial" w:hAnsi="Arial"/>
          <w:sz w:val="18"/>
          <w:szCs w:val="18"/>
          <w:color w:val="auto"/>
        </w:rPr>
        <w:t>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93" w:lineRule="exact"/>
        <w:rPr>
          <w:sz w:val="20"/>
          <w:szCs w:val="20"/>
          <w:color w:val="auto"/>
        </w:rPr>
      </w:pPr>
    </w:p>
    <w:p>
      <w:pPr>
        <w:ind w:left="2200" w:hanging="248"/>
        <w:spacing w:after="0"/>
        <w:tabs>
          <w:tab w:leader="none" w:pos="220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the title of the Securities of the series (which shall distinguish the Securities of that series from all other Securities);</w:t>
      </w:r>
    </w:p>
    <w:p>
      <w:pPr>
        <w:spacing w:after="0" w:line="219" w:lineRule="exact"/>
        <w:rPr>
          <w:sz w:val="20"/>
          <w:szCs w:val="20"/>
          <w:color w:val="auto"/>
        </w:rPr>
      </w:pPr>
    </w:p>
    <w:p>
      <w:pPr>
        <w:jc w:val="both"/>
        <w:ind w:firstLine="1951"/>
        <w:spacing w:after="0" w:line="266" w:lineRule="auto"/>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any limit upon the aggregate principal amount of the Securities of that series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authenticated and delivered under this Indenture (except for Securities authenticated and delivered upon registration of transfer of, or in exchange for, or in lieu of, other Securities of that series);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left="2200" w:hanging="248"/>
        <w:spacing w:after="0"/>
        <w:tabs>
          <w:tab w:leader="none" w:pos="22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maturity date or dates on which the principal of the Securities of the series is payable;</w:t>
      </w:r>
    </w:p>
    <w:p>
      <w:pPr>
        <w:spacing w:after="0" w:line="211" w:lineRule="exact"/>
        <w:rPr>
          <w:rFonts w:ascii="Arial" w:cs="Arial" w:eastAsia="Arial" w:hAnsi="Arial"/>
          <w:sz w:val="18"/>
          <w:szCs w:val="18"/>
          <w:b w:val="1"/>
          <w:bCs w:val="1"/>
          <w:color w:val="auto"/>
        </w:rPr>
      </w:pPr>
    </w:p>
    <w:p>
      <w:pPr>
        <w:ind w:left="2200" w:hanging="248"/>
        <w:spacing w:after="0"/>
        <w:tabs>
          <w:tab w:leader="none" w:pos="22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11" w:lineRule="exact"/>
        <w:rPr>
          <w:rFonts w:ascii="Arial" w:cs="Arial" w:eastAsia="Arial" w:hAnsi="Arial"/>
          <w:sz w:val="18"/>
          <w:szCs w:val="18"/>
          <w:b w:val="1"/>
          <w:bCs w:val="1"/>
          <w:color w:val="auto"/>
        </w:rPr>
      </w:pPr>
    </w:p>
    <w:p>
      <w:pPr>
        <w:ind w:left="2200" w:hanging="248"/>
        <w:spacing w:after="0"/>
        <w:tabs>
          <w:tab w:leader="none" w:pos="22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applicability of any guarantees;</w:t>
      </w:r>
    </w:p>
    <w:p>
      <w:pPr>
        <w:spacing w:after="0" w:line="211" w:lineRule="exact"/>
        <w:rPr>
          <w:rFonts w:ascii="Arial" w:cs="Arial" w:eastAsia="Arial" w:hAnsi="Arial"/>
          <w:sz w:val="18"/>
          <w:szCs w:val="18"/>
          <w:b w:val="1"/>
          <w:bCs w:val="1"/>
          <w:color w:val="auto"/>
        </w:rPr>
      </w:pPr>
    </w:p>
    <w:p>
      <w:pPr>
        <w:ind w:left="2200" w:hanging="248"/>
        <w:spacing w:after="0"/>
        <w:tabs>
          <w:tab w:leader="none" w:pos="22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whether or not the Securities will be secured or unsecured, and the terms of any secured debt;</w:t>
      </w:r>
    </w:p>
    <w:p>
      <w:pPr>
        <w:spacing w:after="0" w:line="211" w:lineRule="exact"/>
        <w:rPr>
          <w:rFonts w:ascii="Arial" w:cs="Arial" w:eastAsia="Arial" w:hAnsi="Arial"/>
          <w:sz w:val="18"/>
          <w:szCs w:val="18"/>
          <w:b w:val="1"/>
          <w:bCs w:val="1"/>
          <w:color w:val="auto"/>
        </w:rPr>
      </w:pPr>
    </w:p>
    <w:p>
      <w:pPr>
        <w:ind w:left="2200" w:hanging="248"/>
        <w:spacing w:after="0"/>
        <w:tabs>
          <w:tab w:leader="none" w:pos="22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whether the Securities rank as senior debt, senior subordinated debt, subordinated debt or any combination thereof, and the</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terms of any subordination;</w:t>
      </w:r>
    </w:p>
    <w:p>
      <w:pPr>
        <w:spacing w:after="0" w:line="181" w:lineRule="exact"/>
        <w:rPr>
          <w:sz w:val="20"/>
          <w:szCs w:val="20"/>
          <w:color w:val="auto"/>
        </w:rPr>
      </w:pPr>
    </w:p>
    <w:p>
      <w:pPr>
        <w:jc w:val="both"/>
        <w:ind w:firstLine="1951"/>
        <w:spacing w:after="0" w:line="261" w:lineRule="auto"/>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if the price (expressed as a percentage of the aggregate principal amount thereof) at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26" w:lineRule="exact"/>
        <w:rPr>
          <w:sz w:val="20"/>
          <w:szCs w:val="20"/>
          <w:color w:val="auto"/>
        </w:rPr>
      </w:pPr>
    </w:p>
    <w:p>
      <w:pPr>
        <w:ind w:right="240" w:firstLine="1951"/>
        <w:spacing w:after="0" w:line="266" w:lineRule="auto"/>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the interest rate or rates, which may be fixed or variable, or the method for determining the 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date interest will begin to accrue, the dates interest will be payable and the regular record dates for interest payment dates or the method for determining such dates;</w:t>
      </w:r>
    </w:p>
    <w:p>
      <w:pPr>
        <w:spacing w:after="0" w:line="85" w:lineRule="exact"/>
        <w:rPr>
          <w:sz w:val="20"/>
          <w:szCs w:val="20"/>
          <w:color w:val="auto"/>
        </w:rPr>
      </w:pPr>
    </w:p>
    <w:p>
      <w:pPr>
        <w:ind w:left="2280" w:hanging="328"/>
        <w:spacing w:after="0"/>
        <w:tabs>
          <w:tab w:leader="none" w:pos="22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the Company’s right, if any, to defer the payment of interest and the maximum length of any such deferral period;</w:t>
      </w:r>
    </w:p>
    <w:p>
      <w:pPr>
        <w:spacing w:after="0" w:line="219" w:lineRule="exact"/>
        <w:rPr>
          <w:sz w:val="20"/>
          <w:szCs w:val="20"/>
          <w:color w:val="auto"/>
        </w:rPr>
      </w:pPr>
    </w:p>
    <w:p>
      <w:pPr>
        <w:jc w:val="both"/>
        <w:ind w:firstLine="1951"/>
        <w:spacing w:after="0" w:line="26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if applicable, the date or dates after which, or the period or periods during which, and the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or prices at which, the Company may at its option, redeem the series of Securities pursuant to any optional or provisional redemption provisions and the terms of those redemption provisions;</w:t>
      </w:r>
    </w:p>
    <w:p>
      <w:pPr>
        <w:spacing w:after="0" w:line="122" w:lineRule="exact"/>
        <w:rPr>
          <w:sz w:val="20"/>
          <w:szCs w:val="20"/>
          <w:color w:val="auto"/>
        </w:rPr>
      </w:pPr>
    </w:p>
    <w:p>
      <w:pPr>
        <w:jc w:val="both"/>
        <w:ind w:firstLine="1951"/>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date or dates, if any, on which, and the price or prices at which the Company is obligated,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any mandatory sinking fund or analogous fund provisions or otherwise, to redeem, or at the Securityholder’s option to purchase, the series of Securities and the currency or currency unit in which the Securities are payable;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(13)</w:t>
            </w:r>
          </w:p>
        </w:tc>
        <w:tc>
          <w:tcPr>
            <w:tcW w:w="7940" w:type="dxa"/>
            <w:vAlign w:val="bottom"/>
          </w:tcPr>
          <w:p>
            <w:pPr>
              <w:ind w:left="1040"/>
              <w:spacing w:after="0"/>
              <w:rPr>
                <w:sz w:val="20"/>
                <w:szCs w:val="20"/>
                <w:color w:val="auto"/>
              </w:rPr>
            </w:pPr>
            <w:r>
              <w:rPr>
                <w:rFonts w:ascii="Arial" w:cs="Arial" w:eastAsia="Arial" w:hAnsi="Arial"/>
                <w:sz w:val="18"/>
                <w:szCs w:val="18"/>
                <w:color w:val="auto"/>
              </w:rPr>
              <w:t>the denominations in which the Securities of the series shall be issuable, if other than</w:t>
            </w:r>
          </w:p>
        </w:tc>
      </w:tr>
      <w:tr>
        <w:trPr>
          <w:trHeight w:val="230"/>
        </w:trPr>
        <w:tc>
          <w:tcPr>
            <w:tcW w:w="11220" w:type="dxa"/>
            <w:vAlign w:val="bottom"/>
            <w:gridSpan w:val="2"/>
          </w:tcPr>
          <w:p>
            <w:pPr>
              <w:spacing w:after="0"/>
              <w:rPr>
                <w:sz w:val="20"/>
                <w:szCs w:val="20"/>
                <w:color w:val="auto"/>
              </w:rPr>
            </w:pPr>
            <w:r>
              <w:rPr>
                <w:rFonts w:ascii="Arial" w:cs="Arial" w:eastAsia="Arial" w:hAnsi="Arial"/>
                <w:sz w:val="18"/>
                <w:szCs w:val="18"/>
                <w:color w:val="auto"/>
              </w:rPr>
              <w:t>denominations of one thousand U.S. dollars ($1,000) or any integral multiple thereof;</w:t>
            </w:r>
          </w:p>
        </w:tc>
      </w:tr>
      <w:tr>
        <w:trPr>
          <w:trHeight w:val="351"/>
        </w:trPr>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(14)</w:t>
            </w:r>
          </w:p>
        </w:tc>
        <w:tc>
          <w:tcPr>
            <w:tcW w:w="7940" w:type="dxa"/>
            <w:vAlign w:val="bottom"/>
          </w:tcPr>
          <w:p>
            <w:pPr>
              <w:ind w:left="1040"/>
              <w:spacing w:after="0"/>
              <w:rPr>
                <w:sz w:val="20"/>
                <w:szCs w:val="20"/>
                <w:color w:val="auto"/>
              </w:rPr>
            </w:pPr>
            <w:r>
              <w:rPr>
                <w:rFonts w:ascii="Arial" w:cs="Arial" w:eastAsia="Arial" w:hAnsi="Arial"/>
                <w:sz w:val="18"/>
                <w:szCs w:val="18"/>
                <w:color w:val="auto"/>
                <w:w w:val="93"/>
              </w:rPr>
              <w:t>any and all terms, if applicable, relating to any auction or remarketing of the Securities of that</w:t>
            </w:r>
          </w:p>
        </w:tc>
      </w:tr>
    </w:tbl>
    <w:p>
      <w:pPr>
        <w:jc w:val="both"/>
        <w:spacing w:after="0" w:line="260" w:lineRule="auto"/>
        <w:rPr>
          <w:sz w:val="20"/>
          <w:szCs w:val="20"/>
          <w:color w:val="auto"/>
        </w:rPr>
      </w:pPr>
      <w:r>
        <w:rPr>
          <w:rFonts w:ascii="Arial" w:cs="Arial" w:eastAsia="Arial" w:hAnsi="Arial"/>
          <w:sz w:val="18"/>
          <w:szCs w:val="18"/>
          <w:color w:val="auto"/>
        </w:rPr>
        <w:t>series and any security for the obligations of the Company with respect to such Securities and any other terms which may be advisable in connection with the marketing of Securities of that series;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ind w:firstLine="1951"/>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whether the Securities of the series shall be issued in whole or in part in the form of a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or Securities; the terms and conditions, if any, upon which such Global Security or Securities may be exchanged in whole or in part for other individual Securities; and the Depositary for such Global Security or Securities;</w:t>
      </w:r>
    </w:p>
    <w:p>
      <w:pPr>
        <w:spacing w:after="0" w:line="122" w:lineRule="exact"/>
        <w:rPr>
          <w:sz w:val="20"/>
          <w:szCs w:val="20"/>
          <w:color w:val="auto"/>
        </w:rPr>
      </w:pPr>
    </w:p>
    <w:p>
      <w:pPr>
        <w:jc w:val="both"/>
        <w:ind w:firstLine="1951"/>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if applicable, the provisions relating to conversion or exchange of any Securities of the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(17)</w:t>
            </w:r>
          </w:p>
        </w:tc>
        <w:tc>
          <w:tcPr>
            <w:tcW w:w="7920" w:type="dxa"/>
            <w:vAlign w:val="bottom"/>
          </w:tcPr>
          <w:p>
            <w:pPr>
              <w:ind w:left="1040"/>
              <w:spacing w:after="0"/>
              <w:rPr>
                <w:sz w:val="20"/>
                <w:szCs w:val="20"/>
                <w:color w:val="auto"/>
              </w:rPr>
            </w:pPr>
            <w:r>
              <w:rPr>
                <w:rFonts w:ascii="Arial" w:cs="Arial" w:eastAsia="Arial" w:hAnsi="Arial"/>
                <w:sz w:val="18"/>
                <w:szCs w:val="18"/>
                <w:color w:val="auto"/>
                <w:w w:val="93"/>
              </w:rPr>
              <w:t>if other than the full principal amount thereof, the portion of the principal amount of Securities</w:t>
            </w:r>
          </w:p>
        </w:tc>
      </w:tr>
      <w:tr>
        <w:trPr>
          <w:trHeight w:val="230"/>
        </w:trPr>
        <w:tc>
          <w:tcPr>
            <w:tcW w:w="11200" w:type="dxa"/>
            <w:vAlign w:val="bottom"/>
            <w:gridSpan w:val="2"/>
          </w:tcPr>
          <w:p>
            <w:pPr>
              <w:spacing w:after="0"/>
              <w:rPr>
                <w:sz w:val="20"/>
                <w:szCs w:val="20"/>
                <w:color w:val="auto"/>
              </w:rPr>
            </w:pPr>
            <w:r>
              <w:rPr>
                <w:rFonts w:ascii="Arial" w:cs="Arial" w:eastAsia="Arial" w:hAnsi="Arial"/>
                <w:sz w:val="18"/>
                <w:szCs w:val="18"/>
                <w:color w:val="auto"/>
              </w:rPr>
              <w:t>of the series which shall be payable upon declaration of acceleration of the maturity thereof pursuant to Section 6.01;</w:t>
            </w:r>
          </w:p>
        </w:tc>
      </w:tr>
      <w:tr>
        <w:trPr>
          <w:trHeight w:val="337"/>
        </w:trPr>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(18)</w:t>
            </w:r>
          </w:p>
        </w:tc>
        <w:tc>
          <w:tcPr>
            <w:tcW w:w="7920" w:type="dxa"/>
            <w:vAlign w:val="bottom"/>
          </w:tcPr>
          <w:p>
            <w:pPr>
              <w:ind w:left="1040"/>
              <w:spacing w:after="0"/>
              <w:rPr>
                <w:sz w:val="20"/>
                <w:szCs w:val="20"/>
                <w:color w:val="auto"/>
              </w:rPr>
            </w:pPr>
            <w:r>
              <w:rPr>
                <w:rFonts w:ascii="Arial" w:cs="Arial" w:eastAsia="Arial" w:hAnsi="Arial"/>
                <w:sz w:val="18"/>
                <w:szCs w:val="18"/>
                <w:color w:val="auto"/>
                <w:w w:val="94"/>
              </w:rPr>
              <w:t>additions to or changes in the covenants applicable to the series of Securities being issued,</w:t>
            </w:r>
          </w:p>
        </w:tc>
      </w:tr>
      <w:tr>
        <w:trPr>
          <w:trHeight w:val="230"/>
        </w:trPr>
        <w:tc>
          <w:tcPr>
            <w:tcW w:w="11200" w:type="dxa"/>
            <w:vAlign w:val="bottom"/>
            <w:gridSpan w:val="2"/>
          </w:tcPr>
          <w:p>
            <w:pPr>
              <w:spacing w:after="0"/>
              <w:rPr>
                <w:sz w:val="20"/>
                <w:szCs w:val="20"/>
                <w:color w:val="auto"/>
              </w:rPr>
            </w:pPr>
            <w:r>
              <w:rPr>
                <w:rFonts w:ascii="Arial" w:cs="Arial" w:eastAsia="Arial" w:hAnsi="Arial"/>
                <w:sz w:val="18"/>
                <w:szCs w:val="18"/>
                <w:color w:val="auto"/>
              </w:rPr>
              <w:t>including, among others, the consolidation, merger or sale covenant;</w:t>
            </w:r>
          </w:p>
        </w:tc>
      </w:tr>
      <w:tr>
        <w:trPr>
          <w:trHeight w:val="351"/>
        </w:trPr>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(19)</w:t>
            </w:r>
          </w:p>
        </w:tc>
        <w:tc>
          <w:tcPr>
            <w:tcW w:w="7920" w:type="dxa"/>
            <w:vAlign w:val="bottom"/>
          </w:tcPr>
          <w:p>
            <w:pPr>
              <w:ind w:left="1020"/>
              <w:spacing w:after="0"/>
              <w:rPr>
                <w:sz w:val="20"/>
                <w:szCs w:val="20"/>
                <w:color w:val="auto"/>
              </w:rPr>
            </w:pPr>
            <w:r>
              <w:rPr>
                <w:rFonts w:ascii="Arial" w:cs="Arial" w:eastAsia="Arial" w:hAnsi="Arial"/>
                <w:sz w:val="18"/>
                <w:szCs w:val="18"/>
                <w:color w:val="auto"/>
                <w:w w:val="89"/>
              </w:rPr>
              <w:t>additions to or changes in the Events of Default with respect to the Securities and any change in</w:t>
            </w:r>
          </w:p>
        </w:tc>
      </w:tr>
    </w:tbl>
    <w:p>
      <w:pPr>
        <w:ind w:right="320"/>
        <w:spacing w:after="0" w:line="260" w:lineRule="auto"/>
        <w:rPr>
          <w:sz w:val="20"/>
          <w:szCs w:val="20"/>
          <w:color w:val="auto"/>
        </w:rPr>
      </w:pPr>
      <w:r>
        <w:rPr>
          <w:rFonts w:ascii="Arial" w:cs="Arial" w:eastAsia="Arial" w:hAnsi="Arial"/>
          <w:sz w:val="18"/>
          <w:szCs w:val="18"/>
          <w:color w:val="auto"/>
        </w:rPr>
        <w:t>the right of the Trustee or the Securityholders to declare the principal, premium, if any, and interest, if any, with respect to such Securities to be due and payable;</w:t>
      </w:r>
    </w:p>
    <w:p>
      <w:pPr>
        <w:spacing w:after="0" w:line="91" w:lineRule="exact"/>
        <w:rPr>
          <w:sz w:val="20"/>
          <w:szCs w:val="20"/>
          <w:color w:val="auto"/>
        </w:rPr>
      </w:pPr>
    </w:p>
    <w:p>
      <w:pPr>
        <w:ind w:left="2280" w:hanging="328"/>
        <w:spacing w:after="0"/>
        <w:tabs>
          <w:tab w:leader="none" w:pos="22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11" w:lineRule="exact"/>
        <w:rPr>
          <w:rFonts w:ascii="Arial" w:cs="Arial" w:eastAsia="Arial" w:hAnsi="Arial"/>
          <w:sz w:val="18"/>
          <w:szCs w:val="18"/>
          <w:b w:val="1"/>
          <w:bCs w:val="1"/>
          <w:color w:val="auto"/>
        </w:rPr>
      </w:pPr>
    </w:p>
    <w:p>
      <w:pPr>
        <w:ind w:left="2280" w:hanging="328"/>
        <w:spacing w:after="0"/>
        <w:tabs>
          <w:tab w:leader="none" w:pos="22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satisfaction and discharge of this Indenture;</w:t>
      </w:r>
    </w:p>
    <w:p>
      <w:pPr>
        <w:spacing w:after="0" w:line="208" w:lineRule="exact"/>
        <w:rPr>
          <w:sz w:val="20"/>
          <w:szCs w:val="20"/>
          <w:color w:val="auto"/>
        </w:rPr>
      </w:pPr>
    </w:p>
    <w:p>
      <w:pPr>
        <w:ind w:right="40" w:firstLine="1951"/>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additions to or changes in the provisions relating to the modification of this Indenture both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without the consent of Securityholders of Securities issued under this Indenture;</w:t>
      </w:r>
    </w:p>
    <w:p>
      <w:pPr>
        <w:spacing w:after="0" w:line="85" w:lineRule="exact"/>
        <w:rPr>
          <w:sz w:val="20"/>
          <w:szCs w:val="20"/>
          <w:color w:val="auto"/>
        </w:rPr>
      </w:pPr>
    </w:p>
    <w:p>
      <w:pPr>
        <w:ind w:left="2320" w:hanging="368"/>
        <w:spacing w:after="0"/>
        <w:tabs>
          <w:tab w:leader="none" w:pos="232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the currency of payment of Securities if other than U.S. dollars and the manner of determining the equivalent amount 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U.S. dollars;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(24)</w:t>
            </w:r>
          </w:p>
        </w:tc>
        <w:tc>
          <w:tcPr>
            <w:tcW w:w="7840" w:type="dxa"/>
            <w:vAlign w:val="bottom"/>
          </w:tcPr>
          <w:p>
            <w:pPr>
              <w:ind w:left="1040"/>
              <w:spacing w:after="0"/>
              <w:rPr>
                <w:sz w:val="20"/>
                <w:szCs w:val="20"/>
                <w:color w:val="auto"/>
              </w:rPr>
            </w:pPr>
            <w:r>
              <w:rPr>
                <w:rFonts w:ascii="Arial" w:cs="Arial" w:eastAsia="Arial" w:hAnsi="Arial"/>
                <w:sz w:val="18"/>
                <w:szCs w:val="18"/>
                <w:color w:val="auto"/>
                <w:w w:val="97"/>
              </w:rPr>
              <w:t>whether interest will be payable in cash or additional Securities at the Company’s or the</w:t>
            </w:r>
          </w:p>
        </w:tc>
      </w:tr>
      <w:tr>
        <w:trPr>
          <w:trHeight w:val="230"/>
        </w:trPr>
        <w:tc>
          <w:tcPr>
            <w:tcW w:w="11120" w:type="dxa"/>
            <w:vAlign w:val="bottom"/>
            <w:gridSpan w:val="2"/>
          </w:tcPr>
          <w:p>
            <w:pPr>
              <w:spacing w:after="0"/>
              <w:rPr>
                <w:sz w:val="20"/>
                <w:szCs w:val="20"/>
                <w:color w:val="auto"/>
              </w:rPr>
            </w:pPr>
            <w:r>
              <w:rPr>
                <w:rFonts w:ascii="Arial" w:cs="Arial" w:eastAsia="Arial" w:hAnsi="Arial"/>
                <w:sz w:val="18"/>
                <w:szCs w:val="18"/>
                <w:color w:val="auto"/>
              </w:rPr>
              <w:t>Securityholders’ option and the terms and conditions upon which the election may be made;</w:t>
            </w:r>
          </w:p>
        </w:tc>
      </w:tr>
      <w:tr>
        <w:trPr>
          <w:trHeight w:val="351"/>
        </w:trPr>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(25)</w:t>
            </w:r>
          </w:p>
        </w:tc>
        <w:tc>
          <w:tcPr>
            <w:tcW w:w="7840" w:type="dxa"/>
            <w:vAlign w:val="bottom"/>
          </w:tcPr>
          <w:p>
            <w:pPr>
              <w:ind w:left="1040"/>
              <w:spacing w:after="0"/>
              <w:rPr>
                <w:sz w:val="20"/>
                <w:szCs w:val="20"/>
                <w:color w:val="auto"/>
              </w:rPr>
            </w:pPr>
            <w:r>
              <w:rPr>
                <w:rFonts w:ascii="Arial" w:cs="Arial" w:eastAsia="Arial" w:hAnsi="Arial"/>
                <w:sz w:val="18"/>
                <w:szCs w:val="18"/>
                <w:color w:val="auto"/>
                <w:w w:val="90"/>
              </w:rPr>
              <w:t>the terms and conditions, if any, upon which the Company shall pay amounts in addition to the</w:t>
            </w:r>
          </w:p>
        </w:tc>
      </w:tr>
    </w:tbl>
    <w:p>
      <w:pPr>
        <w:ind w:right="260"/>
        <w:spacing w:after="0" w:line="260" w:lineRule="auto"/>
        <w:rPr>
          <w:sz w:val="20"/>
          <w:szCs w:val="20"/>
          <w:color w:val="auto"/>
        </w:rPr>
      </w:pPr>
      <w:r>
        <w:rPr>
          <w:rFonts w:ascii="Arial" w:cs="Arial" w:eastAsia="Arial" w:hAnsi="Arial"/>
          <w:sz w:val="18"/>
          <w:szCs w:val="18"/>
          <w:color w:val="auto"/>
        </w:rPr>
        <w:t>stated interest, premium, if any and principal amounts of the Securities of the series to any Securityholder that is not a “United States person” for federal tax purposes;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2280" w:hanging="328"/>
        <w:spacing w:after="0"/>
        <w:tabs>
          <w:tab w:leader="none" w:pos="22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any restrictions on transfer, sale or assignment of the Securities of the series; and</w:t>
      </w:r>
    </w:p>
    <w:p>
      <w:pPr>
        <w:spacing w:after="0" w:line="208" w:lineRule="exact"/>
        <w:rPr>
          <w:sz w:val="20"/>
          <w:szCs w:val="20"/>
          <w:color w:val="auto"/>
        </w:rPr>
      </w:pPr>
    </w:p>
    <w:p>
      <w:pPr>
        <w:ind w:right="140" w:firstLine="1951"/>
        <w:spacing w:after="0" w:line="266"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any other specific terms, preferences, rights or limitations of, or restrictions on,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additions or changes in the provisions of this Indenture, and any terms that may be required by us or advisable under applicable laws or regulations.</w:t>
      </w:r>
    </w:p>
    <w:p>
      <w:pPr>
        <w:spacing w:after="0" w:line="8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8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2.02 Form of Securities and Trustee’s Certificate</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2.03 Denominations: Provisions for Payment</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ind w:firstLine="647"/>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95"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jc w:val="both"/>
        <w:ind w:firstLine="1951"/>
        <w:spacing w:after="0" w:line="287" w:lineRule="auto"/>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The Company may make payment of any Defaulted Interest on Securities to the Persons in whose</w:t>
      </w:r>
      <w:r>
        <w:rPr>
          <w:rFonts w:ascii="Arial" w:cs="Arial" w:eastAsia="Arial" w:hAnsi="Arial"/>
          <w:sz w:val="16"/>
          <w:szCs w:val="16"/>
          <w:b w:val="1"/>
          <w:bCs w:val="1"/>
          <w:color w:val="auto"/>
        </w:rPr>
        <w:t xml:space="preserve"> </w:t>
      </w:r>
      <w:r>
        <w:rPr>
          <w:rFonts w:ascii="Arial" w:cs="Arial" w:eastAsia="Arial" w:hAnsi="Arial"/>
          <w:sz w:val="16"/>
          <w:szCs w:val="16"/>
          <w:color w:val="auto"/>
        </w:rPr>
        <w:t>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83" w:lineRule="exact"/>
        <w:rPr>
          <w:sz w:val="20"/>
          <w:szCs w:val="20"/>
          <w:color w:val="auto"/>
        </w:rPr>
      </w:pPr>
    </w:p>
    <w:p>
      <w:pPr>
        <w:jc w:val="both"/>
        <w:ind w:firstLine="1951"/>
        <w:spacing w:after="0" w:line="261" w:lineRule="auto"/>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The Company may make payment of any Defaulted Interest on any Securities in any other lawful</w:t>
      </w:r>
      <w:r>
        <w:rPr>
          <w:rFonts w:ascii="Arial" w:cs="Arial" w:eastAsia="Arial" w:hAnsi="Arial"/>
          <w:sz w:val="18"/>
          <w:szCs w:val="18"/>
          <w:b w:val="1"/>
          <w:bCs w:val="1"/>
          <w:color w:val="auto"/>
        </w:rPr>
        <w:t xml:space="preserve"> </w:t>
      </w:r>
      <w:r>
        <w:rPr>
          <w:rFonts w:ascii="Arial" w:cs="Arial" w:eastAsia="Arial" w:hAnsi="Arial"/>
          <w:sz w:val="18"/>
          <w:szCs w:val="18"/>
          <w:color w:val="auto"/>
        </w:rPr>
        <w:t>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jc w:val="both"/>
        <w:ind w:firstLine="647"/>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38"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2.04 Execution and Authentications</w:t>
      </w:r>
      <w:r>
        <w:rPr>
          <w:rFonts w:ascii="Arial" w:cs="Arial" w:eastAsia="Arial" w:hAnsi="Arial"/>
          <w:sz w:val="18"/>
          <w:szCs w:val="18"/>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33"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80"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33"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color w:val="auto"/>
        </w:rPr>
        <w:t>Section 2.05 Registration of Transfer and Exchange</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98"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Securities of any series may be exchanged upon presentation thereof at the office or agency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73" w:lineRule="exact"/>
        <w:rPr>
          <w:sz w:val="20"/>
          <w:szCs w:val="20"/>
          <w:color w:val="auto"/>
        </w:rPr>
      </w:pPr>
    </w:p>
    <w:p>
      <w:pPr>
        <w:jc w:val="both"/>
        <w:ind w:firstLine="1303"/>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Company shall keep, or cause to be kept, at its office or agency designated for such purpose a register or</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3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Trustee as Security Registrar for each series of Securities.</w:t>
      </w:r>
    </w:p>
    <w:p>
      <w:pPr>
        <w:spacing w:after="0" w:line="198"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26" w:lineRule="exact"/>
        <w:rPr>
          <w:sz w:val="20"/>
          <w:szCs w:val="20"/>
          <w:color w:val="auto"/>
        </w:rPr>
      </w:pPr>
    </w:p>
    <w:p>
      <w:pPr>
        <w:jc w:val="both"/>
        <w:ind w:firstLine="1303"/>
        <w:spacing w:after="0" w:line="277"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Except as provided pursuant to Section 2.01 pursuant to a Board Resolution, and set forth in an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87" w:lineRule="exact"/>
        <w:rPr>
          <w:sz w:val="20"/>
          <w:szCs w:val="20"/>
          <w:color w:val="auto"/>
        </w:rPr>
      </w:pPr>
    </w:p>
    <w:p>
      <w:pPr>
        <w:jc w:val="both"/>
        <w:ind w:firstLine="1303"/>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The Company and the Security Registrar shall not be required (i) to issue, exchange or register the transfer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647"/>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2.06 Temporary Securities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2.07 Mutilated, Destroyed, Lost or Stolen Securities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jc w:val="both"/>
        <w:ind w:firstLine="647"/>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34"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2.08 Cancellation</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2.09 Benefits of Indenture</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b w:val="1"/>
          <w:bCs w:val="1"/>
          <w:color w:val="auto"/>
        </w:rPr>
        <w:t>Section 2.10 Authenticating Agent</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85"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2.11 Global Securities</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73"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If the Company shall establish pursuant to Section 2.01 that the Securities of a particular series are to be issued as a</w:t>
      </w:r>
      <w:r>
        <w:rPr>
          <w:rFonts w:ascii="Arial" w:cs="Arial" w:eastAsia="Arial" w:hAnsi="Arial"/>
          <w:sz w:val="17"/>
          <w:szCs w:val="17"/>
          <w:b w:val="1"/>
          <w:bCs w:val="1"/>
          <w:color w:val="auto"/>
        </w:rPr>
        <w:t xml:space="preserve"> </w:t>
      </w:r>
      <w:r>
        <w:rPr>
          <w:rFonts w:ascii="Arial" w:cs="Arial" w:eastAsia="Arial" w:hAnsi="Arial"/>
          <w:sz w:val="17"/>
          <w:szCs w:val="17"/>
          <w:color w:val="auto"/>
        </w:rPr>
        <w:t>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91" w:lineRule="exact"/>
        <w:rPr>
          <w:sz w:val="20"/>
          <w:szCs w:val="20"/>
          <w:color w:val="auto"/>
        </w:rPr>
      </w:pPr>
    </w:p>
    <w:p>
      <w:pPr>
        <w:jc w:val="both"/>
        <w:ind w:firstLine="1303"/>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Notwithstanding the provisions of Section 2.05, the Global Security of a series may be transferred, in whole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in part and in the manner provided in Section 2.05, only to another nominee of the Depositary for such series, or to a successor Depositary for such series selected or approved by the Company or to a nominee of such successor Depositary.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firstLine="1303"/>
        <w:spacing w:after="0" w:line="286"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If at any time the Depositary for a series of the Securities notifies the Company that it is unwilling or unable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2.12 CUSIP Numbers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7" w:lineRule="auto"/>
        <w:rPr>
          <w:sz w:val="20"/>
          <w:szCs w:val="20"/>
          <w:color w:val="auto"/>
        </w:rPr>
      </w:pPr>
      <w:r>
        <w:rPr>
          <w:rFonts w:ascii="Arial" w:cs="Arial" w:eastAsia="Arial" w:hAnsi="Arial"/>
          <w:sz w:val="18"/>
          <w:szCs w:val="18"/>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3.01 Redemption</w:t>
      </w:r>
      <w:r>
        <w:rPr>
          <w:rFonts w:ascii="Arial" w:cs="Arial" w:eastAsia="Arial" w:hAnsi="Arial"/>
          <w:sz w:val="18"/>
          <w:szCs w:val="18"/>
          <w:color w:val="auto"/>
        </w:rPr>
        <w:t>.</w:t>
      </w:r>
    </w:p>
    <w:p>
      <w:pPr>
        <w:spacing w:after="0" w:line="202" w:lineRule="exact"/>
        <w:rPr>
          <w:sz w:val="20"/>
          <w:szCs w:val="20"/>
          <w:color w:val="auto"/>
        </w:rPr>
      </w:pPr>
    </w:p>
    <w:p>
      <w:pPr>
        <w:ind w:right="300" w:firstLine="646"/>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3.02 Notice of Redemption</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69"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In case the Company shall desire to exercise such right to redeem all or, as the case may be, a portion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0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ind w:firstLine="1303"/>
        <w:spacing w:after="0" w:line="269"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If less than all the Securities of a series are to be redeemed, the Company shall give the Trustee at least 45 days’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3.03 Payment Upon Redemption</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54"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If the giving of notice of redemption shall have been completed as above provided, the Securities or portions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07" w:lineRule="exact"/>
        <w:rPr>
          <w:sz w:val="20"/>
          <w:szCs w:val="20"/>
          <w:color w:val="auto"/>
        </w:rPr>
      </w:pPr>
    </w:p>
    <w:p>
      <w:pPr>
        <w:jc w:val="both"/>
        <w:ind w:firstLine="1303"/>
        <w:spacing w:after="0" w:line="314"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Upon presentation of any Security of such series that is to be redeemed in part only, the Company shall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3.04 Sinking Fund</w:t>
      </w:r>
      <w:r>
        <w:rPr>
          <w:rFonts w:ascii="Arial" w:cs="Arial" w:eastAsia="Arial" w:hAnsi="Arial"/>
          <w:sz w:val="18"/>
          <w:szCs w:val="18"/>
          <w:color w:val="auto"/>
        </w:rPr>
        <w:t>.</w:t>
      </w:r>
    </w:p>
    <w:p>
      <w:pPr>
        <w:spacing w:after="0" w:line="202" w:lineRule="exact"/>
        <w:rPr>
          <w:sz w:val="20"/>
          <w:szCs w:val="20"/>
          <w:color w:val="auto"/>
        </w:rPr>
      </w:pPr>
    </w:p>
    <w:p>
      <w:pPr>
        <w:ind w:right="620" w:firstLine="647"/>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ind w:firstLine="647"/>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3.05 Satisfaction of Sinking Fund Payments with Securities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3.06 Redemption of Securities for Sinking Fund</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4.01 Payment of Principal, Premium and Interest</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4.02 Maintenance of Office or Agency</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4.03 Paying Agents</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If the Company shall appoint one or more paying agents for all or any series of the Securities,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the Company will cause each such paying agent to execute and deliver to the Trustee an instrument in which such agent shall agree with the Trustee, subject to the provisions of this Section:</w:t>
      </w:r>
    </w:p>
    <w:p>
      <w:pPr>
        <w:spacing w:after="0" w:line="122" w:lineRule="exact"/>
        <w:rPr>
          <w:sz w:val="20"/>
          <w:szCs w:val="20"/>
          <w:color w:val="auto"/>
        </w:rPr>
      </w:pPr>
    </w:p>
    <w:p>
      <w:pPr>
        <w:jc w:val="both"/>
        <w:ind w:firstLine="1951"/>
        <w:spacing w:after="0" w:line="266"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that it will hold all sums held by it as such agent for the payment of the principal of (and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if any) or interest on the Securities of that series (whether such sums have been paid to it by the Company or by any other obligor of such Securities) in trust for the benefit of the Persons entitled thereto;</w:t>
      </w:r>
    </w:p>
    <w:p>
      <w:pPr>
        <w:spacing w:after="0" w:line="122" w:lineRule="exact"/>
        <w:rPr>
          <w:sz w:val="20"/>
          <w:szCs w:val="20"/>
          <w:color w:val="auto"/>
        </w:rPr>
      </w:pPr>
    </w:p>
    <w:p>
      <w:pPr>
        <w:ind w:right="80" w:firstLine="1951"/>
        <w:spacing w:after="0" w:line="266" w:lineRule="auto"/>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that it will give the Trustee notice of any failure by the Company (or by any other obligor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make any payment of the principal of (and premium, if any) or interest on the Securities of that series when the same shall be due and payable;</w:t>
      </w:r>
    </w:p>
    <w:p>
      <w:pPr>
        <w:spacing w:after="0" w:line="81" w:lineRule="exact"/>
        <w:rPr>
          <w:sz w:val="20"/>
          <w:szCs w:val="20"/>
          <w:color w:val="auto"/>
        </w:rPr>
      </w:pPr>
    </w:p>
    <w:p>
      <w:pPr>
        <w:ind w:left="1960"/>
        <w:spacing w:after="0"/>
        <w:tabs>
          <w:tab w:leader="none" w:pos="412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6"/>
          <w:szCs w:val="16"/>
          <w:color w:val="auto"/>
        </w:rPr>
        <w:t>that it will, at any time during the continuance of any failure referred to in the preceding paragraph</w:t>
      </w:r>
    </w:p>
    <w:p>
      <w:pPr>
        <w:spacing w:after="0" w:line="50" w:lineRule="exact"/>
        <w:rPr>
          <w:sz w:val="20"/>
          <w:szCs w:val="20"/>
          <w:color w:val="auto"/>
        </w:rPr>
      </w:pPr>
    </w:p>
    <w:p>
      <w:pPr>
        <w:ind w:left="5540" w:right="1720" w:hanging="5525"/>
        <w:spacing w:after="0" w:line="417" w:lineRule="auto"/>
        <w:rPr>
          <w:sz w:val="20"/>
          <w:szCs w:val="20"/>
          <w:color w:val="auto"/>
        </w:rPr>
      </w:pPr>
      <w:r>
        <w:rPr>
          <w:rFonts w:ascii="Arial" w:cs="Arial" w:eastAsia="Arial" w:hAnsi="Arial"/>
          <w:sz w:val="18"/>
          <w:szCs w:val="18"/>
          <w:color w:val="auto"/>
        </w:rPr>
        <w:t>(a)(2) above, upon the written request of the Trustee, forthwith pay to the Trustee all sums so held in trust by such paying agent; and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64122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left="2200" w:hanging="248"/>
        <w:spacing w:after="0"/>
        <w:tabs>
          <w:tab w:leader="none" w:pos="22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that it will perform all other duties of paying agent as set forth in this Indenture.</w:t>
      </w:r>
    </w:p>
    <w:p>
      <w:pPr>
        <w:spacing w:after="0" w:line="208" w:lineRule="exact"/>
        <w:rPr>
          <w:sz w:val="20"/>
          <w:szCs w:val="20"/>
          <w:color w:val="auto"/>
        </w:rPr>
      </w:pPr>
    </w:p>
    <w:p>
      <w:pPr>
        <w:jc w:val="both"/>
        <w:ind w:firstLine="1303"/>
        <w:spacing w:after="0" w:line="291"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If the Company shall act as its own paying agent with respect to any series of the Securities, it will on or before</w:t>
      </w:r>
      <w:r>
        <w:rPr>
          <w:rFonts w:ascii="Arial" w:cs="Arial" w:eastAsia="Arial" w:hAnsi="Arial"/>
          <w:sz w:val="16"/>
          <w:szCs w:val="16"/>
          <w:b w:val="1"/>
          <w:bCs w:val="1"/>
          <w:color w:val="auto"/>
        </w:rPr>
        <w:t xml:space="preserve"> </w:t>
      </w:r>
      <w:r>
        <w:rPr>
          <w:rFonts w:ascii="Arial" w:cs="Arial" w:eastAsia="Arial" w:hAnsi="Arial"/>
          <w:sz w:val="16"/>
          <w:szCs w:val="16"/>
          <w:color w:val="auto"/>
        </w:rPr>
        <w:t>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78" w:lineRule="exact"/>
        <w:rPr>
          <w:sz w:val="20"/>
          <w:szCs w:val="20"/>
          <w:color w:val="auto"/>
        </w:rPr>
      </w:pPr>
    </w:p>
    <w:p>
      <w:pPr>
        <w:jc w:val="both"/>
        <w:ind w:firstLine="1303"/>
        <w:spacing w:after="0" w:line="25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Notwithstanding anything in this Section to the contrary, (i) the agreement to hold sums in trust as provided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4.04 Appointment to Fill Vacancy in Office of Trustee</w:t>
      </w:r>
      <w:r>
        <w:rPr>
          <w:rFonts w:ascii="Arial" w:cs="Arial" w:eastAsia="Arial" w:hAnsi="Arial"/>
          <w:sz w:val="18"/>
          <w:szCs w:val="18"/>
          <w:color w:val="auto"/>
        </w:rPr>
        <w:t>.</w:t>
      </w:r>
    </w:p>
    <w:p>
      <w:pPr>
        <w:spacing w:after="0" w:line="202" w:lineRule="exact"/>
        <w:rPr>
          <w:sz w:val="20"/>
          <w:szCs w:val="20"/>
          <w:color w:val="auto"/>
        </w:rPr>
      </w:pPr>
    </w:p>
    <w:p>
      <w:pPr>
        <w:ind w:right="20" w:firstLine="646"/>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98"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SECURITYHOLDERS’ LISTS AND REPORTS BY THE COMPANY AND THE TRUSTEE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5.01 Company to Furnish Trustee Names and Addresses of Securityholders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left="640"/>
        <w:spacing w:after="0"/>
        <w:rPr>
          <w:sz w:val="20"/>
          <w:szCs w:val="20"/>
          <w:color w:val="auto"/>
        </w:rPr>
      </w:pPr>
      <w:r>
        <w:rPr>
          <w:rFonts w:ascii="Arial" w:cs="Arial" w:eastAsia="Arial" w:hAnsi="Arial"/>
          <w:sz w:val="18"/>
          <w:szCs w:val="18"/>
          <w:b w:val="1"/>
          <w:bCs w:val="1"/>
          <w:color w:val="auto"/>
        </w:rPr>
        <w:t>Section 5.02 Preservation Of Information; Communications With Securityholders</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Trustee shall preserve, in as current a form as is reasonably practicable, all information as to the names and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26" w:lineRule="exact"/>
        <w:rPr>
          <w:sz w:val="20"/>
          <w:szCs w:val="20"/>
          <w:color w:val="auto"/>
        </w:rPr>
      </w:pPr>
    </w:p>
    <w:p>
      <w:pPr>
        <w:ind w:left="1540" w:hanging="250"/>
        <w:spacing w:after="0"/>
        <w:tabs>
          <w:tab w:leader="none" w:pos="15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08" w:lineRule="exact"/>
        <w:rPr>
          <w:sz w:val="20"/>
          <w:szCs w:val="20"/>
          <w:color w:val="auto"/>
        </w:rPr>
      </w:pPr>
    </w:p>
    <w:p>
      <w:pPr>
        <w:jc w:val="both"/>
        <w:ind w:firstLine="1303"/>
        <w:spacing w:after="0" w:line="289"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Securityholders may communicate as provided in Section 312(b) of the Trust Indenture Act with other</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5.03 Reports by the Company</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70"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The Company will at all times comply with Section 314(a) of the Trust Indenture Act. The Company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23" w:lineRule="exact"/>
        <w:rPr>
          <w:sz w:val="20"/>
          <w:szCs w:val="20"/>
          <w:color w:val="auto"/>
        </w:rPr>
      </w:pPr>
    </w:p>
    <w:p>
      <w:pPr>
        <w:jc w:val="both"/>
        <w:ind w:firstLine="1303"/>
        <w:spacing w:after="0" w:line="273"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Delivery of reports, information and documents to the Trustee under Section 5.03 is for informational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left="640"/>
        <w:spacing w:after="0"/>
        <w:rPr>
          <w:sz w:val="20"/>
          <w:szCs w:val="20"/>
          <w:color w:val="auto"/>
        </w:rPr>
      </w:pPr>
      <w:r>
        <w:rPr>
          <w:rFonts w:ascii="Arial" w:cs="Arial" w:eastAsia="Arial" w:hAnsi="Arial"/>
          <w:sz w:val="18"/>
          <w:szCs w:val="18"/>
          <w:b w:val="1"/>
          <w:bCs w:val="1"/>
          <w:color w:val="auto"/>
        </w:rPr>
        <w:t>Section 5.04 Reports by the Trustee</w:t>
      </w:r>
      <w:r>
        <w:rPr>
          <w:rFonts w:ascii="Arial" w:cs="Arial" w:eastAsia="Arial" w:hAnsi="Arial"/>
          <w:sz w:val="18"/>
          <w:szCs w:val="18"/>
          <w:color w:val="auto"/>
        </w:rPr>
        <w:t>.</w:t>
      </w:r>
    </w:p>
    <w:p>
      <w:pPr>
        <w:spacing w:after="0" w:line="198" w:lineRule="exact"/>
        <w:rPr>
          <w:sz w:val="20"/>
          <w:szCs w:val="20"/>
          <w:color w:val="auto"/>
        </w:rPr>
      </w:pPr>
    </w:p>
    <w:p>
      <w:pPr>
        <w:ind w:right="80" w:firstLine="1305"/>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If required by Section 313(a) of the Trust Indenture Act, the Trustee, within sixty (60) days after each May 1, shall</w:t>
      </w:r>
      <w:r>
        <w:rPr>
          <w:rFonts w:ascii="Arial" w:cs="Arial" w:eastAsia="Arial" w:hAnsi="Arial"/>
          <w:sz w:val="18"/>
          <w:szCs w:val="18"/>
          <w:b w:val="1"/>
          <w:bCs w:val="1"/>
          <w:color w:val="auto"/>
        </w:rPr>
        <w:t xml:space="preserve"> </w:t>
      </w:r>
      <w:r>
        <w:rPr>
          <w:rFonts w:ascii="Arial" w:cs="Arial" w:eastAsia="Arial" w:hAnsi="Arial"/>
          <w:sz w:val="18"/>
          <w:szCs w:val="18"/>
          <w:color w:val="auto"/>
        </w:rPr>
        <w:t>send to the Securityholders a brief report dated as of such May 1, which complies with Section 313(a) of the Trust Indenture Act.</w:t>
      </w:r>
    </w:p>
    <w:p>
      <w:pPr>
        <w:spacing w:after="0" w:line="85" w:lineRule="exact"/>
        <w:rPr>
          <w:sz w:val="20"/>
          <w:szCs w:val="20"/>
          <w:color w:val="auto"/>
        </w:rPr>
      </w:pPr>
    </w:p>
    <w:p>
      <w:pPr>
        <w:ind w:left="1540" w:hanging="250"/>
        <w:spacing w:after="0"/>
        <w:tabs>
          <w:tab w:leader="none" w:pos="15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Trustee shall comply with Section 313(b) and 313(c) of the Trust Indenture Act.</w:t>
      </w:r>
    </w:p>
    <w:p>
      <w:pPr>
        <w:spacing w:after="0" w:line="208" w:lineRule="exact"/>
        <w:rPr>
          <w:sz w:val="20"/>
          <w:szCs w:val="20"/>
          <w:color w:val="auto"/>
        </w:rPr>
      </w:pPr>
    </w:p>
    <w:p>
      <w:pPr>
        <w:jc w:val="both"/>
        <w:ind w:firstLine="1305"/>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 copy of each such report shall, at the time of such transmission to Securityholders, be filed by the Trustee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 each securities exchange upon which any Securities are listed (if so listed) and also with the Commission. The Company agrees to notify the Trustee when any Securities become listed on any securities exchange.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9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6.01 Events of Default</w:t>
      </w:r>
      <w:r>
        <w:rPr>
          <w:rFonts w:ascii="Arial" w:cs="Arial" w:eastAsia="Arial" w:hAnsi="Arial"/>
          <w:sz w:val="18"/>
          <w:szCs w:val="18"/>
          <w:color w:val="auto"/>
        </w:rPr>
        <w:t>.</w:t>
      </w:r>
    </w:p>
    <w:p>
      <w:pPr>
        <w:spacing w:after="0" w:line="198" w:lineRule="exact"/>
        <w:rPr>
          <w:sz w:val="20"/>
          <w:szCs w:val="20"/>
          <w:color w:val="auto"/>
        </w:rPr>
      </w:pPr>
    </w:p>
    <w:p>
      <w:pPr>
        <w:ind w:right="180" w:firstLine="1305"/>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Whenever used herein with respect to Securities of a particular series, “Event of Default” means any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events that has occurred and is continuing:</w:t>
      </w:r>
    </w:p>
    <w:p>
      <w:pPr>
        <w:spacing w:after="0" w:line="81" w:lineRule="exact"/>
        <w:rPr>
          <w:sz w:val="20"/>
          <w:szCs w:val="20"/>
          <w:color w:val="auto"/>
        </w:rPr>
      </w:pPr>
    </w:p>
    <w:p>
      <w:pPr>
        <w:ind w:left="1960"/>
        <w:spacing w:after="0"/>
        <w:tabs>
          <w:tab w:leader="none" w:pos="410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6"/>
          <w:szCs w:val="16"/>
          <w:color w:val="auto"/>
        </w:rPr>
        <w:t>the Company defaults in the payment of any installment of interest upon any of the Securities of</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32" w:lineRule="exact"/>
        <w:rPr>
          <w:sz w:val="20"/>
          <w:szCs w:val="20"/>
          <w:color w:val="auto"/>
        </w:rPr>
      </w:pPr>
    </w:p>
    <w:p>
      <w:pPr>
        <w:jc w:val="both"/>
        <w:ind w:firstLine="1954"/>
        <w:spacing w:after="0" w:line="281" w:lineRule="auto"/>
        <w:rPr>
          <w:sz w:val="20"/>
          <w:szCs w:val="20"/>
          <w:color w:val="auto"/>
        </w:rPr>
      </w:pPr>
      <w:r>
        <w:rPr>
          <w:rFonts w:ascii="Arial" w:cs="Arial" w:eastAsia="Arial" w:hAnsi="Arial"/>
          <w:sz w:val="17"/>
          <w:szCs w:val="17"/>
          <w:b w:val="1"/>
          <w:bCs w:val="1"/>
          <w:color w:val="auto"/>
        </w:rPr>
        <w:t xml:space="preserve">(2) </w:t>
      </w:r>
      <w:r>
        <w:rPr>
          <w:rFonts w:ascii="Arial" w:cs="Arial" w:eastAsia="Arial" w:hAnsi="Arial"/>
          <w:sz w:val="17"/>
          <w:szCs w:val="17"/>
          <w:color w:val="auto"/>
        </w:rPr>
        <w:t>the Company defaults in the payment of the principal of (or premium, if any, on)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firstLine="1954"/>
        <w:spacing w:after="0" w:line="256" w:lineRule="auto"/>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the Company fails to observe or perform any other of its covenants or agreements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33" w:lineRule="exact"/>
        <w:rPr>
          <w:sz w:val="20"/>
          <w:szCs w:val="20"/>
          <w:color w:val="auto"/>
        </w:rPr>
      </w:pPr>
    </w:p>
    <w:p>
      <w:pPr>
        <w:jc w:val="both"/>
        <w:ind w:firstLine="1954"/>
        <w:spacing w:after="0" w:line="266" w:lineRule="auto"/>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the Company pursuant to or within the meaning of any Bankruptcy Law (i) commences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22" w:lineRule="exact"/>
        <w:rPr>
          <w:sz w:val="20"/>
          <w:szCs w:val="20"/>
          <w:color w:val="auto"/>
        </w:rPr>
      </w:pPr>
    </w:p>
    <w:p>
      <w:pPr>
        <w:jc w:val="both"/>
        <w:ind w:firstLine="1954"/>
        <w:spacing w:after="0" w:line="266" w:lineRule="auto"/>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a court of competent jurisdiction enters an order under any Bankruptcy Law that (i) is for relief</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Company in an involuntary case, (ii) appoints a Custodian of the Company for all or substantially all of its property or (iii) orders the liquidation of the Company, and the order or decree remains unstayed and in effect for 90 days.</w:t>
      </w:r>
    </w:p>
    <w:p>
      <w:pPr>
        <w:spacing w:after="0" w:line="122" w:lineRule="exact"/>
        <w:rPr>
          <w:sz w:val="20"/>
          <w:szCs w:val="20"/>
          <w:color w:val="auto"/>
        </w:rPr>
      </w:pPr>
    </w:p>
    <w:p>
      <w:pPr>
        <w:jc w:val="both"/>
        <w:ind w:firstLine="1305"/>
        <w:spacing w:after="0" w:line="273"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In each and every such case (other than an Event of Default specified in clause (4) or clause (5) above),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91" w:lineRule="exact"/>
        <w:rPr>
          <w:sz w:val="20"/>
          <w:szCs w:val="20"/>
          <w:color w:val="auto"/>
        </w:rPr>
      </w:pPr>
    </w:p>
    <w:p>
      <w:pPr>
        <w:jc w:val="both"/>
        <w:ind w:firstLine="1305"/>
        <w:spacing w:after="0" w:line="289"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At any time after the principal of (and premium, if any, on) and accrued and unpaid interest on the Securities of that</w:t>
      </w:r>
      <w:r>
        <w:rPr>
          <w:rFonts w:ascii="Arial" w:cs="Arial" w:eastAsia="Arial" w:hAnsi="Arial"/>
          <w:sz w:val="16"/>
          <w:szCs w:val="16"/>
          <w:b w:val="1"/>
          <w:bCs w:val="1"/>
          <w:color w:val="auto"/>
        </w:rPr>
        <w:t xml:space="preserve"> </w:t>
      </w:r>
      <w:r>
        <w:rPr>
          <w:rFonts w:ascii="Arial" w:cs="Arial" w:eastAsia="Arial" w:hAnsi="Arial"/>
          <w:sz w:val="16"/>
          <w:szCs w:val="16"/>
          <w:color w:val="auto"/>
        </w:rPr>
        <w:t>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ind w:left="640"/>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94" w:lineRule="exact"/>
        <w:rPr>
          <w:sz w:val="20"/>
          <w:szCs w:val="20"/>
          <w:color w:val="auto"/>
        </w:rPr>
      </w:pPr>
    </w:p>
    <w:p>
      <w:pPr>
        <w:jc w:val="both"/>
        <w:ind w:firstLine="1305"/>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In case the Trustee shall have proceeded to enforce any right with respect to Securities of that series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6.02 Collection of Indebtedness and Suits for Enforcement by Trustee</w:t>
      </w:r>
      <w:r>
        <w:rPr>
          <w:rFonts w:ascii="Arial" w:cs="Arial" w:eastAsia="Arial" w:hAnsi="Arial"/>
          <w:sz w:val="18"/>
          <w:szCs w:val="18"/>
          <w:color w:val="auto"/>
        </w:rPr>
        <w:t>.</w:t>
      </w:r>
    </w:p>
    <w:p>
      <w:pPr>
        <w:spacing w:after="0" w:line="198" w:lineRule="exact"/>
        <w:rPr>
          <w:sz w:val="20"/>
          <w:szCs w:val="20"/>
          <w:color w:val="auto"/>
        </w:rPr>
      </w:pPr>
    </w:p>
    <w:p>
      <w:pPr>
        <w:jc w:val="both"/>
        <w:ind w:firstLine="1305"/>
        <w:spacing w:after="0" w:line="289"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 covenants that (i) in case it shall default in the payment of any installment of interest on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85" w:lineRule="exact"/>
        <w:rPr>
          <w:sz w:val="20"/>
          <w:szCs w:val="20"/>
          <w:color w:val="auto"/>
        </w:rPr>
      </w:pPr>
    </w:p>
    <w:p>
      <w:pPr>
        <w:jc w:val="both"/>
        <w:ind w:firstLine="1305"/>
        <w:spacing w:after="0" w:line="277"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If the Company shall fail to pay such amounts forthwith upon such demand, the Trustee, in its own name and as</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jc w:val="both"/>
        <w:ind w:firstLine="1305"/>
        <w:spacing w:after="0" w:line="253"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In case of any receivership, insolvency, liquidation, bankruptcy, reorganization, readjustment, arrangement,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13" w:lineRule="exact"/>
        <w:rPr>
          <w:sz w:val="20"/>
          <w:szCs w:val="20"/>
          <w:color w:val="auto"/>
        </w:rPr>
      </w:pPr>
    </w:p>
    <w:p>
      <w:pPr>
        <w:jc w:val="both"/>
        <w:ind w:firstLine="1305"/>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All rights of action and of asserting claims under this Indenture, or under any of the terms established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6.03 Application of Moneys Collected</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6.04 Limitation on Suits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85"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6.05 Rights and Remedies Cumulative; Delay or Omission Not Waiver</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Except as otherwise provided in Section 2.07, all powers and remedies given by this Article to the Trustee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ind w:firstLine="1303"/>
        <w:spacing w:after="0" w:line="281"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No delay or omission of the Trustee or of any holder of any of the Securities to exercise any right or power</w:t>
      </w:r>
      <w:r>
        <w:rPr>
          <w:rFonts w:ascii="Arial" w:cs="Arial" w:eastAsia="Arial" w:hAnsi="Arial"/>
          <w:sz w:val="17"/>
          <w:szCs w:val="17"/>
          <w:b w:val="1"/>
          <w:bCs w:val="1"/>
          <w:color w:val="auto"/>
        </w:rPr>
        <w:t xml:space="preserve"> </w:t>
      </w:r>
      <w:r>
        <w:rPr>
          <w:rFonts w:ascii="Arial" w:cs="Arial" w:eastAsia="Arial" w:hAnsi="Arial"/>
          <w:sz w:val="17"/>
          <w:szCs w:val="17"/>
          <w:color w:val="auto"/>
        </w:rPr>
        <w:t>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6.06 Control by Securityholders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6.07 Undertaking to Pay Costs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ARTICLE 7</w:t>
      </w:r>
    </w:p>
    <w:p>
      <w:pPr>
        <w:spacing w:after="0" w:line="19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CONCERNING THE TRUSTEE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7.01 Certain Duties and Responsibilities of Trustee</w:t>
      </w:r>
      <w:r>
        <w:rPr>
          <w:rFonts w:ascii="Arial" w:cs="Arial" w:eastAsia="Arial" w:hAnsi="Arial"/>
          <w:sz w:val="18"/>
          <w:szCs w:val="18"/>
          <w:color w:val="auto"/>
        </w:rPr>
        <w:t>.</w:t>
      </w:r>
    </w:p>
    <w:p>
      <w:pPr>
        <w:spacing w:after="0" w:line="198" w:lineRule="exact"/>
        <w:rPr>
          <w:sz w:val="20"/>
          <w:szCs w:val="20"/>
          <w:color w:val="auto"/>
        </w:rPr>
      </w:pPr>
    </w:p>
    <w:p>
      <w:pPr>
        <w:ind w:left="1320"/>
        <w:spacing w:after="0"/>
        <w:tabs>
          <w:tab w:leader="none" w:pos="288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color w:val="auto"/>
        </w:rPr>
        <w:t>The Trustee, prior to the occurrence of an Event of Default with respect to the Securities of a series and after the</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77" w:lineRule="exact"/>
        <w:rPr>
          <w:sz w:val="20"/>
          <w:szCs w:val="20"/>
          <w:color w:val="auto"/>
        </w:rPr>
      </w:pPr>
    </w:p>
    <w:p>
      <w:pPr>
        <w:ind w:right="160" w:firstLine="1303"/>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No provision of this Indenture shall be construed to relieve the Trustee from liability for its own negligent action,</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negligent failure to act, or its own willful misconduct, except that:</w:t>
      </w:r>
    </w:p>
    <w:p>
      <w:pPr>
        <w:spacing w:after="0" w:line="81" w:lineRule="exact"/>
        <w:rPr>
          <w:sz w:val="20"/>
          <w:szCs w:val="20"/>
          <w:color w:val="auto"/>
        </w:rPr>
      </w:pPr>
    </w:p>
    <w:p>
      <w:pPr>
        <w:ind w:right="560" w:firstLine="1303"/>
        <w:spacing w:after="0" w:line="282"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prior to the occurrence of an Event of Default with respect to the Securities of a series and after the curing or</w:t>
      </w:r>
      <w:r>
        <w:rPr>
          <w:rFonts w:ascii="Arial" w:cs="Arial" w:eastAsia="Arial" w:hAnsi="Arial"/>
          <w:sz w:val="18"/>
          <w:szCs w:val="18"/>
          <w:b w:val="1"/>
          <w:bCs w:val="1"/>
          <w:color w:val="auto"/>
        </w:rPr>
        <w:t xml:space="preserve"> </w:t>
      </w:r>
      <w:r>
        <w:rPr>
          <w:rFonts w:ascii="Arial" w:cs="Arial" w:eastAsia="Arial" w:hAnsi="Arial"/>
          <w:sz w:val="18"/>
          <w:szCs w:val="18"/>
          <w:color w:val="auto"/>
        </w:rPr>
        <w:t>waiving of all such Events of Default with respect to that series that may have occurred:</w:t>
      </w:r>
    </w:p>
    <w:p>
      <w:pPr>
        <w:spacing w:after="0" w:line="81" w:lineRule="exact"/>
        <w:rPr>
          <w:sz w:val="20"/>
          <w:szCs w:val="20"/>
          <w:color w:val="auto"/>
        </w:rPr>
      </w:pPr>
    </w:p>
    <w:p>
      <w:pPr>
        <w:ind w:left="1960"/>
        <w:spacing w:after="0"/>
        <w:tabs>
          <w:tab w:leader="none" w:pos="42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the duties and obligations of the Trustee shall with respect to the Securities of such series be</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32" w:lineRule="exact"/>
        <w:rPr>
          <w:sz w:val="20"/>
          <w:szCs w:val="20"/>
          <w:color w:val="auto"/>
        </w:rPr>
      </w:pPr>
    </w:p>
    <w:p>
      <w:pPr>
        <w:jc w:val="both"/>
        <w:ind w:firstLine="1951"/>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in the absence of bad faith on the part of the Trustee, the Trustee may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right="40" w:firstLine="1303"/>
        <w:spacing w:after="0" w:line="266" w:lineRule="auto"/>
        <w:rPr>
          <w:sz w:val="20"/>
          <w:szCs w:val="20"/>
          <w:color w:val="auto"/>
        </w:rPr>
      </w:pPr>
      <w:r>
        <w:rPr>
          <w:rFonts w:ascii="Arial" w:cs="Arial" w:eastAsia="Arial" w:hAnsi="Arial"/>
          <w:sz w:val="18"/>
          <w:szCs w:val="18"/>
          <w:b w:val="1"/>
          <w:bCs w:val="1"/>
          <w:color w:val="auto"/>
        </w:rPr>
        <w:t xml:space="preserve">(ii) </w:t>
      </w:r>
      <w:r>
        <w:rPr>
          <w:rFonts w:ascii="Arial" w:cs="Arial" w:eastAsia="Arial" w:hAnsi="Arial"/>
          <w:sz w:val="18"/>
          <w:szCs w:val="18"/>
          <w:color w:val="auto"/>
        </w:rPr>
        <w:t>the Trustee shall not be liable to any Securityholder or to any other Person for any error of judgment made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faith by a Responsible Officer or Responsible Officers of the Trustee, unless it shall be proved that the Trustee was negligent in ascertaining the pertinent facts;</w:t>
      </w:r>
    </w:p>
    <w:p>
      <w:pPr>
        <w:spacing w:after="0" w:line="81" w:lineRule="exact"/>
        <w:rPr>
          <w:sz w:val="20"/>
          <w:szCs w:val="20"/>
          <w:color w:val="auto"/>
        </w:rPr>
      </w:pPr>
    </w:p>
    <w:p>
      <w:pPr>
        <w:jc w:val="both"/>
        <w:ind w:firstLine="1303"/>
        <w:spacing w:after="0" w:line="261" w:lineRule="auto"/>
        <w:rPr>
          <w:sz w:val="20"/>
          <w:szCs w:val="20"/>
          <w:color w:val="auto"/>
        </w:rPr>
      </w:pPr>
      <w:r>
        <w:rPr>
          <w:rFonts w:ascii="Arial" w:cs="Arial" w:eastAsia="Arial" w:hAnsi="Arial"/>
          <w:sz w:val="18"/>
          <w:szCs w:val="18"/>
          <w:b w:val="1"/>
          <w:bCs w:val="1"/>
          <w:color w:val="auto"/>
        </w:rPr>
        <w:t xml:space="preserve">(iii) </w:t>
      </w:r>
      <w:r>
        <w:rPr>
          <w:rFonts w:ascii="Arial" w:cs="Arial" w:eastAsia="Arial" w:hAnsi="Arial"/>
          <w:sz w:val="18"/>
          <w:szCs w:val="18"/>
          <w:color w:val="auto"/>
        </w:rPr>
        <w:t>the Trustee shall not be liable with respect to any action taken or omitted to be taken by it in good faith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26" w:lineRule="exact"/>
        <w:rPr>
          <w:sz w:val="20"/>
          <w:szCs w:val="20"/>
          <w:color w:val="auto"/>
        </w:rPr>
      </w:pPr>
    </w:p>
    <w:p>
      <w:pPr>
        <w:jc w:val="both"/>
        <w:ind w:firstLine="1303"/>
        <w:spacing w:after="0" w:line="261" w:lineRule="auto"/>
        <w:rPr>
          <w:sz w:val="20"/>
          <w:szCs w:val="20"/>
          <w:color w:val="auto"/>
        </w:rPr>
      </w:pPr>
      <w:r>
        <w:rPr>
          <w:rFonts w:ascii="Arial" w:cs="Arial" w:eastAsia="Arial" w:hAnsi="Arial"/>
          <w:sz w:val="18"/>
          <w:szCs w:val="18"/>
          <w:b w:val="1"/>
          <w:bCs w:val="1"/>
          <w:color w:val="auto"/>
        </w:rPr>
        <w:t xml:space="preserve">(iv) </w:t>
      </w:r>
      <w:r>
        <w:rPr>
          <w:rFonts w:ascii="Arial" w:cs="Arial" w:eastAsia="Arial" w:hAnsi="Arial"/>
          <w:sz w:val="18"/>
          <w:szCs w:val="18"/>
          <w:color w:val="auto"/>
        </w:rPr>
        <w:t>none of the provisions contained in this Indenture shall require the Trustee to expend or risk its own funds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30" w:lineRule="exact"/>
        <w:rPr>
          <w:sz w:val="20"/>
          <w:szCs w:val="20"/>
          <w:color w:val="auto"/>
        </w:rPr>
      </w:pPr>
    </w:p>
    <w:p>
      <w:pPr>
        <w:ind w:left="1540" w:hanging="236"/>
        <w:spacing w:after="0"/>
        <w:tabs>
          <w:tab w:leader="none" w:pos="154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Trustee shall not be required to give any bond or surety in respect of the performance of its powers or duties hereunder;</w:t>
      </w:r>
    </w:p>
    <w:p>
      <w:pPr>
        <w:spacing w:after="0" w:line="223" w:lineRule="exact"/>
        <w:rPr>
          <w:rFonts w:ascii="Arial" w:cs="Arial" w:eastAsia="Arial" w:hAnsi="Arial"/>
          <w:sz w:val="17"/>
          <w:szCs w:val="17"/>
          <w:b w:val="1"/>
          <w:bCs w:val="1"/>
          <w:color w:val="auto"/>
        </w:rPr>
      </w:pPr>
    </w:p>
    <w:p>
      <w:pPr>
        <w:ind w:left="1580" w:hanging="276"/>
        <w:spacing w:after="0"/>
        <w:tabs>
          <w:tab w:leader="none" w:pos="158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The permissive right of the Trustee to do things enumerated in this Indenture shall not be construed as a duty of the Trustee; and</w:t>
      </w:r>
    </w:p>
    <w:p>
      <w:pPr>
        <w:spacing w:after="0" w:line="261" w:lineRule="exact"/>
        <w:rPr>
          <w:rFonts w:ascii="Arial" w:cs="Arial" w:eastAsia="Arial" w:hAnsi="Arial"/>
          <w:sz w:val="16"/>
          <w:szCs w:val="16"/>
          <w:b w:val="1"/>
          <w:bCs w:val="1"/>
          <w:color w:val="auto"/>
        </w:rPr>
      </w:pPr>
    </w:p>
    <w:p>
      <w:pPr>
        <w:ind w:left="1660" w:hanging="356"/>
        <w:spacing w:after="0"/>
        <w:tabs>
          <w:tab w:leader="none" w:pos="16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No Trustee shall have any duty or responsibility for any act or omission of any other Trustee appointed with respect to a series of</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7.02 Certain Rights of Trustee</w:t>
      </w:r>
      <w:r>
        <w:rPr>
          <w:rFonts w:ascii="Arial" w:cs="Arial" w:eastAsia="Arial" w:hAnsi="Arial"/>
          <w:sz w:val="18"/>
          <w:szCs w:val="18"/>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in Section 7.01:</w:t>
      </w:r>
    </w:p>
    <w:p>
      <w:pPr>
        <w:spacing w:after="0" w:line="194" w:lineRule="exact"/>
        <w:rPr>
          <w:sz w:val="20"/>
          <w:szCs w:val="20"/>
          <w:color w:val="auto"/>
        </w:rPr>
      </w:pPr>
    </w:p>
    <w:p>
      <w:pPr>
        <w:jc w:val="both"/>
        <w:ind w:firstLine="1303"/>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Trustee may conclusively rely and shall be protected in acting or refraining from acting upon any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statement, instrument, opinion, report, notice, request, consent, order, approval, bond, security or other paper or document believed by it to be genuine and to have been signed or presented by the proper party or parties;</w:t>
      </w:r>
    </w:p>
    <w:p>
      <w:pPr>
        <w:spacing w:after="0" w:line="122" w:lineRule="exact"/>
        <w:rPr>
          <w:sz w:val="20"/>
          <w:szCs w:val="20"/>
          <w:color w:val="auto"/>
        </w:rPr>
      </w:pPr>
    </w:p>
    <w:p>
      <w:pPr>
        <w:jc w:val="both"/>
        <w:ind w:right="20" w:firstLine="1303"/>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Any request, direction, order or demand of the Company mentioned herein shall be sufficiently evidenced by a</w:t>
      </w:r>
      <w:r>
        <w:rPr>
          <w:rFonts w:ascii="Arial" w:cs="Arial" w:eastAsia="Arial" w:hAnsi="Arial"/>
          <w:sz w:val="18"/>
          <w:szCs w:val="18"/>
          <w:b w:val="1"/>
          <w:bCs w:val="1"/>
          <w:color w:val="auto"/>
        </w:rPr>
        <w:t xml:space="preserve"> </w:t>
      </w:r>
      <w:r>
        <w:rPr>
          <w:rFonts w:ascii="Arial" w:cs="Arial" w:eastAsia="Arial" w:hAnsi="Arial"/>
          <w:sz w:val="18"/>
          <w:szCs w:val="18"/>
          <w:color w:val="auto"/>
        </w:rPr>
        <w:t>Board Resolution or an instrument signed in the name of the Company by any authorized Officer of the Company (unless other evidence in respect thereof is specifically prescribed herein);</w:t>
      </w:r>
    </w:p>
    <w:p>
      <w:pPr>
        <w:spacing w:after="0" w:line="122" w:lineRule="exact"/>
        <w:rPr>
          <w:sz w:val="20"/>
          <w:szCs w:val="20"/>
          <w:color w:val="auto"/>
        </w:rPr>
      </w:pPr>
    </w:p>
    <w:p>
      <w:pPr>
        <w:ind w:right="20" w:firstLine="1303"/>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Trustee may consult with counsel and the opinion or written advice of such counsel or, if requested, any</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of Counsel shall be full and complete authorization and protection in respect of any action taken or suffered or omitted hereunder in good faith and in reliance thereon;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ind w:firstLine="1303"/>
        <w:spacing w:after="0" w:line="255"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The Trustee shall be under no obligation to exercise any of the rights or powers vested in it by this Indenture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08" w:lineRule="exact"/>
        <w:rPr>
          <w:sz w:val="20"/>
          <w:szCs w:val="20"/>
          <w:color w:val="auto"/>
        </w:rPr>
      </w:pPr>
    </w:p>
    <w:p>
      <w:pPr>
        <w:jc w:val="both"/>
        <w:ind w:right="20" w:firstLine="1303"/>
        <w:spacing w:after="0" w:line="282"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The Trustee shall not be liable for any action taken or omitted to be taken by it in good faith and believed by it to be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within the discretion or rights or powers conferred upon it by this Indenture;</w:t>
      </w:r>
    </w:p>
    <w:p>
      <w:pPr>
        <w:spacing w:after="0" w:line="81" w:lineRule="exact"/>
        <w:rPr>
          <w:sz w:val="20"/>
          <w:szCs w:val="20"/>
          <w:color w:val="auto"/>
        </w:rPr>
      </w:pPr>
    </w:p>
    <w:p>
      <w:pPr>
        <w:ind w:left="1320"/>
        <w:spacing w:after="0"/>
        <w:tabs>
          <w:tab w:leader="none" w:pos="2820" w:val="left"/>
        </w:tabs>
        <w:rPr>
          <w:sz w:val="20"/>
          <w:szCs w:val="20"/>
          <w:color w:val="auto"/>
        </w:rPr>
      </w:pPr>
      <w:r>
        <w:rPr>
          <w:rFonts w:ascii="Arial" w:cs="Arial" w:eastAsia="Arial" w:hAnsi="Arial"/>
          <w:sz w:val="17"/>
          <w:szCs w:val="17"/>
          <w:b w:val="1"/>
          <w:bCs w:val="1"/>
          <w:color w:val="auto"/>
        </w:rPr>
        <w:t>(f)</w:t>
      </w:r>
      <w:r>
        <w:rPr>
          <w:sz w:val="20"/>
          <w:szCs w:val="20"/>
          <w:color w:val="auto"/>
        </w:rPr>
        <w:tab/>
      </w:r>
      <w:r>
        <w:rPr>
          <w:rFonts w:ascii="Arial" w:cs="Arial" w:eastAsia="Arial" w:hAnsi="Arial"/>
          <w:sz w:val="17"/>
          <w:szCs w:val="17"/>
          <w:color w:val="auto"/>
        </w:rPr>
        <w:t>The Trustee shall not be bound to make any investigation into the facts or matters stated in any resolution,</w:t>
      </w:r>
    </w:p>
    <w:p>
      <w:pPr>
        <w:spacing w:after="0" w:line="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83" w:lineRule="exact"/>
        <w:rPr>
          <w:sz w:val="20"/>
          <w:szCs w:val="20"/>
          <w:color w:val="auto"/>
        </w:rPr>
      </w:pPr>
    </w:p>
    <w:p>
      <w:pPr>
        <w:jc w:val="both"/>
        <w:ind w:firstLine="1303"/>
        <w:spacing w:after="0" w:line="266" w:lineRule="auto"/>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The Trustee may execute any of the trusts or powers hereunder or perform any duties hereunder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by or through agents or attorneys and the Trustee shall not be responsible for any misconduct or negligence on the part of any agent or attorney appointed with due care by it hereunder;</w:t>
      </w:r>
    </w:p>
    <w:p>
      <w:pPr>
        <w:spacing w:after="0" w:line="122" w:lineRule="exact"/>
        <w:rPr>
          <w:sz w:val="20"/>
          <w:szCs w:val="20"/>
          <w:color w:val="auto"/>
        </w:rPr>
      </w:pPr>
    </w:p>
    <w:p>
      <w:pPr>
        <w:jc w:val="both"/>
        <w:ind w:firstLine="1303"/>
        <w:spacing w:after="0" w:line="277" w:lineRule="auto"/>
        <w:rPr>
          <w:sz w:val="20"/>
          <w:szCs w:val="20"/>
          <w:color w:val="auto"/>
        </w:rPr>
      </w:pPr>
      <w:r>
        <w:rPr>
          <w:rFonts w:ascii="Arial" w:cs="Arial" w:eastAsia="Arial" w:hAnsi="Arial"/>
          <w:sz w:val="17"/>
          <w:szCs w:val="17"/>
          <w:b w:val="1"/>
          <w:bCs w:val="1"/>
          <w:color w:val="auto"/>
        </w:rPr>
        <w:t xml:space="preserve">(h) </w:t>
      </w:r>
      <w:r>
        <w:rPr>
          <w:rFonts w:ascii="Arial" w:cs="Arial" w:eastAsia="Arial" w:hAnsi="Arial"/>
          <w:sz w:val="17"/>
          <w:szCs w:val="17"/>
          <w:color w:val="auto"/>
        </w:rPr>
        <w:t>In no event shall the Trustee be responsible or liable for any failure or delay in the performance of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87" w:lineRule="exact"/>
        <w:rPr>
          <w:sz w:val="20"/>
          <w:szCs w:val="20"/>
          <w:color w:val="auto"/>
        </w:rPr>
      </w:pPr>
    </w:p>
    <w:p>
      <w:pPr>
        <w:jc w:val="both"/>
        <w:ind w:firstLine="1303"/>
        <w:spacing w:after="0" w:line="266"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In no event shall the Trustee be responsible or liable for special, indirect, punitive or consequential loss or damage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 whatsoever (including, but not limited to, loss of profit) irrespective of whether the Trustee has been advised of the likelihood of such loss or damage and regardless of the form of action;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ind w:firstLine="1305"/>
        <w:spacing w:after="0" w:line="289" w:lineRule="auto"/>
        <w:rPr>
          <w:sz w:val="20"/>
          <w:szCs w:val="20"/>
          <w:color w:val="auto"/>
        </w:rPr>
      </w:pPr>
      <w:r>
        <w:rPr>
          <w:rFonts w:ascii="Arial" w:cs="Arial" w:eastAsia="Arial" w:hAnsi="Arial"/>
          <w:sz w:val="16"/>
          <w:szCs w:val="16"/>
          <w:b w:val="1"/>
          <w:bCs w:val="1"/>
          <w:color w:val="auto"/>
        </w:rPr>
        <w:t xml:space="preserve">(j) </w:t>
      </w:r>
      <w:r>
        <w:rPr>
          <w:rFonts w:ascii="Arial" w:cs="Arial" w:eastAsia="Arial" w:hAnsi="Arial"/>
          <w:sz w:val="16"/>
          <w:szCs w:val="16"/>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80" w:lineRule="exact"/>
        <w:rPr>
          <w:sz w:val="20"/>
          <w:szCs w:val="20"/>
          <w:color w:val="auto"/>
        </w:rPr>
      </w:pPr>
    </w:p>
    <w:p>
      <w:pPr>
        <w:jc w:val="both"/>
        <w:ind w:firstLine="1305"/>
        <w:spacing w:after="0" w:line="266" w:lineRule="auto"/>
        <w:rPr>
          <w:sz w:val="20"/>
          <w:szCs w:val="20"/>
          <w:color w:val="auto"/>
        </w:rPr>
      </w:pPr>
      <w:r>
        <w:rPr>
          <w:rFonts w:ascii="Arial" w:cs="Arial" w:eastAsia="Arial" w:hAnsi="Arial"/>
          <w:sz w:val="18"/>
          <w:szCs w:val="18"/>
          <w:b w:val="1"/>
          <w:bCs w:val="1"/>
          <w:color w:val="auto"/>
        </w:rPr>
        <w:t xml:space="preserve">(k) </w:t>
      </w:r>
      <w:r>
        <w:rPr>
          <w:rFonts w:ascii="Arial" w:cs="Arial" w:eastAsia="Arial" w:hAnsi="Arial"/>
          <w:sz w:val="18"/>
          <w:szCs w:val="18"/>
          <w:color w:val="auto"/>
        </w:rPr>
        <w:t>The rights, privileges, protections, immunities and benefits given to the Trustee, including, without limitation,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be indemnified, are extended to, and shall be enforceable by, the Trustee in each of its capacities hereunder and under the Securities, and each agent, custodian or other person employed to act under this Indenture; and</w:t>
      </w:r>
    </w:p>
    <w:p>
      <w:pPr>
        <w:spacing w:after="0" w:line="122" w:lineRule="exact"/>
        <w:rPr>
          <w:sz w:val="20"/>
          <w:szCs w:val="20"/>
          <w:color w:val="auto"/>
        </w:rPr>
      </w:pPr>
    </w:p>
    <w:p>
      <w:pPr>
        <w:jc w:val="both"/>
        <w:ind w:firstLine="1305"/>
        <w:spacing w:after="0" w:line="261" w:lineRule="auto"/>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The Trustee shall not be deemed to have knowledge of any Default or Event of Default (other than an Event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7.03 Trustee Not Responsible for Recitals or Issuance or Securities</w:t>
      </w:r>
      <w:r>
        <w:rPr>
          <w:rFonts w:ascii="Arial" w:cs="Arial" w:eastAsia="Arial" w:hAnsi="Arial"/>
          <w:sz w:val="18"/>
          <w:szCs w:val="18"/>
          <w:color w:val="auto"/>
        </w:rPr>
        <w:t>.</w:t>
      </w:r>
    </w:p>
    <w:p>
      <w:pPr>
        <w:spacing w:after="0" w:line="198" w:lineRule="exact"/>
        <w:rPr>
          <w:sz w:val="20"/>
          <w:szCs w:val="20"/>
          <w:color w:val="auto"/>
        </w:rPr>
      </w:pPr>
    </w:p>
    <w:p>
      <w:pPr>
        <w:jc w:val="both"/>
        <w:ind w:firstLine="1305"/>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recitals contained herein and in the Securities shall be taken as the statements of the Company, and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30" w:lineRule="exact"/>
        <w:rPr>
          <w:sz w:val="20"/>
          <w:szCs w:val="20"/>
          <w:color w:val="auto"/>
        </w:rPr>
      </w:pPr>
    </w:p>
    <w:p>
      <w:pPr>
        <w:ind w:left="1540" w:hanging="250"/>
        <w:spacing w:after="0"/>
        <w:tabs>
          <w:tab w:leader="none" w:pos="15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08" w:lineRule="exact"/>
        <w:rPr>
          <w:sz w:val="20"/>
          <w:szCs w:val="20"/>
          <w:color w:val="auto"/>
        </w:rPr>
      </w:pPr>
    </w:p>
    <w:p>
      <w:pPr>
        <w:jc w:val="both"/>
        <w:ind w:firstLine="1305"/>
        <w:spacing w:after="0" w:line="289"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The Trustee shall not be accountable for the use or application by the Company of any of the Securities 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b w:val="1"/>
          <w:bCs w:val="1"/>
          <w:color w:val="auto"/>
        </w:rPr>
        <w:t>Section 7.04 May Hold Securities</w:t>
      </w:r>
      <w:r>
        <w:rPr>
          <w:rFonts w:ascii="Arial" w:cs="Arial" w:eastAsia="Arial" w:hAnsi="Arial"/>
          <w:sz w:val="18"/>
          <w:szCs w:val="18"/>
          <w:color w:val="auto"/>
        </w:rPr>
        <w:t>.</w:t>
      </w:r>
    </w:p>
    <w:p>
      <w:pPr>
        <w:spacing w:after="0" w:line="202" w:lineRule="exact"/>
        <w:rPr>
          <w:sz w:val="20"/>
          <w:szCs w:val="20"/>
          <w:color w:val="auto"/>
        </w:rPr>
      </w:pPr>
    </w:p>
    <w:p>
      <w:pPr>
        <w:ind w:right="20" w:firstLine="647"/>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7.05 Moneys Held in Trust</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7.06 Compensation and Reimbursement</w:t>
      </w:r>
      <w:r>
        <w:rPr>
          <w:rFonts w:ascii="Arial" w:cs="Arial" w:eastAsia="Arial" w:hAnsi="Arial"/>
          <w:sz w:val="18"/>
          <w:szCs w:val="18"/>
          <w:color w:val="auto"/>
        </w:rPr>
        <w:t>.</w:t>
      </w:r>
    </w:p>
    <w:p>
      <w:pPr>
        <w:spacing w:after="0" w:line="198" w:lineRule="exact"/>
        <w:rPr>
          <w:sz w:val="20"/>
          <w:szCs w:val="20"/>
          <w:color w:val="auto"/>
        </w:rPr>
      </w:pPr>
    </w:p>
    <w:p>
      <w:pPr>
        <w:jc w:val="both"/>
        <w:ind w:firstLine="1305"/>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shall pay to the Trustee for each of its capacities hereunder from time to time compensation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26" w:lineRule="exact"/>
        <w:rPr>
          <w:sz w:val="20"/>
          <w:szCs w:val="20"/>
          <w:color w:val="auto"/>
        </w:rPr>
      </w:pPr>
    </w:p>
    <w:p>
      <w:pPr>
        <w:jc w:val="both"/>
        <w:ind w:firstLine="1305"/>
        <w:spacing w:after="0" w:line="25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Company shall indemnify each of the Trustee in each of its capacities hereunder against any loss, liability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35" w:lineRule="exact"/>
        <w:rPr>
          <w:sz w:val="20"/>
          <w:szCs w:val="20"/>
          <w:color w:val="auto"/>
        </w:rPr>
      </w:pPr>
    </w:p>
    <w:p>
      <w:pPr>
        <w:ind w:right="100" w:firstLine="1305"/>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Company need not reimburse any expense or indemnify against any loss or liability incurred by the Trustee or</w:t>
      </w:r>
      <w:r>
        <w:rPr>
          <w:rFonts w:ascii="Arial" w:cs="Arial" w:eastAsia="Arial" w:hAnsi="Arial"/>
          <w:sz w:val="18"/>
          <w:szCs w:val="18"/>
          <w:b w:val="1"/>
          <w:bCs w:val="1"/>
          <w:color w:val="auto"/>
        </w:rPr>
        <w:t xml:space="preserve"> </w:t>
      </w:r>
      <w:r>
        <w:rPr>
          <w:rFonts w:ascii="Arial" w:cs="Arial" w:eastAsia="Arial" w:hAnsi="Arial"/>
          <w:sz w:val="18"/>
          <w:szCs w:val="18"/>
          <w:color w:val="auto"/>
        </w:rPr>
        <w:t>by any officer, director, employee, shareholder or agent of the Trustee through negligence or bad faith.</w:t>
      </w:r>
    </w:p>
    <w:p>
      <w:pPr>
        <w:spacing w:after="0" w:line="81" w:lineRule="exact"/>
        <w:rPr>
          <w:sz w:val="20"/>
          <w:szCs w:val="20"/>
          <w:color w:val="auto"/>
        </w:rPr>
      </w:pPr>
    </w:p>
    <w:p>
      <w:pPr>
        <w:ind w:left="1320"/>
        <w:spacing w:after="0"/>
        <w:tabs>
          <w:tab w:leader="none" w:pos="292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6"/>
          <w:szCs w:val="16"/>
          <w:color w:val="auto"/>
        </w:rPr>
        <w:t>To ensure the Company’s payment obligations in this Section, the Trustee shall have a lien prior to the Securities</w:t>
      </w:r>
    </w:p>
    <w:p>
      <w:pPr>
        <w:spacing w:after="0" w:line="5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color w:val="auto"/>
        </w:rPr>
        <w:t>Section 7.07 Reliance on Officer’s Certificate</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7.08 Disqualification; Conflicting Interests</w:t>
      </w:r>
      <w:r>
        <w:rPr>
          <w:rFonts w:ascii="Arial" w:cs="Arial" w:eastAsia="Arial" w:hAnsi="Arial"/>
          <w:sz w:val="18"/>
          <w:szCs w:val="18"/>
          <w:color w:val="auto"/>
        </w:rPr>
        <w:t>.</w:t>
      </w:r>
    </w:p>
    <w:p>
      <w:pPr>
        <w:spacing w:after="0" w:line="202" w:lineRule="exact"/>
        <w:rPr>
          <w:sz w:val="20"/>
          <w:szCs w:val="20"/>
          <w:color w:val="auto"/>
        </w:rPr>
      </w:pPr>
    </w:p>
    <w:p>
      <w:pPr>
        <w:ind w:right="40" w:firstLine="646"/>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7.09 Corporate Trustee Required; Eligibility</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6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7.10 Resignation and Removal; Appointment of Successor</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54"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Trustee or any successor hereafter appointed may at any time resign with respect to the Securities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ind w:left="1540" w:hanging="236"/>
        <w:spacing w:after="0"/>
        <w:tabs>
          <w:tab w:leader="none" w:pos="15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In case at any time any one of the following shall occur:</w:t>
      </w:r>
    </w:p>
    <w:p>
      <w:pPr>
        <w:spacing w:after="0" w:line="208" w:lineRule="exact"/>
        <w:rPr>
          <w:sz w:val="20"/>
          <w:szCs w:val="20"/>
          <w:color w:val="auto"/>
        </w:rPr>
      </w:pPr>
    </w:p>
    <w:p>
      <w:pPr>
        <w:ind w:right="60" w:firstLine="1951"/>
        <w:spacing w:after="0" w:line="282"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the Trustee shall fail to comply with the provisions of Section 7.08 after written request therefor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by any Securityholder who has been a bona fide holder of a Security or Securities for at least six months; or</w:t>
      </w:r>
    </w:p>
    <w:p>
      <w:pPr>
        <w:spacing w:after="0" w:line="81" w:lineRule="exact"/>
        <w:rPr>
          <w:sz w:val="20"/>
          <w:szCs w:val="20"/>
          <w:color w:val="auto"/>
        </w:rPr>
      </w:pPr>
    </w:p>
    <w:p>
      <w:pPr>
        <w:ind w:right="180" w:firstLine="1951"/>
        <w:spacing w:after="0" w:line="282" w:lineRule="auto"/>
        <w:rPr>
          <w:sz w:val="20"/>
          <w:szCs w:val="20"/>
          <w:color w:val="auto"/>
        </w:rPr>
      </w:pPr>
      <w:r>
        <w:rPr>
          <w:rFonts w:ascii="Arial" w:cs="Arial" w:eastAsia="Arial" w:hAnsi="Arial"/>
          <w:sz w:val="18"/>
          <w:szCs w:val="18"/>
          <w:b w:val="1"/>
          <w:bCs w:val="1"/>
          <w:color w:val="auto"/>
        </w:rPr>
        <w:t xml:space="preserve">(ii) </w:t>
      </w:r>
      <w:r>
        <w:rPr>
          <w:rFonts w:ascii="Arial" w:cs="Arial" w:eastAsia="Arial" w:hAnsi="Arial"/>
          <w:sz w:val="18"/>
          <w:szCs w:val="18"/>
          <w:color w:val="auto"/>
        </w:rPr>
        <w:t>the Trustee shall cease to be eligible in accordance with the provisions of Section 7.09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fail to resign after written request therefor by the Company or by any such Securityholder; or</w:t>
      </w:r>
    </w:p>
    <w:p>
      <w:pPr>
        <w:spacing w:after="0" w:line="81" w:lineRule="exact"/>
        <w:rPr>
          <w:sz w:val="20"/>
          <w:szCs w:val="20"/>
          <w:color w:val="auto"/>
        </w:rPr>
      </w:pPr>
    </w:p>
    <w:p>
      <w:pPr>
        <w:ind w:left="1960"/>
        <w:spacing w:after="0"/>
        <w:tabs>
          <w:tab w:leader="none" w:pos="4260" w:val="left"/>
        </w:tabs>
        <w:rPr>
          <w:sz w:val="20"/>
          <w:szCs w:val="20"/>
          <w:color w:val="auto"/>
        </w:rPr>
      </w:pPr>
      <w:r>
        <w:rPr>
          <w:rFonts w:ascii="Arial" w:cs="Arial" w:eastAsia="Arial" w:hAnsi="Arial"/>
          <w:sz w:val="16"/>
          <w:szCs w:val="16"/>
          <w:b w:val="1"/>
          <w:bCs w:val="1"/>
          <w:color w:val="auto"/>
        </w:rPr>
        <w:t>(iii)</w:t>
      </w:r>
      <w:r>
        <w:rPr>
          <w:sz w:val="20"/>
          <w:szCs w:val="20"/>
          <w:color w:val="auto"/>
        </w:rPr>
        <w:tab/>
      </w:r>
      <w:r>
        <w:rPr>
          <w:rFonts w:ascii="Arial" w:cs="Arial" w:eastAsia="Arial" w:hAnsi="Arial"/>
          <w:sz w:val="16"/>
          <w:szCs w:val="16"/>
          <w:color w:val="auto"/>
        </w:rPr>
        <w:t>the Trustee shall become incapable of acting, or shall be adjudged a bankrupt or insolvent, or</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31"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6" w:lineRule="exact"/>
        <w:rPr>
          <w:sz w:val="20"/>
          <w:szCs w:val="20"/>
          <w:color w:val="auto"/>
        </w:rPr>
      </w:pPr>
    </w:p>
    <w:p>
      <w:pPr>
        <w:jc w:val="both"/>
        <w:ind w:firstLine="1303"/>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holders of a majority in aggregate principal amount of the Securities of any series at the time Outstanding may</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remove the Trustee with respect to such series by so notifying the Trustee and the Company and may appoint a successor Trustee for such series with the consent of the Company.</w:t>
      </w:r>
    </w:p>
    <w:p>
      <w:pPr>
        <w:spacing w:after="0" w:line="122" w:lineRule="exact"/>
        <w:rPr>
          <w:sz w:val="20"/>
          <w:szCs w:val="20"/>
          <w:color w:val="auto"/>
        </w:rPr>
      </w:pPr>
    </w:p>
    <w:p>
      <w:pPr>
        <w:ind w:right="20" w:firstLine="1303"/>
        <w:spacing w:after="0" w:line="26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Any resignation or removal of the Trustee and appointment of a successor trustee with respect to the Securities of a</w:t>
      </w:r>
      <w:r>
        <w:rPr>
          <w:rFonts w:ascii="Arial" w:cs="Arial" w:eastAsia="Arial" w:hAnsi="Arial"/>
          <w:sz w:val="18"/>
          <w:szCs w:val="18"/>
          <w:b w:val="1"/>
          <w:bCs w:val="1"/>
          <w:color w:val="auto"/>
        </w:rPr>
        <w:t xml:space="preserve"> </w:t>
      </w:r>
      <w:r>
        <w:rPr>
          <w:rFonts w:ascii="Arial" w:cs="Arial" w:eastAsia="Arial" w:hAnsi="Arial"/>
          <w:sz w:val="18"/>
          <w:szCs w:val="18"/>
          <w:color w:val="auto"/>
        </w:rPr>
        <w:t>series pursuant to any of the provisions of this Section shall become effective upon acceptance of appointment by the successor trustee as provided in Section 7.11.</w:t>
      </w:r>
    </w:p>
    <w:p>
      <w:pPr>
        <w:spacing w:after="0" w:line="68" w:lineRule="exact"/>
        <w:rPr>
          <w:sz w:val="20"/>
          <w:szCs w:val="20"/>
          <w:color w:val="auto"/>
        </w:rPr>
      </w:pPr>
    </w:p>
    <w:p>
      <w:pPr>
        <w:ind w:right="140" w:firstLine="1303"/>
        <w:spacing w:after="0" w:line="282"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Any successor trustee appointed pursuant to this Section may be appointed with respect to the Securities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series or all of such series, and at any time there shall be only one Trustee with respect to the Securities of any particular series.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ind w:left="640"/>
        <w:spacing w:after="0"/>
        <w:rPr>
          <w:sz w:val="20"/>
          <w:szCs w:val="20"/>
          <w:color w:val="auto"/>
        </w:rPr>
      </w:pPr>
      <w:r>
        <w:rPr>
          <w:rFonts w:ascii="Arial" w:cs="Arial" w:eastAsia="Arial" w:hAnsi="Arial"/>
          <w:sz w:val="18"/>
          <w:szCs w:val="18"/>
          <w:b w:val="1"/>
          <w:bCs w:val="1"/>
          <w:color w:val="auto"/>
        </w:rPr>
        <w:t>Section 7.11 Acceptance of Appointment By Successor</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In case of the appointment hereunder of a successor trustee with respect to all Securities, every such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35" w:lineRule="exact"/>
        <w:rPr>
          <w:sz w:val="20"/>
          <w:szCs w:val="20"/>
          <w:color w:val="auto"/>
        </w:rPr>
      </w:pPr>
    </w:p>
    <w:p>
      <w:pPr>
        <w:jc w:val="both"/>
        <w:ind w:firstLine="1303"/>
        <w:spacing w:after="0" w:line="285"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In case of the appointment hereunder of a successor trustee with respect to the Securities of one or more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90" w:lineRule="exact"/>
        <w:rPr>
          <w:sz w:val="20"/>
          <w:szCs w:val="20"/>
          <w:color w:val="auto"/>
        </w:rPr>
      </w:pPr>
    </w:p>
    <w:p>
      <w:pPr>
        <w:jc w:val="both"/>
        <w:ind w:right="100" w:firstLine="1303"/>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Upon request of any such successor trustee, the Company shall execute any and all instruments for more fully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certainly vesting in and confirming to such successor trustee all such rights, powers and trusts referred to in paragraph (a) or (b) of this Section, as the case may be.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ind w:right="60" w:firstLine="1305"/>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No successor trustee shall accept its appointment unless at the time of such acceptance such successor trustee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qualified and eligible under this Article.</w:t>
      </w:r>
    </w:p>
    <w:p>
      <w:pPr>
        <w:spacing w:after="0" w:line="81" w:lineRule="exact"/>
        <w:rPr>
          <w:sz w:val="20"/>
          <w:szCs w:val="20"/>
          <w:color w:val="auto"/>
        </w:rPr>
      </w:pPr>
    </w:p>
    <w:p>
      <w:pPr>
        <w:ind w:left="1320"/>
        <w:spacing w:after="0"/>
        <w:tabs>
          <w:tab w:leader="none" w:pos="288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6"/>
          <w:szCs w:val="16"/>
          <w:color w:val="auto"/>
        </w:rPr>
        <w:t>Upon acceptance of appointment by a successor trustee as provided in this Section, the Company shall send notice</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7.12 Merger, Conversion, Consolidation or Succession to Business</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7.13 Preferential Collection of Claims Against the Company</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7.14 Notice of Default</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ARTICLE 8</w:t>
      </w:r>
    </w:p>
    <w:p>
      <w:pPr>
        <w:spacing w:after="0" w:line="19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CONCERNING THE SECURITYHOLDERS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8.01 Evidence of Action by Securityholders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34"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8.02 Proof of Execution by Securityholders</w:t>
      </w:r>
      <w:r>
        <w:rPr>
          <w:rFonts w:ascii="Arial" w:cs="Arial" w:eastAsia="Arial" w:hAnsi="Arial"/>
          <w:sz w:val="18"/>
          <w:szCs w:val="18"/>
          <w:color w:val="auto"/>
        </w:rPr>
        <w:t>.</w:t>
      </w:r>
    </w:p>
    <w:p>
      <w:pPr>
        <w:spacing w:after="0" w:line="202" w:lineRule="exact"/>
        <w:rPr>
          <w:sz w:val="20"/>
          <w:szCs w:val="20"/>
          <w:color w:val="auto"/>
        </w:rPr>
      </w:pPr>
    </w:p>
    <w:p>
      <w:pPr>
        <w:ind w:right="20" w:firstLine="646"/>
        <w:spacing w:after="0" w:line="342" w:lineRule="auto"/>
        <w:rPr>
          <w:sz w:val="20"/>
          <w:szCs w:val="20"/>
          <w:color w:val="auto"/>
        </w:rPr>
      </w:pPr>
      <w:r>
        <w:rPr>
          <w:rFonts w:ascii="Arial" w:cs="Arial" w:eastAsia="Arial" w:hAnsi="Arial"/>
          <w:sz w:val="16"/>
          <w:szCs w:val="16"/>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6" w:lineRule="exact"/>
        <w:rPr>
          <w:sz w:val="20"/>
          <w:szCs w:val="20"/>
          <w:color w:val="auto"/>
        </w:rPr>
      </w:pPr>
    </w:p>
    <w:p>
      <w:pPr>
        <w:ind w:left="1540" w:right="240" w:hanging="236"/>
        <w:spacing w:after="0" w:line="277" w:lineRule="auto"/>
        <w:tabs>
          <w:tab w:leader="none" w:pos="15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fact and date of the execution by any such Person of any instrument may be proved in any reasonable manner acceptable to the Trustee</w:t>
      </w:r>
    </w:p>
    <w:p>
      <w:pPr>
        <w:spacing w:after="0" w:line="129" w:lineRule="exact"/>
        <w:rPr>
          <w:rFonts w:ascii="Arial" w:cs="Arial" w:eastAsia="Arial" w:hAnsi="Arial"/>
          <w:sz w:val="18"/>
          <w:szCs w:val="18"/>
          <w:b w:val="1"/>
          <w:bCs w:val="1"/>
          <w:color w:val="auto"/>
        </w:rPr>
      </w:pPr>
    </w:p>
    <w:p>
      <w:pPr>
        <w:ind w:left="1540" w:right="300" w:hanging="236"/>
        <w:spacing w:after="0" w:line="277" w:lineRule="auto"/>
        <w:tabs>
          <w:tab w:leader="none" w:pos="15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ownership of Securities shall be proved by the Security Register of such Securities or by a certificate of the Security Registrar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b w:val="1"/>
          <w:bCs w:val="1"/>
          <w:color w:val="auto"/>
        </w:rPr>
        <w:t>Section 8.03 Who May be Deemed Owners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8.04 Certain Securities Owned by Company Disregarded</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8.05 Actions Binding on Future Securityholders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ARTICLE 9</w:t>
      </w:r>
    </w:p>
    <w:p>
      <w:pPr>
        <w:spacing w:after="0" w:line="19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SUPPLEMENTAL INDENTURES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9.01 Supplemental Indentures Without the Consent of Securityholders</w:t>
      </w:r>
      <w:r>
        <w:rPr>
          <w:rFonts w:ascii="Arial" w:cs="Arial" w:eastAsia="Arial" w:hAnsi="Arial"/>
          <w:sz w:val="18"/>
          <w:szCs w:val="18"/>
          <w:color w:val="auto"/>
        </w:rPr>
        <w:t>.</w:t>
      </w:r>
    </w:p>
    <w:p>
      <w:pPr>
        <w:spacing w:after="0" w:line="202" w:lineRule="exact"/>
        <w:rPr>
          <w:sz w:val="20"/>
          <w:szCs w:val="20"/>
          <w:color w:val="auto"/>
        </w:rPr>
      </w:pPr>
    </w:p>
    <w:p>
      <w:pPr>
        <w:jc w:val="both"/>
        <w:ind w:right="20" w:firstLine="647"/>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30" w:lineRule="exact"/>
        <w:rPr>
          <w:sz w:val="20"/>
          <w:szCs w:val="20"/>
          <w:color w:val="auto"/>
        </w:rPr>
      </w:pPr>
    </w:p>
    <w:p>
      <w:pPr>
        <w:ind w:left="1540" w:hanging="236"/>
        <w:spacing w:after="0"/>
        <w:tabs>
          <w:tab w:leader="none" w:pos="15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to cure any ambiguity, defect, or inconsistency herein or in the Securities of any series;</w:t>
      </w:r>
    </w:p>
    <w:p>
      <w:pPr>
        <w:spacing w:after="0" w:line="211" w:lineRule="exact"/>
        <w:rPr>
          <w:rFonts w:ascii="Arial" w:cs="Arial" w:eastAsia="Arial" w:hAnsi="Arial"/>
          <w:sz w:val="18"/>
          <w:szCs w:val="18"/>
          <w:b w:val="1"/>
          <w:bCs w:val="1"/>
          <w:color w:val="auto"/>
        </w:rPr>
      </w:pPr>
    </w:p>
    <w:p>
      <w:pPr>
        <w:ind w:left="1540" w:hanging="236"/>
        <w:spacing w:after="0"/>
        <w:tabs>
          <w:tab w:leader="none" w:pos="15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to comply with Article Ten;</w:t>
      </w:r>
    </w:p>
    <w:p>
      <w:pPr>
        <w:spacing w:after="0" w:line="211" w:lineRule="exact"/>
        <w:rPr>
          <w:rFonts w:ascii="Arial" w:cs="Arial" w:eastAsia="Arial" w:hAnsi="Arial"/>
          <w:sz w:val="18"/>
          <w:szCs w:val="18"/>
          <w:b w:val="1"/>
          <w:bCs w:val="1"/>
          <w:color w:val="auto"/>
        </w:rPr>
      </w:pPr>
    </w:p>
    <w:p>
      <w:pPr>
        <w:ind w:left="1540" w:hanging="236"/>
        <w:spacing w:after="0"/>
        <w:tabs>
          <w:tab w:leader="none" w:pos="15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to provide for uncertificated Securities in addition to or in place of certificated Securities;</w:t>
      </w:r>
    </w:p>
    <w:p>
      <w:pPr>
        <w:spacing w:after="0" w:line="208" w:lineRule="exact"/>
        <w:rPr>
          <w:sz w:val="20"/>
          <w:szCs w:val="20"/>
          <w:color w:val="auto"/>
        </w:rPr>
      </w:pPr>
    </w:p>
    <w:p>
      <w:pPr>
        <w:jc w:val="both"/>
        <w:ind w:right="20" w:firstLine="1303"/>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to add to the covenants, restrictions, conditions or provisions relating to the Company for the benefit of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29" w:lineRule="exact"/>
        <w:rPr>
          <w:sz w:val="20"/>
          <w:szCs w:val="20"/>
          <w:color w:val="auto"/>
        </w:rPr>
      </w:pPr>
    </w:p>
    <w:p>
      <w:pPr>
        <w:ind w:right="380" w:firstLine="1303"/>
        <w:spacing w:after="0" w:line="282"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to add to, delete from, or revise the conditions, limitations, and restrictions on the authorized amount, terms, 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issue, authentication, and delivery of Securities, as herein set forth;</w:t>
      </w:r>
    </w:p>
    <w:p>
      <w:pPr>
        <w:spacing w:after="0" w:line="85" w:lineRule="exact"/>
        <w:rPr>
          <w:sz w:val="20"/>
          <w:szCs w:val="20"/>
          <w:color w:val="auto"/>
        </w:rPr>
      </w:pPr>
    </w:p>
    <w:p>
      <w:pPr>
        <w:ind w:left="1500" w:hanging="196"/>
        <w:spacing w:after="0"/>
        <w:tabs>
          <w:tab w:leader="none" w:pos="150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08" w:lineRule="exact"/>
        <w:rPr>
          <w:sz w:val="20"/>
          <w:szCs w:val="20"/>
          <w:color w:val="auto"/>
        </w:rPr>
      </w:pPr>
    </w:p>
    <w:p>
      <w:pPr>
        <w:jc w:val="both"/>
        <w:ind w:right="20" w:firstLine="1303"/>
        <w:spacing w:after="0" w:line="266" w:lineRule="auto"/>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to provide for the issuance of and establish the form and terms and conditions of the Securities of any series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2.01, to establish the form of any certifications required to be furnished pursuant to the terms of this Indenture or any series of Securities, or to add to the rights of the holders of any series of Securities;</w:t>
      </w:r>
    </w:p>
    <w:p>
      <w:pPr>
        <w:spacing w:after="0" w:line="126" w:lineRule="exact"/>
        <w:rPr>
          <w:sz w:val="20"/>
          <w:szCs w:val="20"/>
          <w:color w:val="auto"/>
        </w:rPr>
      </w:pPr>
    </w:p>
    <w:p>
      <w:pPr>
        <w:ind w:left="1540" w:hanging="236"/>
        <w:spacing w:after="0"/>
        <w:tabs>
          <w:tab w:leader="none" w:pos="15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evidence and provide for the acceptance of appointment hereunder by a successor trustee; or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spacing w:after="0"/>
              <w:rPr>
                <w:sz w:val="20"/>
                <w:szCs w:val="20"/>
                <w:color w:val="auto"/>
              </w:rPr>
            </w:pPr>
            <w:r>
              <w:rPr>
                <w:rFonts w:ascii="Arial" w:cs="Arial" w:eastAsia="Arial" w:hAnsi="Arial"/>
                <w:sz w:val="18"/>
                <w:szCs w:val="18"/>
                <w:b w:val="1"/>
                <w:bCs w:val="1"/>
                <w:color w:val="auto"/>
              </w:rPr>
              <w:t>(i)</w:t>
            </w:r>
          </w:p>
        </w:tc>
        <w:tc>
          <w:tcPr>
            <w:tcW w:w="9740" w:type="dxa"/>
            <w:vAlign w:val="bottom"/>
          </w:tcPr>
          <w:p>
            <w:pPr>
              <w:jc w:val="right"/>
              <w:spacing w:after="0"/>
              <w:rPr>
                <w:sz w:val="20"/>
                <w:szCs w:val="20"/>
                <w:color w:val="auto"/>
              </w:rPr>
            </w:pPr>
            <w:r>
              <w:rPr>
                <w:rFonts w:ascii="Arial" w:cs="Arial" w:eastAsia="Arial" w:hAnsi="Arial"/>
                <w:sz w:val="18"/>
                <w:szCs w:val="18"/>
                <w:b w:val="1"/>
                <w:bCs w:val="1"/>
                <w:color w:val="auto"/>
                <w:w w:val="92"/>
              </w:rPr>
              <w:t>t</w:t>
            </w:r>
            <w:r>
              <w:rPr>
                <w:rFonts w:ascii="Arial" w:cs="Arial" w:eastAsia="Arial" w:hAnsi="Arial"/>
                <w:sz w:val="18"/>
                <w:szCs w:val="18"/>
                <w:color w:val="auto"/>
                <w:w w:val="92"/>
              </w:rPr>
              <w:t>o comply with any requirements of the Commission or any successor in connection with the qualification of this Indenture under the</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w w:val="94"/>
              </w:rPr>
              <w:t>Trust Indenture Act.</w:t>
            </w:r>
          </w:p>
        </w:tc>
        <w:tc>
          <w:tcPr>
            <w:tcW w:w="9740" w:type="dxa"/>
            <w:vAlign w:val="bottom"/>
          </w:tcPr>
          <w:p>
            <w:pPr>
              <w:spacing w:after="0"/>
              <w:rPr>
                <w:sz w:val="20"/>
                <w:szCs w:val="20"/>
                <w:color w:val="auto"/>
              </w:rPr>
            </w:pPr>
          </w:p>
        </w:tc>
      </w:tr>
      <w:tr>
        <w:trPr>
          <w:trHeight w:val="607"/>
        </w:trPr>
        <w:tc>
          <w:tcPr>
            <w:tcW w:w="1520" w:type="dxa"/>
            <w:vAlign w:val="bottom"/>
          </w:tcPr>
          <w:p>
            <w:pPr>
              <w:spacing w:after="0"/>
              <w:rPr>
                <w:sz w:val="24"/>
                <w:szCs w:val="24"/>
                <w:color w:val="auto"/>
              </w:rPr>
            </w:pPr>
          </w:p>
        </w:tc>
        <w:tc>
          <w:tcPr>
            <w:tcW w:w="9740" w:type="dxa"/>
            <w:vAlign w:val="bottom"/>
          </w:tcPr>
          <w:p>
            <w:pPr>
              <w:jc w:val="right"/>
              <w:ind w:right="5450"/>
              <w:spacing w:after="0"/>
              <w:rPr>
                <w:sz w:val="20"/>
                <w:szCs w:val="20"/>
                <w:color w:val="auto"/>
              </w:rPr>
            </w:pPr>
            <w:r>
              <w:rPr>
                <w:rFonts w:ascii="Arial" w:cs="Arial" w:eastAsia="Arial" w:hAnsi="Arial"/>
                <w:sz w:val="18"/>
                <w:szCs w:val="18"/>
                <w:color w:val="auto"/>
              </w:rPr>
              <w:t>39</w:t>
            </w:r>
          </w:p>
        </w:tc>
      </w:tr>
      <w:tr>
        <w:trPr>
          <w:trHeight w:val="790"/>
        </w:trPr>
        <w:tc>
          <w:tcPr>
            <w:tcW w:w="152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64122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76" w:name="page77"/>
    <w:bookmarkEnd w:id="76"/>
    <w:p>
      <w:pPr>
        <w:jc w:val="both"/>
        <w:ind w:firstLine="647"/>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30"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9.02 Supplemental Indentures With Consent of Securityholders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27"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9.03 Effect of Supplemental Indentures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b w:val="1"/>
          <w:bCs w:val="1"/>
          <w:color w:val="auto"/>
        </w:rPr>
        <w:t>Section 9.04 Securities Affected by Supplemental Indentures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9.05 Execution of Supplemental Indentures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84"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10.01 Company May Consolidate, Etc.</w:t>
      </w:r>
    </w:p>
    <w:p>
      <w:pPr>
        <w:spacing w:after="0" w:line="20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b w:val="1"/>
          <w:bCs w:val="1"/>
          <w:color w:val="auto"/>
        </w:rPr>
        <w:t>Section 10.02 Successor Entity Substituted</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58"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In case of any such consolidation, merger, sale, conveyance, transfer or other disposition and upon the assumption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29" w:lineRule="exact"/>
        <w:rPr>
          <w:sz w:val="20"/>
          <w:szCs w:val="20"/>
          <w:color w:val="auto"/>
        </w:rPr>
      </w:pPr>
    </w:p>
    <w:p>
      <w:pPr>
        <w:ind w:right="700" w:firstLine="1303"/>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In case of any such consolidation, merger, sale, conveyance, transfer or other disposition, such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phraseology and form (but not in substance) may be made in the Securities thereafter to be issued as may be appropriate.</w:t>
      </w:r>
    </w:p>
    <w:p>
      <w:pPr>
        <w:spacing w:after="0" w:line="81" w:lineRule="exact"/>
        <w:rPr>
          <w:sz w:val="20"/>
          <w:szCs w:val="20"/>
          <w:color w:val="auto"/>
        </w:rPr>
      </w:pPr>
    </w:p>
    <w:p>
      <w:pPr>
        <w:ind w:left="1320"/>
        <w:spacing w:after="0"/>
        <w:tabs>
          <w:tab w:leader="none" w:pos="288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6"/>
          <w:szCs w:val="16"/>
          <w:color w:val="auto"/>
        </w:rPr>
        <w:t>Nothing contained in this Article shall require any action by the Company in the case of a consolidation or merger</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9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SATISFACTION AND DISCHARGE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11.01 Satisfaction and Discharge of Indenture</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b w:val="1"/>
          <w:bCs w:val="1"/>
          <w:color w:val="auto"/>
        </w:rPr>
        <w:t>Section 11.02 Discharge of Obligations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Thereafter, Sections 7.06 and 11.05 shall survive.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11.03 Deposited Moneys to be Held in Trust</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11.04 Payment of Moneys Held by Paying Agents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b w:val="1"/>
          <w:bCs w:val="1"/>
          <w:color w:val="auto"/>
        </w:rPr>
        <w:t>Section 11.05 Repayment to Company</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98"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IMMUNITY OF INCORPORATORS, SHAREHOLDER, OFFICERS AND DIRECTORS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12.01 No Recourse</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ARTICLE 13</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MISCELLANEOUS PROVISIONS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13.01 Effect on Successors and Assigns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13.02 Actions by Successor</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13.03 Surrender of Company Powers</w:t>
      </w:r>
      <w:r>
        <w:rPr>
          <w:rFonts w:ascii="Arial" w:cs="Arial" w:eastAsia="Arial" w:hAnsi="Arial"/>
          <w:sz w:val="18"/>
          <w:szCs w:val="18"/>
          <w:color w:val="auto"/>
        </w:rPr>
        <w:t>.</w:t>
      </w:r>
    </w:p>
    <w:p>
      <w:pPr>
        <w:spacing w:after="0" w:line="202" w:lineRule="exact"/>
        <w:rPr>
          <w:sz w:val="20"/>
          <w:szCs w:val="20"/>
          <w:color w:val="auto"/>
        </w:rPr>
      </w:pPr>
    </w:p>
    <w:p>
      <w:pPr>
        <w:ind w:right="20" w:firstLine="646"/>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13.04 Notices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Destination XL Group, Inc., 555 Turnpike Street, Canton, MA 02021, Attn: Chief Financial Officer. Any notice, election, request or demand by the Company or any Security holder or by any other Person pursuant to this Indenture to or upon the Trustee shall be deemed to have been sufficiently given or made, for all purposes, if given or made in writing at the Corporate Trust Office of the Trustee.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13.05 Governing Law; Jury Trial Waiver</w:t>
      </w:r>
      <w:r>
        <w:rPr>
          <w:rFonts w:ascii="Arial" w:cs="Arial" w:eastAsia="Arial" w:hAnsi="Arial"/>
          <w:sz w:val="18"/>
          <w:szCs w:val="18"/>
          <w:color w:val="auto"/>
        </w:rPr>
        <w:t>.</w:t>
      </w:r>
    </w:p>
    <w:p>
      <w:pPr>
        <w:spacing w:after="0" w:line="202" w:lineRule="exact"/>
        <w:rPr>
          <w:sz w:val="20"/>
          <w:szCs w:val="20"/>
          <w:color w:val="auto"/>
        </w:rPr>
      </w:pPr>
    </w:p>
    <w:p>
      <w:pPr>
        <w:jc w:val="both"/>
        <w:ind w:right="20" w:firstLine="646"/>
        <w:spacing w:after="0" w:line="277" w:lineRule="auto"/>
        <w:rPr>
          <w:sz w:val="20"/>
          <w:szCs w:val="20"/>
          <w:color w:val="auto"/>
        </w:rPr>
      </w:pPr>
      <w:r>
        <w:rPr>
          <w:rFonts w:ascii="Arial" w:cs="Arial" w:eastAsia="Arial" w:hAnsi="Arial"/>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8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color w:val="auto"/>
        </w:rPr>
        <w:t>Section 13.06 Treatment of Securities as Debt</w:t>
      </w:r>
      <w:r>
        <w:rPr>
          <w:rFonts w:ascii="Arial" w:cs="Arial" w:eastAsia="Arial" w:hAnsi="Arial"/>
          <w:sz w:val="18"/>
          <w:szCs w:val="18"/>
          <w:color w:val="auto"/>
        </w:rPr>
        <w:t>.</w:t>
      </w:r>
    </w:p>
    <w:p>
      <w:pPr>
        <w:spacing w:after="0" w:line="202" w:lineRule="exact"/>
        <w:rPr>
          <w:sz w:val="20"/>
          <w:szCs w:val="20"/>
          <w:color w:val="auto"/>
        </w:rPr>
      </w:pPr>
    </w:p>
    <w:p>
      <w:pPr>
        <w:ind w:right="80" w:firstLine="647"/>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13.07 Certificates and Opinions as to Conditions Precedent</w:t>
      </w:r>
      <w:r>
        <w:rPr>
          <w:rFonts w:ascii="Arial" w:cs="Arial" w:eastAsia="Arial" w:hAnsi="Arial"/>
          <w:sz w:val="18"/>
          <w:szCs w:val="18"/>
          <w:color w:val="auto"/>
        </w:rPr>
        <w:t>.</w:t>
      </w:r>
    </w:p>
    <w:p>
      <w:pPr>
        <w:spacing w:after="0" w:line="198" w:lineRule="exact"/>
        <w:rPr>
          <w:sz w:val="20"/>
          <w:szCs w:val="20"/>
          <w:color w:val="auto"/>
        </w:rPr>
      </w:pPr>
    </w:p>
    <w:p>
      <w:pPr>
        <w:jc w:val="both"/>
        <w:ind w:firstLine="1303"/>
        <w:spacing w:after="0" w:line="25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Upon any application or demand by the Company to the Trustee to take any action under any of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33" w:lineRule="exact"/>
        <w:rPr>
          <w:sz w:val="20"/>
          <w:szCs w:val="20"/>
          <w:color w:val="auto"/>
        </w:rPr>
      </w:pPr>
    </w:p>
    <w:p>
      <w:pPr>
        <w:jc w:val="both"/>
        <w:ind w:firstLine="1303"/>
        <w:spacing w:after="0" w:line="273"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Each certificate or opinion provided for in this Indenture and delivered to the Trustee with respect to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13.08 Payments on Business Days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b w:val="1"/>
          <w:bCs w:val="1"/>
          <w:color w:val="auto"/>
        </w:rPr>
        <w:t>Section 13.09 Conflict with Trust Indenture Act</w:t>
      </w:r>
      <w:r>
        <w:rPr>
          <w:rFonts w:ascii="Arial" w:cs="Arial" w:eastAsia="Arial" w:hAnsi="Arial"/>
          <w:sz w:val="18"/>
          <w:szCs w:val="18"/>
          <w:color w:val="auto"/>
        </w:rPr>
        <w:t>.</w:t>
      </w:r>
    </w:p>
    <w:p>
      <w:pPr>
        <w:spacing w:after="0" w:line="202" w:lineRule="exact"/>
        <w:rPr>
          <w:sz w:val="20"/>
          <w:szCs w:val="20"/>
          <w:color w:val="auto"/>
        </w:rPr>
      </w:pPr>
    </w:p>
    <w:p>
      <w:pPr>
        <w:ind w:right="20" w:firstLine="646"/>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 318(c) of the Trust Indenture Act, such imposed duties shall control.</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13.10 Counterparts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13.11 Separability</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13.12 Compliance Certificates</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13.13 U.S.A Patriot Act</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13.14 Force Majeure</w:t>
      </w:r>
      <w:r>
        <w:rPr>
          <w:rFonts w:ascii="Arial" w:cs="Arial" w:eastAsia="Arial" w:hAnsi="Arial"/>
          <w:sz w:val="18"/>
          <w:szCs w:val="18"/>
          <w:color w:val="auto"/>
        </w:rPr>
        <w:t>.</w:t>
      </w:r>
    </w:p>
    <w:p>
      <w:pPr>
        <w:spacing w:after="0" w:line="202"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13.15 Table of Contents; Headings.</w:t>
      </w:r>
    </w:p>
    <w:p>
      <w:pPr>
        <w:spacing w:after="0" w:line="20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4122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Indenture to be duly executed all as of the day and year first above written.</w:t>
      </w:r>
    </w:p>
    <w:p>
      <w:pPr>
        <w:spacing w:after="0" w:line="25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Destination XL Group, Inc.</w:t>
      </w: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803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607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28"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[TRUSTEE], as Trustee</w:t>
      </w: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803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57607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5"/>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CROSS-REFERENCE TABLE (1)</w:t>
            </w:r>
          </w:p>
        </w:tc>
        <w:tc>
          <w:tcPr>
            <w:tcW w:w="4960" w:type="dxa"/>
            <w:vAlign w:val="bottom"/>
          </w:tcPr>
          <w:p>
            <w:pPr>
              <w:spacing w:after="0"/>
              <w:rPr>
                <w:sz w:val="18"/>
                <w:szCs w:val="18"/>
                <w:color w:val="auto"/>
              </w:rPr>
            </w:pPr>
          </w:p>
        </w:tc>
      </w:tr>
      <w:tr>
        <w:trPr>
          <w:trHeight w:val="398"/>
        </w:trPr>
        <w:tc>
          <w:tcPr>
            <w:tcW w:w="5160" w:type="dxa"/>
            <w:vAlign w:val="bottom"/>
            <w:gridSpan w:val="2"/>
          </w:tcPr>
          <w:p>
            <w:pPr>
              <w:ind w:left="720"/>
              <w:spacing w:after="0"/>
              <w:rPr>
                <w:sz w:val="20"/>
                <w:szCs w:val="20"/>
                <w:color w:val="auto"/>
              </w:rPr>
            </w:pPr>
            <w:r>
              <w:rPr>
                <w:rFonts w:ascii="Arial" w:cs="Arial" w:eastAsia="Arial" w:hAnsi="Arial"/>
                <w:sz w:val="16"/>
                <w:szCs w:val="16"/>
                <w:b w:val="1"/>
                <w:bCs w:val="1"/>
                <w:color w:val="auto"/>
              </w:rPr>
              <w:t>Section of Trust Indenture Act of 1939, as Amended</w:t>
            </w:r>
          </w:p>
        </w:tc>
        <w:tc>
          <w:tcPr>
            <w:tcW w:w="4960" w:type="dxa"/>
            <w:vAlign w:val="bottom"/>
          </w:tcPr>
          <w:p>
            <w:pPr>
              <w:ind w:left="1760"/>
              <w:spacing w:after="0"/>
              <w:rPr>
                <w:sz w:val="20"/>
                <w:szCs w:val="20"/>
                <w:color w:val="auto"/>
              </w:rPr>
            </w:pPr>
            <w:r>
              <w:rPr>
                <w:rFonts w:ascii="Arial" w:cs="Arial" w:eastAsia="Arial" w:hAnsi="Arial"/>
                <w:sz w:val="16"/>
                <w:szCs w:val="16"/>
                <w:b w:val="1"/>
                <w:bCs w:val="1"/>
                <w:color w:val="auto"/>
              </w:rPr>
              <w:t>Section of Indenture</w:t>
            </w:r>
          </w:p>
        </w:tc>
      </w:tr>
      <w:tr>
        <w:trPr>
          <w:trHeight w:val="171"/>
        </w:trPr>
        <w:tc>
          <w:tcPr>
            <w:tcW w:w="49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310(a)</w:t>
            </w:r>
          </w:p>
        </w:tc>
        <w:tc>
          <w:tcPr>
            <w:tcW w:w="180" w:type="dxa"/>
            <w:vAlign w:val="bottom"/>
          </w:tcPr>
          <w:p>
            <w:pPr>
              <w:spacing w:after="0"/>
              <w:rPr>
                <w:sz w:val="14"/>
                <w:szCs w:val="14"/>
                <w:color w:val="auto"/>
              </w:rPr>
            </w:pPr>
          </w:p>
        </w:tc>
        <w:tc>
          <w:tcPr>
            <w:tcW w:w="496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7.09</w:t>
            </w: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310(b)</w:t>
            </w:r>
          </w:p>
        </w:tc>
        <w:tc>
          <w:tcPr>
            <w:tcW w:w="4960" w:type="dxa"/>
            <w:vAlign w:val="bottom"/>
          </w:tcPr>
          <w:p>
            <w:pPr>
              <w:ind w:left="20"/>
              <w:spacing w:after="0"/>
              <w:rPr>
                <w:sz w:val="20"/>
                <w:szCs w:val="20"/>
                <w:color w:val="auto"/>
              </w:rPr>
            </w:pPr>
            <w:r>
              <w:rPr>
                <w:rFonts w:ascii="Arial" w:cs="Arial" w:eastAsia="Arial" w:hAnsi="Arial"/>
                <w:sz w:val="16"/>
                <w:szCs w:val="16"/>
                <w:color w:val="auto"/>
              </w:rPr>
              <w:t>7.08</w:t>
            </w:r>
          </w:p>
        </w:tc>
      </w:tr>
      <w:tr>
        <w:trPr>
          <w:trHeight w:val="197"/>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7.10</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310(c)</w:t>
            </w:r>
          </w:p>
        </w:tc>
        <w:tc>
          <w:tcPr>
            <w:tcW w:w="496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311(a)</w:t>
            </w:r>
          </w:p>
        </w:tc>
        <w:tc>
          <w:tcPr>
            <w:tcW w:w="4960" w:type="dxa"/>
            <w:vAlign w:val="bottom"/>
          </w:tcPr>
          <w:p>
            <w:pPr>
              <w:ind w:left="20"/>
              <w:spacing w:after="0"/>
              <w:rPr>
                <w:sz w:val="20"/>
                <w:szCs w:val="20"/>
                <w:color w:val="auto"/>
              </w:rPr>
            </w:pPr>
            <w:r>
              <w:rPr>
                <w:rFonts w:ascii="Arial" w:cs="Arial" w:eastAsia="Arial" w:hAnsi="Arial"/>
                <w:sz w:val="16"/>
                <w:szCs w:val="16"/>
                <w:color w:val="auto"/>
              </w:rPr>
              <w:t>7.13</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311(b)</w:t>
            </w:r>
          </w:p>
        </w:tc>
        <w:tc>
          <w:tcPr>
            <w:tcW w:w="4960" w:type="dxa"/>
            <w:vAlign w:val="bottom"/>
          </w:tcPr>
          <w:p>
            <w:pPr>
              <w:ind w:left="20"/>
              <w:spacing w:after="0"/>
              <w:rPr>
                <w:sz w:val="20"/>
                <w:szCs w:val="20"/>
                <w:color w:val="auto"/>
              </w:rPr>
            </w:pPr>
            <w:r>
              <w:rPr>
                <w:rFonts w:ascii="Arial" w:cs="Arial" w:eastAsia="Arial" w:hAnsi="Arial"/>
                <w:sz w:val="16"/>
                <w:szCs w:val="16"/>
                <w:color w:val="auto"/>
              </w:rPr>
              <w:t>7.13</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311(c)</w:t>
            </w:r>
          </w:p>
        </w:tc>
        <w:tc>
          <w:tcPr>
            <w:tcW w:w="496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312(a)</w:t>
            </w:r>
          </w:p>
        </w:tc>
        <w:tc>
          <w:tcPr>
            <w:tcW w:w="4960" w:type="dxa"/>
            <w:vAlign w:val="bottom"/>
          </w:tcPr>
          <w:p>
            <w:pPr>
              <w:ind w:left="20"/>
              <w:spacing w:after="0"/>
              <w:rPr>
                <w:sz w:val="20"/>
                <w:szCs w:val="20"/>
                <w:color w:val="auto"/>
              </w:rPr>
            </w:pPr>
            <w:r>
              <w:rPr>
                <w:rFonts w:ascii="Arial" w:cs="Arial" w:eastAsia="Arial" w:hAnsi="Arial"/>
                <w:sz w:val="16"/>
                <w:szCs w:val="16"/>
                <w:color w:val="auto"/>
              </w:rPr>
              <w:t>5.01</w:t>
            </w:r>
          </w:p>
        </w:tc>
      </w:tr>
      <w:tr>
        <w:trPr>
          <w:trHeight w:val="197"/>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5.02(a)</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312(b)</w:t>
            </w:r>
          </w:p>
        </w:tc>
        <w:tc>
          <w:tcPr>
            <w:tcW w:w="4960" w:type="dxa"/>
            <w:vAlign w:val="bottom"/>
          </w:tcPr>
          <w:p>
            <w:pPr>
              <w:ind w:left="20"/>
              <w:spacing w:after="0"/>
              <w:rPr>
                <w:sz w:val="20"/>
                <w:szCs w:val="20"/>
                <w:color w:val="auto"/>
              </w:rPr>
            </w:pPr>
            <w:r>
              <w:rPr>
                <w:rFonts w:ascii="Arial" w:cs="Arial" w:eastAsia="Arial" w:hAnsi="Arial"/>
                <w:sz w:val="16"/>
                <w:szCs w:val="16"/>
                <w:color w:val="auto"/>
              </w:rPr>
              <w:t>5.02(c)</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312(c)</w:t>
            </w:r>
          </w:p>
        </w:tc>
        <w:tc>
          <w:tcPr>
            <w:tcW w:w="4960" w:type="dxa"/>
            <w:vAlign w:val="bottom"/>
          </w:tcPr>
          <w:p>
            <w:pPr>
              <w:ind w:left="20"/>
              <w:spacing w:after="0"/>
              <w:rPr>
                <w:sz w:val="20"/>
                <w:szCs w:val="20"/>
                <w:color w:val="auto"/>
              </w:rPr>
            </w:pPr>
            <w:r>
              <w:rPr>
                <w:rFonts w:ascii="Arial" w:cs="Arial" w:eastAsia="Arial" w:hAnsi="Arial"/>
                <w:sz w:val="16"/>
                <w:szCs w:val="16"/>
                <w:color w:val="auto"/>
              </w:rPr>
              <w:t>5.02(c)</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313(a)</w:t>
            </w:r>
          </w:p>
        </w:tc>
        <w:tc>
          <w:tcPr>
            <w:tcW w:w="4960" w:type="dxa"/>
            <w:vAlign w:val="bottom"/>
          </w:tcPr>
          <w:p>
            <w:pPr>
              <w:ind w:left="20"/>
              <w:spacing w:after="0"/>
              <w:rPr>
                <w:sz w:val="20"/>
                <w:szCs w:val="20"/>
                <w:color w:val="auto"/>
              </w:rPr>
            </w:pPr>
            <w:r>
              <w:rPr>
                <w:rFonts w:ascii="Arial" w:cs="Arial" w:eastAsia="Arial" w:hAnsi="Arial"/>
                <w:sz w:val="16"/>
                <w:szCs w:val="16"/>
                <w:color w:val="auto"/>
              </w:rPr>
              <w:t>5.04(a)</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313(b)</w:t>
            </w:r>
          </w:p>
        </w:tc>
        <w:tc>
          <w:tcPr>
            <w:tcW w:w="4960" w:type="dxa"/>
            <w:vAlign w:val="bottom"/>
          </w:tcPr>
          <w:p>
            <w:pPr>
              <w:ind w:left="20"/>
              <w:spacing w:after="0"/>
              <w:rPr>
                <w:sz w:val="20"/>
                <w:szCs w:val="20"/>
                <w:color w:val="auto"/>
              </w:rPr>
            </w:pPr>
            <w:r>
              <w:rPr>
                <w:rFonts w:ascii="Arial" w:cs="Arial" w:eastAsia="Arial" w:hAnsi="Arial"/>
                <w:sz w:val="16"/>
                <w:szCs w:val="16"/>
                <w:color w:val="auto"/>
              </w:rPr>
              <w:t>5.04(b)</w:t>
            </w: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313(c)</w:t>
            </w:r>
          </w:p>
        </w:tc>
        <w:tc>
          <w:tcPr>
            <w:tcW w:w="4960" w:type="dxa"/>
            <w:vAlign w:val="bottom"/>
          </w:tcPr>
          <w:p>
            <w:pPr>
              <w:ind w:left="20"/>
              <w:spacing w:after="0"/>
              <w:rPr>
                <w:sz w:val="20"/>
                <w:szCs w:val="20"/>
                <w:color w:val="auto"/>
              </w:rPr>
            </w:pPr>
            <w:r>
              <w:rPr>
                <w:rFonts w:ascii="Arial" w:cs="Arial" w:eastAsia="Arial" w:hAnsi="Arial"/>
                <w:sz w:val="16"/>
                <w:szCs w:val="16"/>
                <w:color w:val="auto"/>
              </w:rPr>
              <w:t>5.04(a)</w:t>
            </w:r>
          </w:p>
        </w:tc>
      </w:tr>
      <w:tr>
        <w:trPr>
          <w:trHeight w:val="197"/>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5.04(b)</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313(d)</w:t>
            </w:r>
          </w:p>
        </w:tc>
        <w:tc>
          <w:tcPr>
            <w:tcW w:w="4960" w:type="dxa"/>
            <w:vAlign w:val="bottom"/>
          </w:tcPr>
          <w:p>
            <w:pPr>
              <w:ind w:left="20"/>
              <w:spacing w:after="0"/>
              <w:rPr>
                <w:sz w:val="20"/>
                <w:szCs w:val="20"/>
                <w:color w:val="auto"/>
              </w:rPr>
            </w:pPr>
            <w:r>
              <w:rPr>
                <w:rFonts w:ascii="Arial" w:cs="Arial" w:eastAsia="Arial" w:hAnsi="Arial"/>
                <w:sz w:val="16"/>
                <w:szCs w:val="16"/>
                <w:color w:val="auto"/>
              </w:rPr>
              <w:t>5.04(c)</w:t>
            </w: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314(a)</w:t>
            </w:r>
          </w:p>
        </w:tc>
        <w:tc>
          <w:tcPr>
            <w:tcW w:w="4960" w:type="dxa"/>
            <w:vAlign w:val="bottom"/>
          </w:tcPr>
          <w:p>
            <w:pPr>
              <w:ind w:left="20"/>
              <w:spacing w:after="0"/>
              <w:rPr>
                <w:sz w:val="20"/>
                <w:szCs w:val="20"/>
                <w:color w:val="auto"/>
              </w:rPr>
            </w:pPr>
            <w:r>
              <w:rPr>
                <w:rFonts w:ascii="Arial" w:cs="Arial" w:eastAsia="Arial" w:hAnsi="Arial"/>
                <w:sz w:val="16"/>
                <w:szCs w:val="16"/>
                <w:color w:val="auto"/>
              </w:rPr>
              <w:t>5.03</w:t>
            </w:r>
          </w:p>
        </w:tc>
      </w:tr>
      <w:tr>
        <w:trPr>
          <w:trHeight w:val="197"/>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13.12</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314(b)</w:t>
            </w:r>
          </w:p>
        </w:tc>
        <w:tc>
          <w:tcPr>
            <w:tcW w:w="496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314(c)</w:t>
            </w:r>
          </w:p>
        </w:tc>
        <w:tc>
          <w:tcPr>
            <w:tcW w:w="4960" w:type="dxa"/>
            <w:vAlign w:val="bottom"/>
          </w:tcPr>
          <w:p>
            <w:pPr>
              <w:ind w:left="20"/>
              <w:spacing w:after="0"/>
              <w:rPr>
                <w:sz w:val="20"/>
                <w:szCs w:val="20"/>
                <w:color w:val="auto"/>
              </w:rPr>
            </w:pPr>
            <w:r>
              <w:rPr>
                <w:rFonts w:ascii="Arial" w:cs="Arial" w:eastAsia="Arial" w:hAnsi="Arial"/>
                <w:sz w:val="16"/>
                <w:szCs w:val="16"/>
                <w:color w:val="auto"/>
              </w:rPr>
              <w:t>13.07(a)</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314(d)</w:t>
            </w:r>
          </w:p>
        </w:tc>
        <w:tc>
          <w:tcPr>
            <w:tcW w:w="496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314(e)</w:t>
            </w:r>
          </w:p>
        </w:tc>
        <w:tc>
          <w:tcPr>
            <w:tcW w:w="4960" w:type="dxa"/>
            <w:vAlign w:val="bottom"/>
          </w:tcPr>
          <w:p>
            <w:pPr>
              <w:ind w:left="20"/>
              <w:spacing w:after="0"/>
              <w:rPr>
                <w:sz w:val="20"/>
                <w:szCs w:val="20"/>
                <w:color w:val="auto"/>
              </w:rPr>
            </w:pPr>
            <w:r>
              <w:rPr>
                <w:rFonts w:ascii="Arial" w:cs="Arial" w:eastAsia="Arial" w:hAnsi="Arial"/>
                <w:sz w:val="16"/>
                <w:szCs w:val="16"/>
                <w:color w:val="auto"/>
              </w:rPr>
              <w:t>13.07(b)</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314(f)</w:t>
            </w:r>
          </w:p>
        </w:tc>
        <w:tc>
          <w:tcPr>
            <w:tcW w:w="496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315(a)</w:t>
            </w:r>
          </w:p>
        </w:tc>
        <w:tc>
          <w:tcPr>
            <w:tcW w:w="4960" w:type="dxa"/>
            <w:vAlign w:val="bottom"/>
          </w:tcPr>
          <w:p>
            <w:pPr>
              <w:ind w:left="20"/>
              <w:spacing w:after="0"/>
              <w:rPr>
                <w:sz w:val="20"/>
                <w:szCs w:val="20"/>
                <w:color w:val="auto"/>
              </w:rPr>
            </w:pPr>
            <w:r>
              <w:rPr>
                <w:rFonts w:ascii="Arial" w:cs="Arial" w:eastAsia="Arial" w:hAnsi="Arial"/>
                <w:sz w:val="16"/>
                <w:szCs w:val="16"/>
                <w:color w:val="auto"/>
              </w:rPr>
              <w:t>7.01(a)</w:t>
            </w:r>
          </w:p>
        </w:tc>
      </w:tr>
      <w:tr>
        <w:trPr>
          <w:trHeight w:val="197"/>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7.01(b)</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315(b)</w:t>
            </w:r>
          </w:p>
        </w:tc>
        <w:tc>
          <w:tcPr>
            <w:tcW w:w="4960" w:type="dxa"/>
            <w:vAlign w:val="bottom"/>
          </w:tcPr>
          <w:p>
            <w:pPr>
              <w:ind w:left="20"/>
              <w:spacing w:after="0"/>
              <w:rPr>
                <w:sz w:val="20"/>
                <w:szCs w:val="20"/>
                <w:color w:val="auto"/>
              </w:rPr>
            </w:pPr>
            <w:r>
              <w:rPr>
                <w:rFonts w:ascii="Arial" w:cs="Arial" w:eastAsia="Arial" w:hAnsi="Arial"/>
                <w:sz w:val="16"/>
                <w:szCs w:val="16"/>
                <w:color w:val="auto"/>
              </w:rPr>
              <w:t>7.14</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315(c)</w:t>
            </w:r>
          </w:p>
        </w:tc>
        <w:tc>
          <w:tcPr>
            <w:tcW w:w="4960" w:type="dxa"/>
            <w:vAlign w:val="bottom"/>
          </w:tcPr>
          <w:p>
            <w:pPr>
              <w:ind w:left="20"/>
              <w:spacing w:after="0"/>
              <w:rPr>
                <w:sz w:val="20"/>
                <w:szCs w:val="20"/>
                <w:color w:val="auto"/>
              </w:rPr>
            </w:pPr>
            <w:r>
              <w:rPr>
                <w:rFonts w:ascii="Arial" w:cs="Arial" w:eastAsia="Arial" w:hAnsi="Arial"/>
                <w:sz w:val="16"/>
                <w:szCs w:val="16"/>
                <w:color w:val="auto"/>
              </w:rPr>
              <w:t>7.01</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315(d)</w:t>
            </w:r>
          </w:p>
        </w:tc>
        <w:tc>
          <w:tcPr>
            <w:tcW w:w="4960" w:type="dxa"/>
            <w:vAlign w:val="bottom"/>
          </w:tcPr>
          <w:p>
            <w:pPr>
              <w:ind w:left="20"/>
              <w:spacing w:after="0"/>
              <w:rPr>
                <w:sz w:val="20"/>
                <w:szCs w:val="20"/>
                <w:color w:val="auto"/>
              </w:rPr>
            </w:pPr>
            <w:r>
              <w:rPr>
                <w:rFonts w:ascii="Arial" w:cs="Arial" w:eastAsia="Arial" w:hAnsi="Arial"/>
                <w:sz w:val="16"/>
                <w:szCs w:val="16"/>
                <w:color w:val="auto"/>
              </w:rPr>
              <w:t>7.01(b)</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315(e)</w:t>
            </w:r>
          </w:p>
        </w:tc>
        <w:tc>
          <w:tcPr>
            <w:tcW w:w="4960" w:type="dxa"/>
            <w:vAlign w:val="bottom"/>
          </w:tcPr>
          <w:p>
            <w:pPr>
              <w:ind w:left="20"/>
              <w:spacing w:after="0"/>
              <w:rPr>
                <w:sz w:val="20"/>
                <w:szCs w:val="20"/>
                <w:color w:val="auto"/>
              </w:rPr>
            </w:pPr>
            <w:r>
              <w:rPr>
                <w:rFonts w:ascii="Arial" w:cs="Arial" w:eastAsia="Arial" w:hAnsi="Arial"/>
                <w:sz w:val="16"/>
                <w:szCs w:val="16"/>
                <w:color w:val="auto"/>
              </w:rPr>
              <w:t>6.07</w:t>
            </w: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316(a)</w:t>
            </w:r>
          </w:p>
        </w:tc>
        <w:tc>
          <w:tcPr>
            <w:tcW w:w="4960" w:type="dxa"/>
            <w:vAlign w:val="bottom"/>
          </w:tcPr>
          <w:p>
            <w:pPr>
              <w:ind w:left="20"/>
              <w:spacing w:after="0"/>
              <w:rPr>
                <w:sz w:val="20"/>
                <w:szCs w:val="20"/>
                <w:color w:val="auto"/>
              </w:rPr>
            </w:pPr>
            <w:r>
              <w:rPr>
                <w:rFonts w:ascii="Arial" w:cs="Arial" w:eastAsia="Arial" w:hAnsi="Arial"/>
                <w:sz w:val="16"/>
                <w:szCs w:val="16"/>
                <w:color w:val="auto"/>
              </w:rPr>
              <w:t>6.06</w:t>
            </w:r>
          </w:p>
        </w:tc>
      </w:tr>
      <w:tr>
        <w:trPr>
          <w:trHeight w:val="197"/>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8.04</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316(b)</w:t>
            </w:r>
          </w:p>
        </w:tc>
        <w:tc>
          <w:tcPr>
            <w:tcW w:w="4960" w:type="dxa"/>
            <w:vAlign w:val="bottom"/>
          </w:tcPr>
          <w:p>
            <w:pPr>
              <w:ind w:left="20"/>
              <w:spacing w:after="0"/>
              <w:rPr>
                <w:sz w:val="20"/>
                <w:szCs w:val="20"/>
                <w:color w:val="auto"/>
              </w:rPr>
            </w:pPr>
            <w:r>
              <w:rPr>
                <w:rFonts w:ascii="Arial" w:cs="Arial" w:eastAsia="Arial" w:hAnsi="Arial"/>
                <w:sz w:val="16"/>
                <w:szCs w:val="16"/>
                <w:color w:val="auto"/>
              </w:rPr>
              <w:t>6.04</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316(c)</w:t>
            </w:r>
          </w:p>
        </w:tc>
        <w:tc>
          <w:tcPr>
            <w:tcW w:w="4960" w:type="dxa"/>
            <w:vAlign w:val="bottom"/>
          </w:tcPr>
          <w:p>
            <w:pPr>
              <w:ind w:left="20"/>
              <w:spacing w:after="0"/>
              <w:rPr>
                <w:sz w:val="20"/>
                <w:szCs w:val="20"/>
                <w:color w:val="auto"/>
              </w:rPr>
            </w:pPr>
            <w:r>
              <w:rPr>
                <w:rFonts w:ascii="Arial" w:cs="Arial" w:eastAsia="Arial" w:hAnsi="Arial"/>
                <w:sz w:val="16"/>
                <w:szCs w:val="16"/>
                <w:color w:val="auto"/>
              </w:rPr>
              <w:t>8.01</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317(a)</w:t>
            </w:r>
          </w:p>
        </w:tc>
        <w:tc>
          <w:tcPr>
            <w:tcW w:w="4960" w:type="dxa"/>
            <w:vAlign w:val="bottom"/>
          </w:tcPr>
          <w:p>
            <w:pPr>
              <w:ind w:left="20"/>
              <w:spacing w:after="0"/>
              <w:rPr>
                <w:sz w:val="20"/>
                <w:szCs w:val="20"/>
                <w:color w:val="auto"/>
              </w:rPr>
            </w:pPr>
            <w:r>
              <w:rPr>
                <w:rFonts w:ascii="Arial" w:cs="Arial" w:eastAsia="Arial" w:hAnsi="Arial"/>
                <w:sz w:val="16"/>
                <w:szCs w:val="16"/>
                <w:color w:val="auto"/>
              </w:rPr>
              <w:t>6.02</w:t>
            </w: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317(b)</w:t>
            </w:r>
          </w:p>
        </w:tc>
        <w:tc>
          <w:tcPr>
            <w:tcW w:w="4960" w:type="dxa"/>
            <w:vAlign w:val="bottom"/>
          </w:tcPr>
          <w:p>
            <w:pPr>
              <w:ind w:left="20"/>
              <w:spacing w:after="0"/>
              <w:rPr>
                <w:sz w:val="20"/>
                <w:szCs w:val="20"/>
                <w:color w:val="auto"/>
              </w:rPr>
            </w:pPr>
            <w:r>
              <w:rPr>
                <w:rFonts w:ascii="Arial" w:cs="Arial" w:eastAsia="Arial" w:hAnsi="Arial"/>
                <w:sz w:val="16"/>
                <w:szCs w:val="16"/>
                <w:color w:val="auto"/>
              </w:rPr>
              <w:t>4.03</w:t>
            </w: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318(a)</w:t>
            </w:r>
          </w:p>
        </w:tc>
        <w:tc>
          <w:tcPr>
            <w:tcW w:w="4960" w:type="dxa"/>
            <w:vAlign w:val="bottom"/>
          </w:tcPr>
          <w:p>
            <w:pPr>
              <w:ind w:left="20"/>
              <w:spacing w:after="0"/>
              <w:rPr>
                <w:sz w:val="20"/>
                <w:szCs w:val="20"/>
                <w:color w:val="auto"/>
              </w:rPr>
            </w:pPr>
            <w:r>
              <w:rPr>
                <w:rFonts w:ascii="Arial" w:cs="Arial" w:eastAsia="Arial" w:hAnsi="Arial"/>
                <w:sz w:val="16"/>
                <w:szCs w:val="16"/>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027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66" w:lineRule="exact"/>
        <w:rPr>
          <w:sz w:val="20"/>
          <w:szCs w:val="20"/>
          <w:color w:val="auto"/>
        </w:rPr>
      </w:pPr>
    </w:p>
    <w:p>
      <w:pPr>
        <w:ind w:right="179" w:firstLine="16"/>
        <w:spacing w:after="0" w:line="248" w:lineRule="auto"/>
        <w:tabs>
          <w:tab w:leader="none" w:pos="434" w:val="left"/>
        </w:tabs>
        <w:numPr>
          <w:ilvl w:val="0"/>
          <w:numId w:val="51"/>
        </w:numPr>
        <w:rPr>
          <w:rFonts w:ascii="Arial" w:cs="Arial" w:eastAsia="Arial" w:hAnsi="Arial"/>
          <w:sz w:val="18"/>
          <w:szCs w:val="18"/>
          <w:color w:val="auto"/>
        </w:rPr>
      </w:pPr>
      <w:r>
        <w:rPr>
          <w:rFonts w:ascii="Arial" w:cs="Arial" w:eastAsia="Arial" w:hAnsi="Arial"/>
          <w:sz w:val="16"/>
          <w:szCs w:val="16"/>
          <w:color w:val="auto"/>
        </w:rPr>
        <w:t>This Cross-Reference Table does not constitute part of the Indenture and shall not have any bearing on the interpretation of any of its terms or provisions.</w:t>
      </w:r>
    </w:p>
    <w:p>
      <w:pPr>
        <w:sectPr>
          <w:pgSz w:w="11900" w:h="16838" w:orient="portrait"/>
          <w:cols w:equalWidth="0" w:num="1">
            <w:col w:w="10139"/>
          </w:cols>
          <w:pgMar w:left="320" w:top="607"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31365" cy="325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2031365" cy="325755"/>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June 10,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Destination XL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555 Turnpike Street</w:t>
      </w:r>
    </w:p>
    <w:p>
      <w:pPr>
        <w:spacing w:after="0"/>
        <w:rPr>
          <w:sz w:val="20"/>
          <w:szCs w:val="20"/>
          <w:color w:val="auto"/>
        </w:rPr>
      </w:pPr>
      <w:r>
        <w:rPr>
          <w:rFonts w:ascii="Arial" w:cs="Arial" w:eastAsia="Arial" w:hAnsi="Arial"/>
          <w:sz w:val="20"/>
          <w:szCs w:val="20"/>
          <w:color w:val="auto"/>
        </w:rPr>
        <w:t>Canton, Massachusetts 02021</w:t>
      </w:r>
    </w:p>
    <w:p>
      <w:pPr>
        <w:spacing w:after="0" w:line="9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Registration Statement on Form S-3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acted as legal counsel to Destination XL, Inc., a Delaware corporation (the “Company”), in connection with the registration statement on Form S-3 (the “Registration Statement”) being filed by the Company with the Securities and Exchange Commission (the “Commission”) under the Securities Act of 1933, as amended (the “Act”), on the date hereof.</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 have provided us with a draft of the Registration Statement in the form in which it will be filed with the Commission. The Registration Statement includes a base prospectus (the “Prospectus”), which provides that it will be supplemented in the future by one or more supplements to the Prospectus (each, a “Prospectus Supplement”). The Prospectus provides for (a) the offering by the Company of the following securities: (i) shares of the Company’s common stock, $0.01 par value per share (“Common Stock”), (ii) shares of the Company’s preferred stock, $0.01 par value per share (“Preferred Stock”), (iii) warrants to purchase Common Stock, Preferred Stock, Depositary Shares or Units (each as defined below) (“Warrants”), (iv) one or more series of the Company’s debt securities (collectively, “Debt Securities”), which may be issued pursuant to an indenture between the Company, as issuer, and a trustee to be named therein (the “Trustee”), in the form attached as Exhibit 4.1 to the Registration Statement (as such indenture may be amended or supplemented from time to time, the “Indenture”), (v) purchase contracts covering the purchase of Common Stock, Preferred Stock, Depositary Shares or Warrants (“Purchase Contracts”), (vi) depositary shares representing fractional shares of Preferred Stock (“Depositary Shares”), (vii) rights to purchase Common Stock, Preferred Stock, Depositary Shares or Warrants (“Rights”), and (viii) units comprised of two or more of the foregoing (“Units”) and</w:t>
      </w:r>
    </w:p>
    <w:p>
      <w:pPr>
        <w:spacing w:after="0" w:line="8" w:lineRule="exact"/>
        <w:rPr>
          <w:sz w:val="20"/>
          <w:szCs w:val="20"/>
          <w:color w:val="auto"/>
        </w:rPr>
      </w:pPr>
    </w:p>
    <w:p>
      <w:pPr>
        <w:jc w:val="both"/>
        <w:ind w:firstLine="8"/>
        <w:spacing w:after="0" w:line="274" w:lineRule="auto"/>
        <w:tabs>
          <w:tab w:leader="none" w:pos="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offering by certain stockholders of the Company (the “Selling Stockholders”) of up to 7,500,000 shares of Common Stock (the “Selling Stockholder Shares”). The Common Stock, Preferred Stock, Warrants, Debt Securities, Purchase Contracts, Depositary Shares, Rights and Units are collectively referred to as the “Securities.” The Securities may be offered and sold from time to time by the Company at an aggregate initial offering price not to exceed $75,000,000, and the Selling Stockholder Shares may be sold by the Selling Stockholders, pursuant to Rule 415 promulgated under the Act, in amounts, at prices and on terms to be determined at the time of the offering thereof,.</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 In our examination, we have assumed the genuineness of all signatures, the authenticity of all documents submitted to us as originals and the conformity to authentic original documents of all documents submitted to us as copies. As to facts material to the opinions, statements and assumptions expressed herein, we have, with your consent, relied upon oral or written statements and representations of officers and other representatives of the Company and others. We have not independently verified such factual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In expressing our opinions below, we have assumed, with your consent, that:</w:t>
      </w:r>
    </w:p>
    <w:p>
      <w:pPr>
        <w:spacing w:after="0" w:line="217" w:lineRule="exact"/>
        <w:rPr>
          <w:sz w:val="20"/>
          <w:szCs w:val="20"/>
          <w:color w:val="auto"/>
        </w:rPr>
      </w:pPr>
    </w:p>
    <w:p>
      <w:pPr>
        <w:ind w:right="20" w:firstLine="872"/>
        <w:spacing w:after="0" w:line="260" w:lineRule="auto"/>
        <w:tabs>
          <w:tab w:leader="none" w:pos="1731"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Registration Statement (including any and all required post-effective amendments thereto) will have become effective under the Act and will comply with all applicable laws;</w:t>
      </w:r>
    </w:p>
    <w:p>
      <w:pPr>
        <w:spacing w:after="0" w:line="176" w:lineRule="exact"/>
        <w:rPr>
          <w:rFonts w:ascii="Arial" w:cs="Arial" w:eastAsia="Arial" w:hAnsi="Arial"/>
          <w:sz w:val="20"/>
          <w:szCs w:val="20"/>
          <w:color w:val="auto"/>
        </w:rPr>
      </w:pPr>
    </w:p>
    <w:p>
      <w:pPr>
        <w:jc w:val="both"/>
        <w:ind w:firstLine="872"/>
        <w:spacing w:after="0" w:line="291" w:lineRule="auto"/>
        <w:tabs>
          <w:tab w:leader="none" w:pos="17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Registration Statement (including any and all required post-effective amendments thereto) will be effective under the Act and will comply with all applicable laws at the time the Securities are offered or sold as contemplated by the Registration Statement (including any and all required post-effective amendments thereto), the Prospectus and the applicable Prospectus Supplement(s);</w:t>
      </w:r>
    </w:p>
    <w:p>
      <w:pPr>
        <w:spacing w:after="0" w:line="151" w:lineRule="exact"/>
        <w:rPr>
          <w:rFonts w:ascii="Arial" w:cs="Arial" w:eastAsia="Arial" w:hAnsi="Arial"/>
          <w:sz w:val="18"/>
          <w:szCs w:val="18"/>
          <w:color w:val="auto"/>
        </w:rPr>
      </w:pPr>
    </w:p>
    <w:p>
      <w:pPr>
        <w:ind w:firstLine="872"/>
        <w:spacing w:after="0" w:line="260" w:lineRule="auto"/>
        <w:tabs>
          <w:tab w:leader="none" w:pos="1731"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 stop order suspending the effectiveness of the Registration Statement (including any and all required post-effective amendments thereto) will have been issued and remain in effect;</w:t>
      </w:r>
    </w:p>
    <w:p>
      <w:pPr>
        <w:spacing w:after="0" w:line="176" w:lineRule="exact"/>
        <w:rPr>
          <w:rFonts w:ascii="Arial" w:cs="Arial" w:eastAsia="Arial" w:hAnsi="Arial"/>
          <w:sz w:val="20"/>
          <w:szCs w:val="20"/>
          <w:color w:val="auto"/>
        </w:rPr>
      </w:pPr>
    </w:p>
    <w:p>
      <w:pPr>
        <w:ind w:firstLine="872"/>
        <w:spacing w:after="0" w:line="260" w:lineRule="auto"/>
        <w:tabs>
          <w:tab w:leader="none" w:pos="17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Prospectus Supplement describing the Securities or the Selling Stockholder Shares offered thereby and the offering thereof and complying with all applicable laws will have been prepared and filed with the Commission;</w:t>
      </w:r>
    </w:p>
    <w:p>
      <w:pPr>
        <w:spacing w:after="0" w:line="176" w:lineRule="exact"/>
        <w:rPr>
          <w:rFonts w:ascii="Arial" w:cs="Arial" w:eastAsia="Arial" w:hAnsi="Arial"/>
          <w:sz w:val="20"/>
          <w:szCs w:val="20"/>
          <w:color w:val="auto"/>
        </w:rPr>
      </w:pPr>
    </w:p>
    <w:p>
      <w:pPr>
        <w:jc w:val="both"/>
        <w:ind w:firstLine="872"/>
        <w:spacing w:after="0" w:line="250" w:lineRule="auto"/>
        <w:tabs>
          <w:tab w:leader="none" w:pos="1731"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Securities will be offered and sold in the form and with the terms set forth in the Registration Statement (including any and all required post-effective amendments thereto), the Prospectus and the applicable Prospectus Supplement(s) and the organizational documents of the Company, as applicable;</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709"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Securities and the Selling Stockholder Shares will be offered and sold in compliance with all applicable federal and state securities laws and in the manner stated in the Registration Statement (including any and all required post-effective amendments thereto), the Prospectus and the applicable Prospectus Supplement(s);</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Indenture, as executed and delivered, will comply in all applicable respects with the Trust Indenture Act of 1939 (the “Trust Indenture Act”) and the rules and regulations promulgated thereunder, and the Indenture will have been duly qualified under the Trust Indenture Act prior to the offering and sale of Debt Securities;</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Securities offered and sold and the terms of the Indenture, as executed and delivered, do not and will not violate any applicable law or the organizational documents of the Company or result in a default under or breach of any agreement or instrument binding upon the Company;</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69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 will have obtained any and all legally required consents, approvals, authorizations and other orders of the Commission and any and all other regulatory authorities and other third parties necessary to offer and sell the Securities being offered and to execute and deliver the Indenture;</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69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Securities offered and sold and the terms of the Indenture, as executed and delivered, comply with all requirements and restrictions, if any, applicable to the Company, whether imposed by any court or governmental or regulatory body having jurisdiction over the Company;</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7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a definitive purchase, underwriting, sales or similar agreement (each a “Purchase Agreement”) with respect to any Securities or Selling Stockholder Shares offered and sold will have been duly authorized and validly executed and delivered by the Company, the Selling Stockholders, if applicable, and the other parties thereto; and</w:t>
      </w:r>
    </w:p>
    <w:p>
      <w:pPr>
        <w:spacing w:after="0" w:line="185" w:lineRule="exact"/>
        <w:rPr>
          <w:rFonts w:ascii="Arial" w:cs="Arial" w:eastAsia="Arial" w:hAnsi="Arial"/>
          <w:sz w:val="20"/>
          <w:szCs w:val="20"/>
          <w:color w:val="auto"/>
        </w:rPr>
      </w:pPr>
    </w:p>
    <w:p>
      <w:pPr>
        <w:ind w:right="20" w:firstLine="872"/>
        <w:spacing w:after="0" w:line="287" w:lineRule="auto"/>
        <w:tabs>
          <w:tab w:leader="none" w:pos="169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any Securities or other securities issuable upon conversion, exchange or exercise of any Security being offered and sold will be duly authorized, created and, if appropriate, reserved for issuance upon such conversion, exchange or exercise.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both"/>
        <w:spacing w:after="0" w:line="274" w:lineRule="auto"/>
        <w:rPr>
          <w:sz w:val="20"/>
          <w:szCs w:val="20"/>
          <w:color w:val="auto"/>
        </w:rPr>
      </w:pPr>
      <w:r>
        <w:rPr>
          <w:rFonts w:ascii="Arial" w:cs="Arial" w:eastAsia="Arial" w:hAnsi="Arial"/>
          <w:sz w:val="18"/>
          <w:szCs w:val="18"/>
          <w:color w:val="auto"/>
        </w:rPr>
        <w:t>Our opinions expressed in paragraphs 3, 4, 5, 6, 7 and 8 below are subject to the qualifications that we express no opinion as to the applicability of, compliance with or effect of: (i) any bankruptcy, insolvency, reorganization, preference, fraudulent conveyance, fraudulent transfer, moratorium or other similar laws relating to or affecting the rights and remedies of creditors generally (including, without limitation, Sections 547 and 548 of the United States Bankruptcy Code and Article 10 of the New York Debtor and Creditor Law); (ii)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or (iii) public policy considerations that may limit the rights of parties to obtain certain remedies.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express no opinion as to (i) any provision to the extent it requires any party to indemnify any other person against loss in obtaining the currency due following a court judgment rendered in another currency, (ii) any provision providing for the indemnification of or contribution to a party with respect to a liability where such indemnification or contribution is contrary to public policy, (iii) any provision for liquidated damages, default interest, late charges, monetary penalties, prepayment or make-whole premiums or other economic remedies to the extent such provisions are deemed to constitute a penalty, (iv) consents to, or restrictions upon, governing law, jurisdiction, venue, arbitration, remedies or judicial relief, (v) any provision requiring the payment of attorneys’ fees, where such payment is contrary to law or public policy,</w:t>
      </w:r>
    </w:p>
    <w:p>
      <w:pPr>
        <w:spacing w:after="0" w:line="1" w:lineRule="exact"/>
        <w:rPr>
          <w:sz w:val="20"/>
          <w:szCs w:val="20"/>
          <w:color w:val="auto"/>
        </w:rPr>
      </w:pPr>
    </w:p>
    <w:p>
      <w:pPr>
        <w:jc w:val="both"/>
        <w:ind w:firstLine="8"/>
        <w:spacing w:after="0" w:line="266" w:lineRule="auto"/>
        <w:tabs>
          <w:tab w:leader="none" w:pos="34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provision permitting, upon acceleration of any Debt Security, collection of that portion of the stated principal amount thereof which might be determined to constitute unearned interest thereon, (vii) any provision requiring the payment of interest on interest, (viii) the creation, validity, attachment, perfection, or priority of any lien or security interest, (ix) advance waivers of claims, defenses, rights granted by law, or notice, opportunity for hearing, evidentiary requirements, statutes of limitation, trial by jury or at law, or other procedural rights,</w:t>
      </w:r>
    </w:p>
    <w:p>
      <w:pPr>
        <w:jc w:val="both"/>
        <w:ind w:firstLine="8"/>
        <w:spacing w:after="0" w:line="254" w:lineRule="auto"/>
        <w:tabs>
          <w:tab w:leader="none" w:pos="292" w:val="left"/>
        </w:tabs>
        <w:numPr>
          <w:ilvl w:val="0"/>
          <w:numId w:val="55"/>
        </w:numPr>
        <w:rPr>
          <w:rFonts w:ascii="Arial" w:cs="Arial" w:eastAsia="Arial" w:hAnsi="Arial"/>
          <w:sz w:val="19"/>
          <w:szCs w:val="19"/>
          <w:color w:val="auto"/>
        </w:rPr>
      </w:pPr>
      <w:r>
        <w:rPr>
          <w:rFonts w:ascii="Arial" w:cs="Arial" w:eastAsia="Arial" w:hAnsi="Arial"/>
          <w:sz w:val="19"/>
          <w:szCs w:val="19"/>
          <w:color w:val="auto"/>
        </w:rPr>
        <w:t>waivers of broadly or vaguely stated rights, (xi) provisions for exclusivity, election or cumulation of rights or remedies, (xii) provisions authorizing or validating conclusive or discretionary determinations, (xiii) grants of setoff rights, (xiv) proxies, powers and trusts, (xv) provisions prohibiting, restricting, or requiring consent to assignment or transfer of any right or property, (xvi) provisions purporting to make a guarantor primarily liable rather than as a surety, (xvii) provisions purporting to waive modifications of any guaranteed obligation to the extent such modification constitutes a novation, (xviii) any provision to the extent it requires that a claim with respect to a security denominated in other than U.S. dollars (or a judgment in respect of such a claim) be converted into U.S. dollars at a rate of exchange at a particular date, to the extent applicable law otherwise provides, (xiv) compliance with any usury laws, (xx) the severability, if invalid, of provisions to the foregoing effect, (xxi) the securities or “Blue Sky” laws of any state to the offer or sale of the Securities and (xxii) the antifraud provisions of the securities or other laws of any jurisdiction.</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 the extent that the obligations of the Company under Debt Securities may be dependent upon such matters, we have assumed for purposes, with your consent, that (i) the Trustee is duly organized, validly existing and in good standing under the laws of its jurisdiction of organization, (ii) the Trustee has and will have the requisite organizational and legal power and authority to execute and deliver and to perform its obligations under the Indenture, (iii) the Trustee is and will be duly qualified to engage in the activities contemplated by the Indenture, (iv) the Indenture has been duly authorized, executed and delivered by the Trustee and constitutes and will constitute the legally valid and binding obligations of the Trustee, enforceable against the Trustee in accordance with its terms, and (v) the Trustee is and will be in compliance, generally and with respect to acting as a trustee under the Indenture, with all applicable laws and regulations.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have also assumed, with your consent, that: (i) the Debt Securities, the Indenture and any related supplemental indenture or resolutions of the Company’s board of directors or officers’ certificate establishing the terms thereof will be governed by the internal laws of the State of New York; and (ii) the Depositary Shares and any related deposit agreement, the Warrants and any related warrant agreement, the Purchase Contracts and any related purchase agreement, the Rights and any related rights agent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spacing w:after="0" w:line="257" w:lineRule="auto"/>
        <w:rPr>
          <w:sz w:val="20"/>
          <w:szCs w:val="20"/>
          <w:color w:val="auto"/>
        </w:rPr>
      </w:pPr>
      <w:r>
        <w:rPr>
          <w:rFonts w:ascii="Arial" w:cs="Arial" w:eastAsia="Arial" w:hAnsi="Arial"/>
          <w:sz w:val="19"/>
          <w:szCs w:val="19"/>
          <w:color w:val="auto"/>
        </w:rPr>
        <w:t>and the Units and any related unit agreement and the Subscription Rights and any related rights agreement (collectively with the documents set forth in (i) above, the “Documents”) will be governed by the internal laws of The Commonwealth of Massachusetts; (iii) each of the Documents will be duly authorized, executed and delivered by the parties thereto; (iv) each of the Documents will constitute legally valid and binding obligations of the parties thereto other than the Company, enforceable against each of them in accordance with their respective terms; and (v) the status of each of the Documents as legally valid and binding obligations of the parties thereto will not be affected by any (a) breaches of, or defaults under, any agreements or instruments, (b) violations of any statutes, rules, regulations or court or governmental orders, or (c) failures to obtain required consents, approvals or authorizations from, or to make required registrations, declarations or filings with, any governmental authorities or other third parties.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opining herein only as to the federal laws of the United States, the internal laws of the State of New York (solely with respect to whether or not the Debt Securities are the valid and binding obligations of the Company), the internal laws of The Commonwealth of Massachusetts, and the Delaware General Corporation Law (including the applicable provisions of the Delaware Constitution and reported Delaware judicial decisions interpreting such law and such provisions), in each case as in effect on the date of this opinion, and we express no opinion with respect to the laws of any other jurisdiction or, in the case of Delaware, any other laws, or as to any matters of municipal law or the laws of any other local agencies within any state.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Subject to the foregoing and the other matters set forth herein, it is our opinion that, as of the date hereof:</w:t>
      </w:r>
    </w:p>
    <w:p>
      <w:pPr>
        <w:spacing w:after="0" w:line="216" w:lineRule="exact"/>
        <w:rPr>
          <w:sz w:val="20"/>
          <w:szCs w:val="20"/>
          <w:color w:val="auto"/>
        </w:rPr>
      </w:pPr>
    </w:p>
    <w:p>
      <w:pPr>
        <w:jc w:val="both"/>
        <w:ind w:firstLine="872"/>
        <w:spacing w:after="0" w:line="243" w:lineRule="auto"/>
        <w:tabs>
          <w:tab w:leader="none" w:pos="1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Company has the authority pursuant to its Restated Certificate of Incorporation, as amended (the “Charter”), to issue up to an aggregate of 100,000,000 shares of Common Stock. Upon adoption by the board of directors of the Company of a resolution in form and content as required by applicable law duly authorizing the issuance of shares of Common Stock (with such shares, together with all shares of Common Stock previously issued or reserved for issuance and not duly and lawfully retired, not exceeding an aggregate of 100,000,000 shares), and upon issuance and delivery of and payment of legal consideration in excess of the par value thereof in accordance with the applicable Purchase Agreement and all applicable law, such shares of Common Stock will be validly issued, fully paid and nonassessable.</w:t>
      </w:r>
    </w:p>
    <w:p>
      <w:pPr>
        <w:spacing w:after="0" w:line="192" w:lineRule="exact"/>
        <w:rPr>
          <w:rFonts w:ascii="Arial" w:cs="Arial" w:eastAsia="Arial" w:hAnsi="Arial"/>
          <w:sz w:val="20"/>
          <w:szCs w:val="20"/>
          <w:color w:val="auto"/>
        </w:rPr>
      </w:pPr>
    </w:p>
    <w:p>
      <w:pPr>
        <w:jc w:val="both"/>
        <w:ind w:firstLine="872"/>
        <w:spacing w:after="0" w:line="272" w:lineRule="auto"/>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has the authority pursuant to the Charter to issue up to an aggregate of 1,000,000 shares of Preferred Stock. When a series of Preferred Stock has been duly established in accordance with the terms of the Charter and applicable law, and upon adoption by the board of directors of the Company of a resolution in form and content as required by applicable law duly authorizing the issuance of shares of Preferred Stock (with such shares, together with all shares of Preferred Stock previously issued, designated or reserved for issuance and not duly and lawfully retired, not exceeding an aggregate of 1,000,000 shares) and upon issuance and delivery of and payment of legal consideration in excess of the par value thereof in accordance with the applicable Purchase Agreement and all applicable law (and assuming the satisfaction of the conditions described in the applicable numbered paragraphs of this opinion letter with respect to our opinion regarding any Securities into or for which such shares of Preferred Stock may be convertible, exchangeable or redeemable), such shares of Preferred Stock will be validly issued, fully paid and nonassessable.</w:t>
      </w:r>
    </w:p>
    <w:p>
      <w:pPr>
        <w:spacing w:after="0" w:line="170" w:lineRule="exact"/>
        <w:rPr>
          <w:rFonts w:ascii="Arial" w:cs="Arial" w:eastAsia="Arial" w:hAnsi="Arial"/>
          <w:sz w:val="18"/>
          <w:szCs w:val="18"/>
          <w:color w:val="auto"/>
        </w:rPr>
      </w:pPr>
    </w:p>
    <w:p>
      <w:pPr>
        <w:jc w:val="both"/>
        <w:ind w:firstLine="872"/>
        <w:spacing w:after="0" w:line="243" w:lineRule="auto"/>
        <w:tabs>
          <w:tab w:leader="none" w:pos="1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When (a) a warrant agreement, if any, has been duly authorized by all necessary corporate action of the Company (including, without limitation, the adoption by the board of directors of the Company of a resolution in form and content as required by applicable law duly authorizing the execution and delivery of such warrant agreement) and duly executed and delivered by the Company, (b) the specific terms of a particular issuance of Warrants have been duly established in accordance with such warrant agreement, if any,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Warrants), and (c)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spacing w:after="0" w:line="283" w:lineRule="auto"/>
        <w:rPr>
          <w:sz w:val="20"/>
          <w:szCs w:val="20"/>
          <w:color w:val="auto"/>
        </w:rPr>
      </w:pPr>
      <w:r>
        <w:rPr>
          <w:rFonts w:ascii="Arial" w:cs="Arial" w:eastAsia="Arial" w:hAnsi="Arial"/>
          <w:sz w:val="18"/>
          <w:szCs w:val="18"/>
          <w:color w:val="auto"/>
        </w:rPr>
        <w:t>Warrants have been duly executed, issued and delivered against payment therefor in accordance with such warrant agreement, if any, the applicable Purchase Agreement and all applicable law (and assuming the satisfaction of the conditions described in the applicable numbered paragraphs of this opinion letter with respect to our opinion regarding any Securities issuable upon exercise of the Warrants), such Warrants will be legally valid and binding obligations of the Company, enforceable against the Company in accordance with their terms.</w:t>
      </w:r>
    </w:p>
    <w:p>
      <w:pPr>
        <w:spacing w:after="0" w:line="159" w:lineRule="exact"/>
        <w:rPr>
          <w:sz w:val="20"/>
          <w:szCs w:val="20"/>
          <w:color w:val="auto"/>
        </w:rPr>
      </w:pPr>
    </w:p>
    <w:p>
      <w:pPr>
        <w:jc w:val="both"/>
        <w:ind w:firstLine="872"/>
        <w:spacing w:after="0" w:line="255" w:lineRule="auto"/>
        <w:tabs>
          <w:tab w:leader="none" w:pos="16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When (a) the Indenture has been duly authorized, executed and delivered by the Company and the Trustee, and (b) the Debt Securities and any required amendment or supplement to the Indenture have been duly established in accordance with the Indenture and all applicable law by all necessary corporate action of the Company (including, without limitation, the adoption by the board of directors of the Company of a resolution in form and content as required by applicable law duly authorizing the issuance and delivery of the Debt Securities), duly authenticated by the Trustee and duly executed, issued and delivered on behalf of the Company against payment therefor in accordance with the terms and provisions of the Indenture (as so amended or supplemented), the applicable Purchase Agreement and all applicable law (and assuming the satisfaction of the conditions described in the applicable numbered paragraphs of this opinion letter with respect to our opinion regarding any Securities into or for which such Debt Securities may be convertible, exchangeable or redeemable), such Debt Securities will constitute legally valid and binding obligations of the Company, enforceable against the Company in accordance with their terms.</w:t>
      </w:r>
    </w:p>
    <w:p>
      <w:pPr>
        <w:spacing w:after="0" w:line="189" w:lineRule="exact"/>
        <w:rPr>
          <w:rFonts w:ascii="Arial" w:cs="Arial" w:eastAsia="Arial" w:hAnsi="Arial"/>
          <w:sz w:val="19"/>
          <w:szCs w:val="19"/>
          <w:color w:val="auto"/>
        </w:rPr>
      </w:pPr>
    </w:p>
    <w:p>
      <w:pPr>
        <w:jc w:val="both"/>
        <w:ind w:firstLine="872"/>
        <w:spacing w:after="0" w:line="271" w:lineRule="auto"/>
        <w:tabs>
          <w:tab w:leader="none" w:pos="1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 (a) a purchase contract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purchase contract agreement) and duly executed and delivered by the Company, (b) the specific terms of a particular issuance of the related Purchase Contracts have been duly established in accordance with such purchase contract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Purchase Contracts), and (c) the related Purchase Contracts have been duly executed, issued and delivered against payment therefor in accordance with such purchase contract agreement, the applicable Purchase Agreement and all applicable law (and assuming the satisfaction of the conditions described in the applicable numbered paragraphs of this opinion letter with respect to our opinion regarding any Securities underlying the Purchase Contracts), such Purchase Contracts will be legally valid and binding obligations of the Company, enforceable against the Company in accordance with their terms.</w:t>
      </w:r>
    </w:p>
    <w:p>
      <w:pPr>
        <w:spacing w:after="0" w:line="169" w:lineRule="exact"/>
        <w:rPr>
          <w:rFonts w:ascii="Arial" w:cs="Arial" w:eastAsia="Arial" w:hAnsi="Arial"/>
          <w:sz w:val="18"/>
          <w:szCs w:val="18"/>
          <w:color w:val="auto"/>
        </w:rPr>
      </w:pPr>
    </w:p>
    <w:p>
      <w:pPr>
        <w:jc w:val="both"/>
        <w:ind w:firstLine="872"/>
        <w:spacing w:after="0" w:line="308" w:lineRule="auto"/>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When (a) a deposit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deposit agreement) and duly executed and delivered by the Company, (b) the specific terms of a particular issuance of Depositary Shares have been duly established in accordance with such deposit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Depositary Shares), (c) the shares of Preferred Stock underlying such Depositary Shares have been deposited with the depositary, and (d) the Depositary Shares have been duly executed, issued and delivered against payment therefor in accordance with such deposit agreement, the applicable Purchase Agreement and all applicable law (and assuming the satisfaction of the conditions described in the applicable numbered paragraphs this opinion letter with respect to our opinion regarding the Preferred Stock underlying the Depositary Shares), such Depositary Shares will be legally valid and binding obligations of the Company, enforceable against the Company in accordance with their terms.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firstLine="872"/>
        <w:spacing w:after="0" w:line="272" w:lineRule="auto"/>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When (a) a rights agent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rights agent agreement) and duly executed and delivered by the Company,</w:t>
      </w:r>
    </w:p>
    <w:p>
      <w:pPr>
        <w:spacing w:after="0" w:line="1" w:lineRule="exact"/>
        <w:rPr>
          <w:rFonts w:ascii="Arial" w:cs="Arial" w:eastAsia="Arial" w:hAnsi="Arial"/>
          <w:sz w:val="18"/>
          <w:szCs w:val="18"/>
          <w:color w:val="auto"/>
        </w:rPr>
      </w:pPr>
    </w:p>
    <w:p>
      <w:pPr>
        <w:jc w:val="both"/>
        <w:ind w:firstLine="8"/>
        <w:spacing w:after="0"/>
        <w:tabs>
          <w:tab w:leader="none" w:pos="281"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specific terms of a particular issuance of the related Rights have been duly established in accordance with such rights agent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Rights), and (c) the related Rights have been duly executed, issued and delivered against payment therefor in accordance with such purchase contract agreement, the applicable Purchase Agreement and all applicable law (and assuming the satisfaction of the conditions described in the applicable numbered paragraphs of this opinion letter with respect to our opinion regarding any Securities underlying the Rights), such Rights will be legally valid and binding obligations of the Company, enforceable against the Company in accordance with their terms.</w:t>
      </w:r>
    </w:p>
    <w:p>
      <w:pPr>
        <w:spacing w:after="0" w:line="196" w:lineRule="exact"/>
        <w:rPr>
          <w:rFonts w:ascii="Arial" w:cs="Arial" w:eastAsia="Arial" w:hAnsi="Arial"/>
          <w:sz w:val="20"/>
          <w:szCs w:val="20"/>
          <w:color w:val="auto"/>
        </w:rPr>
      </w:pPr>
    </w:p>
    <w:p>
      <w:pPr>
        <w:jc w:val="both"/>
        <w:ind w:firstLine="872"/>
        <w:spacing w:after="0" w:line="255" w:lineRule="auto"/>
        <w:tabs>
          <w:tab w:leader="none" w:pos="16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When (a) a unit agreement has been duly authorized by all necessary corporate action of the Company (including, without limitation, the adoption by the board of directors of the Company of a resolution duly authorizing the execution and delivery of such unit agreement) and duly executed and delivered by the Company, (b) the specific terms of a particular issuance of the related Units have been duly established in accordance with such unit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Units), and such (c) Units have been duly executed, issued and delivered against payment therefor in accordance with such unit agreement, the applicable Purchase Agreement and all applicable law (and assuming the satisfaction of the conditions described in the applicable numbered paragraphs of this opinion letter with respect to our opinion regarding the Securities underlying the Units), such Units will be legally valid and binding obligations of the Company, enforceable against the Company in accordance with their terms.</w:t>
      </w:r>
    </w:p>
    <w:p>
      <w:pPr>
        <w:spacing w:after="0" w:line="189" w:lineRule="exact"/>
        <w:rPr>
          <w:rFonts w:ascii="Arial" w:cs="Arial" w:eastAsia="Arial" w:hAnsi="Arial"/>
          <w:sz w:val="19"/>
          <w:szCs w:val="19"/>
          <w:color w:val="auto"/>
        </w:rPr>
      </w:pPr>
    </w:p>
    <w:p>
      <w:pPr>
        <w:ind w:left="1660" w:hanging="788"/>
        <w:spacing w:after="0"/>
        <w:tabs>
          <w:tab w:leader="none" w:pos="166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Selling Stockholder Shares have been validly issued and are fully paid and non-assessable.</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opinion is being delivered solely for the benefit of the Company and such other persons as are entitled to rely upon it pursuant to applicable provisions of the Securities Act. This opinion may not be used, quoted, relied upon or referred to for any other purpose nor may this opinion be used, quoted, relied upon or referred to by any other person, for any purpose, without our prior written consent.</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Very truly yours,</w:t>
      </w:r>
    </w:p>
    <w:p>
      <w:pPr>
        <w:spacing w:after="0" w:line="32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GREENBERG TRAURIG, LLP</w:t>
      </w:r>
    </w:p>
    <w:p>
      <w:pPr>
        <w:spacing w:after="0" w:line="32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GREENBERG TRAURIG, LLP</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consent to the use of our report dated March 19, 2021, with respect to the consolidated financial statements of Destination XL, Group, Inc., incorporated herein by reference and to the reference to our firm under the heading “Experts” in the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10, 2021</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decimal"/>
      <w:start w:val="7"/>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lvl w:ilvl="1">
      <w:lvlJc w:val="left"/>
      <w:lvlText w:val="(%2)"/>
      <w:numFmt w:val="lowerRoman"/>
      <w:start w:val="1"/>
    </w:lvl>
  </w:abstractNum>
  <w:abstractNum w:abstractNumId="28">
    <w:nsid w:val="725A06FB"/>
    <w:multiLevelType w:val="hybridMultilevel"/>
    <w:lvl w:ilvl="0">
      <w:lvlJc w:val="left"/>
      <w:lvlText w:val="(%1)"/>
      <w:numFmt w:val="decimal"/>
      <w:start w:val="2"/>
    </w:lvl>
    <w:lvl w:ilvl="1">
      <w:lvlJc w:val="left"/>
      <w:lvlText w:val="(%2)"/>
      <w:numFmt w:val="lowerRoman"/>
      <w:start w:val="1"/>
    </w:lvl>
  </w:abstractNum>
  <w:abstractNum w:abstractNumId="29">
    <w:nsid w:val="2CD89A32"/>
    <w:multiLevelType w:val="hybridMultilevel"/>
    <w:lvl w:ilvl="0">
      <w:lvlJc w:val="left"/>
      <w:lvlText w:val="(%1)"/>
      <w:numFmt w:val="lowerRoman"/>
      <w:start w:val="1"/>
    </w:lvl>
  </w:abstractNum>
  <w:abstractNum w:abstractNumId="30">
    <w:nsid w:val="57E4CCAF"/>
    <w:multiLevelType w:val="hybridMultilevel"/>
    <w:lvl w:ilvl="0">
      <w:lvlJc w:val="left"/>
      <w:lvlText w:val="(%1)"/>
      <w:numFmt w:val="decimal"/>
      <w:start w:val="6"/>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3"/>
    </w:lvl>
  </w:abstractNum>
  <w:abstractNum w:abstractNumId="36">
    <w:nsid w:val="7644A45C"/>
    <w:multiLevelType w:val="hybridMultilevel"/>
    <w:lvl w:ilvl="0">
      <w:lvlJc w:val="left"/>
      <w:lvlText w:val="(%1)"/>
      <w:numFmt w:val="decimal"/>
      <w:start w:val="10"/>
    </w:lvl>
  </w:abstractNum>
  <w:abstractNum w:abstractNumId="37">
    <w:nsid w:val="32FFF902"/>
    <w:multiLevelType w:val="hybridMultilevel"/>
    <w:lvl w:ilvl="0">
      <w:lvlJc w:val="left"/>
      <w:lvlText w:val="(%1)"/>
      <w:numFmt w:val="decimal"/>
      <w:start w:val="20"/>
    </w:lvl>
  </w:abstractNum>
  <w:abstractNum w:abstractNumId="38">
    <w:nsid w:val="684A481A"/>
    <w:multiLevelType w:val="hybridMultilevel"/>
    <w:lvl w:ilvl="0">
      <w:lvlJc w:val="left"/>
      <w:lvlText w:val="(%1)"/>
      <w:numFmt w:val="decimal"/>
      <w:start w:val="23"/>
    </w:lvl>
  </w:abstractNum>
  <w:abstractNum w:abstractNumId="39">
    <w:nsid w:val="579478FE"/>
    <w:multiLevelType w:val="hybridMultilevel"/>
    <w:lvl w:ilvl="0">
      <w:lvlJc w:val="left"/>
      <w:lvlText w:val="(%1)"/>
      <w:numFmt w:val="decimal"/>
      <w:start w:val="26"/>
    </w:lvl>
  </w:abstractNum>
  <w:abstractNum w:abstractNumId="40">
    <w:nsid w:val="749ABB43"/>
    <w:multiLevelType w:val="hybridMultilevel"/>
    <w:lvl w:ilvl="0">
      <w:lvlJc w:val="left"/>
      <w:lvlText w:val="(%1)"/>
      <w:numFmt w:val="decimal"/>
      <w:start w:val="4"/>
    </w:lvl>
  </w:abstractNum>
  <w:abstractNum w:abstractNumId="41">
    <w:nsid w:val="3DC240FB"/>
    <w:multiLevelType w:val="hybridMultilevel"/>
    <w:lvl w:ilvl="0">
      <w:lvlJc w:val="left"/>
      <w:lvlText w:val="(%1)"/>
      <w:numFmt w:val="lowerLetter"/>
      <w:start w:val="2"/>
    </w:lvl>
  </w:abstractNum>
  <w:abstractNum w:abstractNumId="42">
    <w:nsid w:val="1BA026FA"/>
    <w:multiLevelType w:val="hybridMultilevel"/>
    <w:lvl w:ilvl="0">
      <w:lvlJc w:val="left"/>
      <w:lvlText w:val="(%1)"/>
      <w:numFmt w:val="lowerLetter"/>
      <w:start w:val="2"/>
    </w:lvl>
  </w:abstractNum>
  <w:abstractNum w:abstractNumId="43">
    <w:nsid w:val="79A1DEAA"/>
    <w:multiLevelType w:val="hybridMultilevel"/>
    <w:lvl w:ilvl="0">
      <w:lvlJc w:val="left"/>
      <w:lvlText w:val="(%1)"/>
      <w:numFmt w:val="lowerRoman"/>
      <w:start w:val="5"/>
    </w:lvl>
  </w:abstractNum>
  <w:abstractNum w:abstractNumId="44">
    <w:nsid w:val="75C6C33A"/>
    <w:multiLevelType w:val="hybridMultilevel"/>
    <w:lvl w:ilvl="0">
      <w:lvlJc w:val="left"/>
      <w:lvlText w:val="(%1)"/>
      <w:numFmt w:val="lowerLetter"/>
      <w:start w:val="2"/>
    </w:lvl>
  </w:abstractNum>
  <w:abstractNum w:abstractNumId="45">
    <w:nsid w:val="12E685FB"/>
    <w:multiLevelType w:val="hybridMultilevel"/>
    <w:lvl w:ilvl="0">
      <w:lvlJc w:val="left"/>
      <w:lvlText w:val="(%1)"/>
      <w:numFmt w:val="lowerLetter"/>
      <w:start w:val="2"/>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6"/>
    </w:lvl>
  </w:abstractNum>
  <w:abstractNum w:abstractNumId="49">
    <w:nsid w:val="4F4EF005"/>
    <w:multiLevelType w:val="hybridMultilevel"/>
    <w:lvl w:ilvl="0">
      <w:lvlJc w:val="left"/>
      <w:lvlText w:val="(%1)"/>
      <w:numFmt w:val="lowerLetter"/>
      <w:start w:val="8"/>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Roman"/>
      <w:start w:val="6"/>
    </w:lvl>
  </w:abstractNum>
  <w:abstractNum w:abstractNumId="54">
    <w:nsid w:val="1CF10FD8"/>
    <w:multiLevelType w:val="hybridMultilevel"/>
    <w:lvl w:ilvl="0">
      <w:lvlJc w:val="left"/>
      <w:lvlText w:val="(%1)"/>
      <w:numFmt w:val="lowerRoman"/>
      <w:start w:val="10"/>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4"/>
    </w:lvl>
  </w:abstractNum>
  <w:abstractNum w:abstractNumId="57">
    <w:nsid w:val="47398C89"/>
    <w:multiLevelType w:val="hybridMultilevel"/>
    <w:lvl w:ilvl="0">
      <w:lvlJc w:val="left"/>
      <w:lvlText w:val="%1"/>
      <w:numFmt w:val="lowerLetter"/>
      <w:start w:val="1"/>
    </w:lvl>
    <w:lvl w:ilvl="1">
      <w:lvlJc w:val="left"/>
      <w:lvlText w:val="%2."/>
      <w:numFmt w:val="decimal"/>
      <w:start w:val="7"/>
    </w:lvl>
  </w:abstractNum>
  <w:abstractNum w:abstractNumId="58">
    <w:nsid w:val="354FE9F9"/>
    <w:multiLevelType w:val="hybridMultilevel"/>
    <w:lvl w:ilvl="0">
      <w:lvlJc w:val="left"/>
      <w:lvlText w:val="(%1)"/>
      <w:numFmt w:val="lowerLetter"/>
      <w:start w:val="2"/>
    </w:lvl>
    <w:lvl w:ilvl="1">
      <w:lvlJc w:val="left"/>
      <w:lvlText w:val="%2."/>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jpeg"/><Relationship Id="rId63" Type="http://schemas.openxmlformats.org/officeDocument/2006/relationships/image" Target="media/image45.jpeg"/><Relationship Id="rId64" Type="http://schemas.openxmlformats.org/officeDocument/2006/relationships/image" Target="media/image46.png"/><Relationship Id="rId65" Type="http://schemas.openxmlformats.org/officeDocument/2006/relationships/image" Target="media/image47.jpeg"/><Relationship Id="rId66" Type="http://schemas.openxmlformats.org/officeDocument/2006/relationships/image" Target="media/image48.png"/><Relationship Id="rId67" Type="http://schemas.openxmlformats.org/officeDocument/2006/relationships/image" Target="media/image49.jpeg"/><Relationship Id="rId68" Type="http://schemas.openxmlformats.org/officeDocument/2006/relationships/image" Target="media/image50.png"/><Relationship Id="rId69" Type="http://schemas.openxmlformats.org/officeDocument/2006/relationships/image" Target="media/image51.jpeg"/><Relationship Id="rId70" Type="http://schemas.openxmlformats.org/officeDocument/2006/relationships/image" Target="media/image52.png"/><Relationship Id="rId71" Type="http://schemas.openxmlformats.org/officeDocument/2006/relationships/image" Target="media/image53.jpeg"/><Relationship Id="rId72" Type="http://schemas.openxmlformats.org/officeDocument/2006/relationships/image" Target="media/image54.png"/><Relationship Id="rId73" Type="http://schemas.openxmlformats.org/officeDocument/2006/relationships/image" Target="media/image55.jpeg"/><Relationship Id="rId74" Type="http://schemas.openxmlformats.org/officeDocument/2006/relationships/image" Target="media/image56.png"/><Relationship Id="rId75" Type="http://schemas.openxmlformats.org/officeDocument/2006/relationships/image" Target="media/image57.jpeg"/><Relationship Id="rId76" Type="http://schemas.openxmlformats.org/officeDocument/2006/relationships/image" Target="media/image58.png"/><Relationship Id="rId77" Type="http://schemas.openxmlformats.org/officeDocument/2006/relationships/image" Target="media/image59.jpeg"/><Relationship Id="rId78" Type="http://schemas.openxmlformats.org/officeDocument/2006/relationships/image" Target="media/image60.png"/><Relationship Id="rId79" Type="http://schemas.openxmlformats.org/officeDocument/2006/relationships/image" Target="media/image61.jpeg"/><Relationship Id="rId80" Type="http://schemas.openxmlformats.org/officeDocument/2006/relationships/image" Target="media/image62.png"/><Relationship Id="rId81" Type="http://schemas.openxmlformats.org/officeDocument/2006/relationships/image" Target="media/image63.jpeg"/><Relationship Id="rId82" Type="http://schemas.openxmlformats.org/officeDocument/2006/relationships/image" Target="media/image64.png"/><Relationship Id="rId83" Type="http://schemas.openxmlformats.org/officeDocument/2006/relationships/image" Target="media/image65.jpeg"/><Relationship Id="rId84" Type="http://schemas.openxmlformats.org/officeDocument/2006/relationships/image" Target="media/image66.png"/><Relationship Id="rId85" Type="http://schemas.openxmlformats.org/officeDocument/2006/relationships/image" Target="media/image67.jpeg"/><Relationship Id="rId86" Type="http://schemas.openxmlformats.org/officeDocument/2006/relationships/image" Target="media/image68.png"/><Relationship Id="rId87" Type="http://schemas.openxmlformats.org/officeDocument/2006/relationships/image" Target="media/image69.jpeg"/><Relationship Id="rId88" Type="http://schemas.openxmlformats.org/officeDocument/2006/relationships/image" Target="media/image70.png"/><Relationship Id="rId89" Type="http://schemas.openxmlformats.org/officeDocument/2006/relationships/image" Target="media/image71.jpeg"/><Relationship Id="rId90" Type="http://schemas.openxmlformats.org/officeDocument/2006/relationships/image" Target="media/image72.png"/><Relationship Id="rId91" Type="http://schemas.openxmlformats.org/officeDocument/2006/relationships/image" Target="media/image73.jpeg"/><Relationship Id="rId92" Type="http://schemas.openxmlformats.org/officeDocument/2006/relationships/image" Target="media/image74.png"/><Relationship Id="rId93" Type="http://schemas.openxmlformats.org/officeDocument/2006/relationships/image" Target="media/image75.jpeg"/><Relationship Id="rId94" Type="http://schemas.openxmlformats.org/officeDocument/2006/relationships/image" Target="media/image76.png"/><Relationship Id="rId95" Type="http://schemas.openxmlformats.org/officeDocument/2006/relationships/image" Target="media/image77.jpeg"/><Relationship Id="rId96" Type="http://schemas.openxmlformats.org/officeDocument/2006/relationships/image" Target="media/image78.png"/><Relationship Id="rId97" Type="http://schemas.openxmlformats.org/officeDocument/2006/relationships/image" Target="media/image79.jpeg"/><Relationship Id="rId98" Type="http://schemas.openxmlformats.org/officeDocument/2006/relationships/image" Target="media/image80.png"/><Relationship Id="rId99" Type="http://schemas.openxmlformats.org/officeDocument/2006/relationships/image" Target="media/image81.jpeg"/><Relationship Id="rId100" Type="http://schemas.openxmlformats.org/officeDocument/2006/relationships/image" Target="media/image82.png"/><Relationship Id="rId101" Type="http://schemas.openxmlformats.org/officeDocument/2006/relationships/image" Target="media/image83.jpeg"/><Relationship Id="rId102" Type="http://schemas.openxmlformats.org/officeDocument/2006/relationships/image" Target="media/image84.png"/><Relationship Id="rId103" Type="http://schemas.openxmlformats.org/officeDocument/2006/relationships/image" Target="media/image85.jpeg"/><Relationship Id="rId104" Type="http://schemas.openxmlformats.org/officeDocument/2006/relationships/image" Target="media/image86.png"/><Relationship Id="rId105" Type="http://schemas.openxmlformats.org/officeDocument/2006/relationships/image" Target="media/image87.jpeg"/><Relationship Id="rId106" Type="http://schemas.openxmlformats.org/officeDocument/2006/relationships/image" Target="media/image88.png"/><Relationship Id="rId107" Type="http://schemas.openxmlformats.org/officeDocument/2006/relationships/image" Target="media/image89.jpeg"/><Relationship Id="rId108" Type="http://schemas.openxmlformats.org/officeDocument/2006/relationships/image" Target="media/image90.png"/><Relationship Id="rId109" Type="http://schemas.openxmlformats.org/officeDocument/2006/relationships/image" Target="media/image91.jpeg"/><Relationship Id="rId110" Type="http://schemas.openxmlformats.org/officeDocument/2006/relationships/image" Target="media/image92.png"/><Relationship Id="rId111" Type="http://schemas.openxmlformats.org/officeDocument/2006/relationships/image" Target="media/image93.jpeg"/><Relationship Id="rId112" Type="http://schemas.openxmlformats.org/officeDocument/2006/relationships/image" Target="media/image94.png"/><Relationship Id="rId113" Type="http://schemas.openxmlformats.org/officeDocument/2006/relationships/image" Target="media/image95.jpeg"/><Relationship Id="rId114" Type="http://schemas.openxmlformats.org/officeDocument/2006/relationships/image" Target="media/image96.png"/><Relationship Id="rId115" Type="http://schemas.openxmlformats.org/officeDocument/2006/relationships/image" Target="media/image97.jpeg"/><Relationship Id="rId116" Type="http://schemas.openxmlformats.org/officeDocument/2006/relationships/image" Target="media/image98.png"/><Relationship Id="rId117" Type="http://schemas.openxmlformats.org/officeDocument/2006/relationships/image" Target="media/image99.jpeg"/><Relationship Id="rId118" Type="http://schemas.openxmlformats.org/officeDocument/2006/relationships/image" Target="media/image100.png"/><Relationship Id="rId119" Type="http://schemas.openxmlformats.org/officeDocument/2006/relationships/image" Target="media/image101.jpeg"/><Relationship Id="rId120" Type="http://schemas.openxmlformats.org/officeDocument/2006/relationships/image" Target="media/image102.png"/><Relationship Id="rId121" Type="http://schemas.openxmlformats.org/officeDocument/2006/relationships/image" Target="media/image103.jpeg"/><Relationship Id="rId122" Type="http://schemas.openxmlformats.org/officeDocument/2006/relationships/image" Target="media/image104.png"/><Relationship Id="rId123" Type="http://schemas.openxmlformats.org/officeDocument/2006/relationships/image" Target="media/image105.jpeg"/><Relationship Id="rId124" Type="http://schemas.openxmlformats.org/officeDocument/2006/relationships/image" Target="media/image106.png"/><Relationship Id="rId125" Type="http://schemas.openxmlformats.org/officeDocument/2006/relationships/image" Target="media/image107.jpeg"/><Relationship Id="rId126" Type="http://schemas.openxmlformats.org/officeDocument/2006/relationships/image" Target="media/image108.png"/><Relationship Id="rId127" Type="http://schemas.openxmlformats.org/officeDocument/2006/relationships/image" Target="media/image109.jpeg"/><Relationship Id="rId128" Type="http://schemas.openxmlformats.org/officeDocument/2006/relationships/image" Target="media/image110.png"/><Relationship Id="rId129" Type="http://schemas.openxmlformats.org/officeDocument/2006/relationships/image" Target="media/image111.jpeg"/><Relationship Id="rId130" Type="http://schemas.openxmlformats.org/officeDocument/2006/relationships/image" Target="media/image112.png"/><Relationship Id="rId131" Type="http://schemas.openxmlformats.org/officeDocument/2006/relationships/image" Target="media/image113.jpeg"/><Relationship Id="rId132" Type="http://schemas.openxmlformats.org/officeDocument/2006/relationships/image" Target="media/image114.png"/><Relationship Id="rId133" Type="http://schemas.openxmlformats.org/officeDocument/2006/relationships/image" Target="media/image115.jpeg"/><Relationship Id="rId134" Type="http://schemas.openxmlformats.org/officeDocument/2006/relationships/image" Target="media/image116.png"/><Relationship Id="rId135" Type="http://schemas.openxmlformats.org/officeDocument/2006/relationships/image" Target="media/image117.jpeg"/><Relationship Id="rId136" Type="http://schemas.openxmlformats.org/officeDocument/2006/relationships/image" Target="media/image118.png"/><Relationship Id="rId137" Type="http://schemas.openxmlformats.org/officeDocument/2006/relationships/image" Target="media/image119.jpeg"/><Relationship Id="rId138" Type="http://schemas.openxmlformats.org/officeDocument/2006/relationships/image" Target="media/image120.png"/><Relationship Id="rId139" Type="http://schemas.openxmlformats.org/officeDocument/2006/relationships/image" Target="media/image121.jpeg"/><Relationship Id="rId140" Type="http://schemas.openxmlformats.org/officeDocument/2006/relationships/image" Target="media/image122.png"/><Relationship Id="rId141" Type="http://schemas.openxmlformats.org/officeDocument/2006/relationships/image" Target="media/image123.jpeg"/><Relationship Id="rId142" Type="http://schemas.openxmlformats.org/officeDocument/2006/relationships/image" Target="media/image124.png"/><Relationship Id="rId143" Type="http://schemas.openxmlformats.org/officeDocument/2006/relationships/image" Target="media/image125.jpeg"/><Relationship Id="rId144" Type="http://schemas.openxmlformats.org/officeDocument/2006/relationships/image" Target="media/image126.png"/><Relationship Id="rId145" Type="http://schemas.openxmlformats.org/officeDocument/2006/relationships/image" Target="media/image127.jpeg"/><Relationship Id="rId146" Type="http://schemas.openxmlformats.org/officeDocument/2006/relationships/image" Target="media/image128.png"/><Relationship Id="rId147" Type="http://schemas.openxmlformats.org/officeDocument/2006/relationships/image" Target="media/image129.jpe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jpeg"/><Relationship Id="rId151" Type="http://schemas.openxmlformats.org/officeDocument/2006/relationships/image" Target="media/image133.png"/><Relationship Id="rId152" Type="http://schemas.openxmlformats.org/officeDocument/2006/relationships/image" Target="media/image134.jpeg"/><Relationship Id="rId153" Type="http://schemas.openxmlformats.org/officeDocument/2006/relationships/image" Target="media/image135.png"/><Relationship Id="rId154" Type="http://schemas.openxmlformats.org/officeDocument/2006/relationships/image" Target="media/image136.jpeg"/><Relationship Id="rId155" Type="http://schemas.openxmlformats.org/officeDocument/2006/relationships/image" Target="media/image137.png"/><Relationship Id="rId156" Type="http://schemas.openxmlformats.org/officeDocument/2006/relationships/image" Target="media/image138.jpeg"/><Relationship Id="rId157" Type="http://schemas.openxmlformats.org/officeDocument/2006/relationships/image" Target="media/image139.png"/><Relationship Id="rId158" Type="http://schemas.openxmlformats.org/officeDocument/2006/relationships/image" Target="media/image140.jpeg"/><Relationship Id="rId159" Type="http://schemas.openxmlformats.org/officeDocument/2006/relationships/image" Target="media/image141.png"/><Relationship Id="rId160" Type="http://schemas.openxmlformats.org/officeDocument/2006/relationships/image" Target="media/image142.jpeg"/><Relationship Id="rId161" Type="http://schemas.openxmlformats.org/officeDocument/2006/relationships/image" Target="media/image143.png"/><Relationship Id="rId162" Type="http://schemas.openxmlformats.org/officeDocument/2006/relationships/image" Target="media/image144.jpeg"/><Relationship Id="rId163" Type="http://schemas.openxmlformats.org/officeDocument/2006/relationships/image" Target="media/image145.png"/><Relationship Id="rId164" Type="http://schemas.openxmlformats.org/officeDocument/2006/relationships/image" Target="media/image146.jpeg"/><Relationship Id="rId165" Type="http://schemas.openxmlformats.org/officeDocument/2006/relationships/image" Target="media/image147.png"/><Relationship Id="rId166" Type="http://schemas.openxmlformats.org/officeDocument/2006/relationships/image" Target="media/image148.jpeg"/><Relationship Id="rId167" Type="http://schemas.openxmlformats.org/officeDocument/2006/relationships/image" Target="media/image149.jpeg"/><Relationship Id="rId168" Type="http://schemas.openxmlformats.org/officeDocument/2006/relationships/image" Target="media/image150.png"/><Relationship Id="rId169" Type="http://schemas.openxmlformats.org/officeDocument/2006/relationships/image" Target="media/image151.jpe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jpeg"/><Relationship Id="rId173" Type="http://schemas.openxmlformats.org/officeDocument/2006/relationships/image" Target="media/image155.jpe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36" Type="http://schemas.openxmlformats.org/officeDocument/2006/relationships/hyperlink" Target="https://www.sec.gov/ix?doc=/Archives/edgar/data/813298/000156459021031160/dxlg-10ka_20210130.htm" TargetMode="External"/><Relationship Id="rId37" Type="http://schemas.openxmlformats.org/officeDocument/2006/relationships/hyperlink" Target="https://www.sec.gov/ix?doc=/Archives/edgar/data/813298/000156459021030359/dxlg-10q_20210501.htm" TargetMode="External"/><Relationship Id="rId38" Type="http://schemas.openxmlformats.org/officeDocument/2006/relationships/hyperlink" Target="https://www.sec.gov/ix?doc=/Archives/edgar/data/813298/000119312521030022/d115175d8k.htm" TargetMode="External"/><Relationship Id="rId39" Type="http://schemas.openxmlformats.org/officeDocument/2006/relationships/hyperlink" Target="https://www.sec.gov/ix?doc=/Archives/edgar/data/813298/000156459021012109/dxlg-8k_20210309.htm" TargetMode="External"/><Relationship Id="rId40" Type="http://schemas.openxmlformats.org/officeDocument/2006/relationships/hyperlink" Target="https://www.sec.gov/ix?doc=/Archives/edgar/data/813298/000156459021014007/dxlg-8k_20210316.htm" TargetMode="External"/><Relationship Id="rId41" Type="http://schemas.openxmlformats.org/officeDocument/2006/relationships/hyperlink" Target="https://www.sec.gov/ix?doc=/Archives/edgar/data/813298/000156459021018901/dxlg-8k_20210414.htm" TargetMode="External"/><Relationship Id="rId42" Type="http://schemas.openxmlformats.org/officeDocument/2006/relationships/hyperlink" Target="https://www.sec.gov/ix?doc=/Archives/edgar/data/813298/000119312521030271/d100599d8ka.htm" TargetMode="External"/><Relationship Id="rId43" Type="http://schemas.openxmlformats.org/officeDocument/2006/relationships/hyperlink" Target="http://www.sec.gov/Archives/edgar/data/813298/000119312521030948/d132525d8ka.htm" TargetMode="External"/><Relationship Id="rId44" Type="http://schemas.openxmlformats.org/officeDocument/2006/relationships/hyperlink" Target="http://www.sec.gov/Archives/edgar/data/813298/000156459020011796/dxlg-ex41_59.htm" TargetMode="External"/><Relationship Id="rId49" Type="http://schemas.openxmlformats.org/officeDocument/2006/relationships/hyperlink" Target="http://www.sec.gov/Archives/edgar/data/813298/000156459018022507/dxlg-ex31_13.htm" TargetMode="External"/><Relationship Id="rId50" Type="http://schemas.openxmlformats.org/officeDocument/2006/relationships/hyperlink" Target="http://www.sec.gov/Archives/edgar/data/813298/000156459015005139/dxlg-ex31_20150616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2021-06-10T15:53:02Z</dcterms:created>
  <dcterms:modified xsi:type="dcterms:W3CDTF">2021-06-10T15:53:02Z</dcterms:modified>
</cp:coreProperties>
</file>