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2640" w:right="2319" w:hanging="2317"/>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February 6, 2004 Registration No. 333-</w:t>
      </w:r>
    </w:p>
    <w:p>
      <w:pPr>
        <w:spacing w:after="0" w:line="200" w:lineRule="exact"/>
        <w:rPr>
          <w:sz w:val="24"/>
          <w:szCs w:val="24"/>
          <w:color w:val="auto"/>
        </w:rPr>
      </w:pPr>
    </w:p>
    <w:p>
      <w:pPr>
        <w:spacing w:after="0" w:line="205"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160"/>
        <w:spacing w:after="0"/>
        <w:rPr>
          <w:sz w:val="20"/>
          <w:szCs w:val="20"/>
          <w:color w:val="auto"/>
        </w:rPr>
      </w:pPr>
      <w:r>
        <w:rPr>
          <w:rFonts w:ascii="Courier New" w:cs="Courier New" w:eastAsia="Courier New" w:hAnsi="Courier New"/>
          <w:sz w:val="18"/>
          <w:szCs w:val="18"/>
          <w:color w:val="auto"/>
        </w:rPr>
        <w:t>_______________</w:t>
      </w:r>
    </w:p>
    <w:p>
      <w:pPr>
        <w:ind w:left="3480"/>
        <w:spacing w:after="0" w:line="237" w:lineRule="auto"/>
        <w:rPr>
          <w:sz w:val="20"/>
          <w:szCs w:val="20"/>
          <w:color w:val="auto"/>
        </w:rPr>
      </w:pPr>
      <w:r>
        <w:rPr>
          <w:rFonts w:ascii="Courier New" w:cs="Courier New" w:eastAsia="Courier New" w:hAnsi="Courier New"/>
          <w:sz w:val="18"/>
          <w:szCs w:val="18"/>
          <w:color w:val="auto"/>
        </w:rPr>
        <w:t>FORM S-8</w:t>
      </w:r>
    </w:p>
    <w:p>
      <w:pPr>
        <w:ind w:left="27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580"/>
        <w:spacing w:after="0"/>
        <w:rPr>
          <w:sz w:val="20"/>
          <w:szCs w:val="20"/>
          <w:color w:val="auto"/>
        </w:rPr>
      </w:pPr>
      <w:r>
        <w:rPr>
          <w:rFonts w:ascii="Courier New" w:cs="Courier New" w:eastAsia="Courier New" w:hAnsi="Courier New"/>
          <w:sz w:val="18"/>
          <w:szCs w:val="18"/>
          <w:color w:val="auto"/>
        </w:rPr>
        <w:t>UNDER</w:t>
      </w:r>
    </w:p>
    <w:p>
      <w:pPr>
        <w:ind w:left="26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_______________</w:t>
      </w:r>
    </w:p>
    <w:p>
      <w:pPr>
        <w:spacing w:after="0" w:line="200" w:lineRule="exact"/>
        <w:rPr>
          <w:sz w:val="24"/>
          <w:szCs w:val="24"/>
          <w:color w:val="auto"/>
        </w:rPr>
      </w:pP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84" w:orient="portrait"/>
          <w:cols w:equalWidth="0" w:num="1">
            <w:col w:w="10219"/>
          </w:cols>
          <w:pgMar w:left="240" w:top="250" w:right="1440" w:bottom="0"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04-2623104</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84" w:orient="portrait"/>
          <w:cols w:equalWidth="0" w:num="2">
            <w:col w:w="5080" w:space="720"/>
            <w:col w:w="4419"/>
          </w:cols>
          <w:pgMar w:left="240" w:top="250" w:right="1440" w:bottom="0" w:gutter="0" w:footer="0" w:header="0"/>
          <w:type w:val="continuous"/>
        </w:sect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555 Turnpike Street</w:t>
      </w:r>
    </w:p>
    <w:p>
      <w:pPr>
        <w:ind w:left="2320"/>
        <w:spacing w:after="0" w:line="238" w:lineRule="auto"/>
        <w:rPr>
          <w:sz w:val="20"/>
          <w:szCs w:val="20"/>
          <w:color w:val="auto"/>
        </w:rPr>
      </w:pPr>
      <w:r>
        <w:rPr>
          <w:rFonts w:ascii="Courier New" w:cs="Courier New" w:eastAsia="Courier New" w:hAnsi="Courier New"/>
          <w:sz w:val="18"/>
          <w:szCs w:val="18"/>
          <w:color w:val="auto"/>
        </w:rPr>
        <w:t>Canton, Massachusetts 02021</w:t>
      </w:r>
    </w:p>
    <w:p>
      <w:pPr>
        <w:ind w:left="1580"/>
        <w:spacing w:after="0"/>
        <w:rPr>
          <w:sz w:val="20"/>
          <w:szCs w:val="20"/>
          <w:color w:val="auto"/>
        </w:rPr>
      </w:pPr>
      <w:r>
        <w:rPr>
          <w:rFonts w:ascii="Courier New" w:cs="Courier New" w:eastAsia="Courier New" w:hAnsi="Courier New"/>
          <w:sz w:val="18"/>
          <w:szCs w:val="18"/>
          <w:color w:val="auto"/>
        </w:rPr>
        <w:t>(Address of Principal Executive Offices)</w:t>
      </w:r>
    </w:p>
    <w:p>
      <w:pPr>
        <w:ind w:left="2960"/>
        <w:spacing w:after="0" w:line="237" w:lineRule="auto"/>
        <w:rPr>
          <w:sz w:val="20"/>
          <w:szCs w:val="20"/>
          <w:color w:val="auto"/>
        </w:rPr>
      </w:pPr>
      <w:r>
        <w:rPr>
          <w:rFonts w:ascii="Courier New" w:cs="Courier New" w:eastAsia="Courier New" w:hAnsi="Courier New"/>
          <w:sz w:val="18"/>
          <w:szCs w:val="18"/>
          <w:color w:val="auto"/>
        </w:rPr>
        <w:t>_______________</w:t>
      </w:r>
    </w:p>
    <w:p>
      <w:pPr>
        <w:jc w:val="center"/>
        <w:ind w:right="2399"/>
        <w:spacing w:after="0" w:line="238" w:lineRule="auto"/>
        <w:rPr>
          <w:sz w:val="20"/>
          <w:szCs w:val="20"/>
          <w:color w:val="auto"/>
        </w:rPr>
      </w:pPr>
      <w:r>
        <w:rPr>
          <w:rFonts w:ascii="Courier New" w:cs="Courier New" w:eastAsia="Courier New" w:hAnsi="Courier New"/>
          <w:sz w:val="18"/>
          <w:szCs w:val="18"/>
          <w:color w:val="auto"/>
        </w:rPr>
        <w:t>CASUAL MALE RETAIL GROUP, INC. 1992 STOCK INCENTIVE PLAN</w:t>
      </w:r>
    </w:p>
    <w:p>
      <w:pPr>
        <w:jc w:val="center"/>
        <w:ind w:right="2399"/>
        <w:spacing w:after="0"/>
        <w:rPr>
          <w:sz w:val="20"/>
          <w:szCs w:val="20"/>
          <w:color w:val="auto"/>
        </w:rPr>
      </w:pPr>
      <w:r>
        <w:rPr>
          <w:rFonts w:ascii="Courier New" w:cs="Courier New" w:eastAsia="Courier New" w:hAnsi="Courier New"/>
          <w:sz w:val="18"/>
          <w:szCs w:val="18"/>
          <w:color w:val="auto"/>
        </w:rPr>
        <w:t>(Full Title of the Plan)</w:t>
      </w:r>
    </w:p>
    <w:p>
      <w:pPr>
        <w:ind w:left="2960"/>
        <w:spacing w:after="0" w:line="237" w:lineRule="auto"/>
        <w:rPr>
          <w:sz w:val="20"/>
          <w:szCs w:val="20"/>
          <w:color w:val="auto"/>
        </w:rPr>
      </w:pPr>
      <w:r>
        <w:rPr>
          <w:rFonts w:ascii="Courier New" w:cs="Courier New" w:eastAsia="Courier New" w:hAnsi="Courier New"/>
          <w:sz w:val="18"/>
          <w:szCs w:val="18"/>
          <w:color w:val="auto"/>
        </w:rPr>
        <w:t>_______________</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Dennis R. Hernreich</w:t>
      </w:r>
    </w:p>
    <w:p>
      <w:pPr>
        <w:ind w:left="2320"/>
        <w:spacing w:after="0" w:line="238" w:lineRule="auto"/>
        <w:rPr>
          <w:sz w:val="20"/>
          <w:szCs w:val="20"/>
          <w:color w:val="auto"/>
        </w:rPr>
      </w:pPr>
      <w:r>
        <w:rPr>
          <w:rFonts w:ascii="Courier New" w:cs="Courier New" w:eastAsia="Courier New" w:hAnsi="Courier New"/>
          <w:sz w:val="18"/>
          <w:szCs w:val="18"/>
          <w:color w:val="auto"/>
        </w:rPr>
        <w:t>Casual Male Retail Group, Inc.</w:t>
      </w:r>
    </w:p>
    <w:p>
      <w:pPr>
        <w:ind w:left="2960"/>
        <w:spacing w:after="0"/>
        <w:rPr>
          <w:sz w:val="20"/>
          <w:szCs w:val="20"/>
          <w:color w:val="auto"/>
        </w:rPr>
      </w:pPr>
      <w:r>
        <w:rPr>
          <w:rFonts w:ascii="Courier New" w:cs="Courier New" w:eastAsia="Courier New" w:hAnsi="Courier New"/>
          <w:sz w:val="18"/>
          <w:szCs w:val="18"/>
          <w:color w:val="auto"/>
        </w:rPr>
        <w:t>555 Turnpike Street</w:t>
      </w:r>
    </w:p>
    <w:p>
      <w:pPr>
        <w:ind w:left="2540"/>
        <w:spacing w:after="0" w:line="237" w:lineRule="auto"/>
        <w:rPr>
          <w:sz w:val="20"/>
          <w:szCs w:val="20"/>
          <w:color w:val="auto"/>
        </w:rPr>
      </w:pPr>
      <w:r>
        <w:rPr>
          <w:rFonts w:ascii="Courier New" w:cs="Courier New" w:eastAsia="Courier New" w:hAnsi="Courier New"/>
          <w:sz w:val="18"/>
          <w:szCs w:val="18"/>
          <w:color w:val="auto"/>
        </w:rPr>
        <w:t>Canton, Massachusetts 02021</w:t>
      </w:r>
    </w:p>
    <w:p>
      <w:pPr>
        <w:ind w:left="1800"/>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(781) 828-9300</w:t>
      </w:r>
    </w:p>
    <w:p>
      <w:pPr>
        <w:ind w:left="860"/>
        <w:spacing w:after="0" w:line="238" w:lineRule="auto"/>
        <w:rPr>
          <w:sz w:val="20"/>
          <w:szCs w:val="20"/>
          <w:color w:val="auto"/>
        </w:rPr>
      </w:pPr>
      <w:r>
        <w:rPr>
          <w:rFonts w:ascii="Courier New" w:cs="Courier New" w:eastAsia="Courier New" w:hAnsi="Courier New"/>
          <w:sz w:val="18"/>
          <w:szCs w:val="18"/>
          <w:color w:val="auto"/>
        </w:rPr>
        <w:t>(Telephone Number, Including Area Code,of Agent for Service)</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Peter G. Smith, Esq.</w:t>
      </w:r>
    </w:p>
    <w:p>
      <w:pPr>
        <w:ind w:left="2120"/>
        <w:spacing w:after="0" w:line="238" w:lineRule="auto"/>
        <w:rPr>
          <w:sz w:val="20"/>
          <w:szCs w:val="20"/>
          <w:color w:val="auto"/>
        </w:rPr>
      </w:pPr>
      <w:r>
        <w:rPr>
          <w:rFonts w:ascii="Courier New" w:cs="Courier New" w:eastAsia="Courier New" w:hAnsi="Courier New"/>
          <w:sz w:val="18"/>
          <w:szCs w:val="18"/>
          <w:color w:val="auto"/>
        </w:rPr>
        <w:t>Kramer Levin Naftalis &amp; Frankel LLP</w:t>
      </w:r>
    </w:p>
    <w:p>
      <w:pPr>
        <w:ind w:left="2860"/>
        <w:spacing w:after="0"/>
        <w:rPr>
          <w:sz w:val="20"/>
          <w:szCs w:val="20"/>
          <w:color w:val="auto"/>
        </w:rPr>
      </w:pPr>
      <w:r>
        <w:rPr>
          <w:rFonts w:ascii="Courier New" w:cs="Courier New" w:eastAsia="Courier New" w:hAnsi="Courier New"/>
          <w:sz w:val="18"/>
          <w:szCs w:val="18"/>
          <w:color w:val="auto"/>
        </w:rPr>
        <w:t>919 Third Avenue</w:t>
      </w:r>
    </w:p>
    <w:p>
      <w:pPr>
        <w:ind w:left="254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060"/>
        <w:spacing w:after="0" w:line="238" w:lineRule="auto"/>
        <w:rPr>
          <w:sz w:val="20"/>
          <w:szCs w:val="20"/>
          <w:color w:val="auto"/>
        </w:rPr>
      </w:pPr>
      <w:r>
        <w:rPr>
          <w:rFonts w:ascii="Courier New" w:cs="Courier New" w:eastAsia="Courier New" w:hAnsi="Courier New"/>
          <w:sz w:val="18"/>
          <w:szCs w:val="18"/>
          <w:color w:val="auto"/>
        </w:rPr>
        <w:t>(212) 715-9100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CALCULATION OF</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REGISTRATION FEE</w:t>
            </w:r>
          </w:p>
        </w:tc>
        <w:tc>
          <w:tcPr>
            <w:tcW w:w="1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w w:val="99"/>
              </w:rPr>
              <w:t>Proposed Maximum</w:t>
            </w:r>
          </w:p>
        </w:tc>
        <w:tc>
          <w:tcPr>
            <w:tcW w:w="3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Proposed Maximum Amount of</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of Securities Amount to be</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Offering Price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Registered(1)</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 Share (2)</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________________</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________________</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___________</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$0.01 per</w:t>
            </w:r>
          </w:p>
        </w:tc>
        <w:tc>
          <w:tcPr>
            <w:tcW w:w="16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5,580,000</w:t>
            </w: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$6.54</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$36,493,200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$4,623.69</w:t>
            </w:r>
          </w:p>
        </w:tc>
      </w:tr>
    </w:tbl>
    <w:p>
      <w:pPr>
        <w:spacing w:after="0" w:line="200" w:lineRule="exact"/>
        <w:rPr>
          <w:sz w:val="24"/>
          <w:szCs w:val="24"/>
          <w:color w:val="auto"/>
        </w:rPr>
      </w:pPr>
    </w:p>
    <w:p>
      <w:pPr>
        <w:spacing w:after="0" w:line="209" w:lineRule="exact"/>
        <w:rPr>
          <w:sz w:val="24"/>
          <w:szCs w:val="24"/>
          <w:color w:val="auto"/>
        </w:rPr>
      </w:pPr>
    </w:p>
    <w:p>
      <w:pPr>
        <w:ind w:left="420" w:right="2099" w:hanging="412"/>
        <w:spacing w:after="0" w:line="271"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(this "Registration Statement") covers 5,580,000 shares of the Registrant's common stock which may be offered or sold from time to time pursuant to the Registrant's 1992 Stock Incentive Plan (as amended, the "Plan"). The maximum number of shares of common stock reserved and available for issuance under the Plan is 6,930,000, of which 1,350,000 shares (after giving effect to the Registrant's June 8, 1993 three-for-two stock split) were previously registered by the Registrant pursuant to a Registration Statement on Form S-8, filed with the Securities and Exchange Commission on October 2, 1992.</w:t>
      </w:r>
    </w:p>
    <w:p>
      <w:pPr>
        <w:spacing w:after="0" w:line="388" w:lineRule="exact"/>
        <w:rPr>
          <w:rFonts w:ascii="Courier New" w:cs="Courier New" w:eastAsia="Courier New" w:hAnsi="Courier New"/>
          <w:sz w:val="16"/>
          <w:szCs w:val="16"/>
          <w:color w:val="auto"/>
        </w:rPr>
      </w:pPr>
    </w:p>
    <w:p>
      <w:pPr>
        <w:ind w:left="420" w:right="2319" w:hanging="412"/>
        <w:spacing w:after="0" w:line="279"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pursuant to Rules 457(c) and 457(h)(1) promulgated under the Securities Act of 1933, as amended (the "Securities Act"), based on the average of</w:t>
      </w:r>
    </w:p>
    <w:p>
      <w:pPr>
        <w:sectPr>
          <w:pgSz w:w="11900" w:h="16884" w:orient="portrait"/>
          <w:cols w:equalWidth="0" w:num="1">
            <w:col w:w="10219"/>
          </w:cols>
          <w:pgMar w:left="240" w:top="250" w:right="1440" w:bottom="0" w:gutter="0" w:footer="0" w:header="0"/>
          <w:type w:val="continuous"/>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the high and low sales prices for the Registrant's common stock reported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on the Nasdaq National Market on February 4, 2004, which is within five (5)</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business days prior to the date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II</w:t>
      </w:r>
    </w:p>
    <w:p>
      <w:pPr>
        <w:ind w:left="1700"/>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Registrant hereby incorporates by reference in this Registration Statement the following documents:</w:t>
      </w:r>
    </w:p>
    <w:p>
      <w:pPr>
        <w:spacing w:after="0" w:line="208" w:lineRule="exact"/>
        <w:rPr>
          <w:sz w:val="20"/>
          <w:szCs w:val="20"/>
          <w:color w:val="auto"/>
        </w:rPr>
      </w:pPr>
    </w:p>
    <w:p>
      <w:pPr>
        <w:ind w:left="320" w:right="251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Annual Report on Form 10-K for the fiscal year ended February 1, 2003, filed May 5, 2003;</w:t>
      </w:r>
    </w:p>
    <w:p>
      <w:pPr>
        <w:spacing w:after="0" w:line="208" w:lineRule="exact"/>
        <w:rPr>
          <w:rFonts w:ascii="Courier New" w:cs="Courier New" w:eastAsia="Courier New" w:hAnsi="Courier New"/>
          <w:sz w:val="18"/>
          <w:szCs w:val="18"/>
          <w:color w:val="auto"/>
        </w:rPr>
      </w:pPr>
    </w:p>
    <w:p>
      <w:pPr>
        <w:ind w:left="320" w:right="27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Quarterly Report on Form 10-Q for the three months ended May 3, 2003, filed June 16, 2003;</w:t>
      </w:r>
    </w:p>
    <w:p>
      <w:pPr>
        <w:spacing w:after="0" w:line="208" w:lineRule="exact"/>
        <w:rPr>
          <w:rFonts w:ascii="Courier New" w:cs="Courier New" w:eastAsia="Courier New" w:hAnsi="Courier New"/>
          <w:sz w:val="18"/>
          <w:szCs w:val="18"/>
          <w:color w:val="auto"/>
        </w:rPr>
      </w:pPr>
    </w:p>
    <w:p>
      <w:pPr>
        <w:ind w:left="320" w:right="27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Quarterly Report on Form 10-Q for the three months ended August 2, 2003, filed September 16, 2003;</w:t>
      </w:r>
    </w:p>
    <w:p>
      <w:pPr>
        <w:spacing w:after="0" w:line="208" w:lineRule="exact"/>
        <w:rPr>
          <w:rFonts w:ascii="Courier New" w:cs="Courier New" w:eastAsia="Courier New" w:hAnsi="Courier New"/>
          <w:sz w:val="18"/>
          <w:szCs w:val="18"/>
          <w:color w:val="auto"/>
        </w:rPr>
      </w:pPr>
    </w:p>
    <w:p>
      <w:pPr>
        <w:ind w:left="320" w:right="2739" w:hanging="312"/>
        <w:spacing w:after="0" w:line="235"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Quarterly Report on Form 10-Q for the three months ended November 1, 2003, filed December 9, 2003;</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August 21,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10,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12,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13,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13, 2003;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Registrant's Current Report on Form 8-K, filed November 20, 2003;</w:t>
      </w:r>
    </w:p>
    <w:p>
      <w:pPr>
        <w:spacing w:after="0" w:line="206" w:lineRule="exact"/>
        <w:rPr>
          <w:rFonts w:ascii="Courier New" w:cs="Courier New" w:eastAsia="Courier New" w:hAnsi="Courier New"/>
          <w:sz w:val="18"/>
          <w:szCs w:val="18"/>
          <w:color w:val="auto"/>
        </w:rPr>
      </w:pPr>
    </w:p>
    <w:p>
      <w:pPr>
        <w:ind w:left="320" w:right="2419" w:hanging="312"/>
        <w:spacing w:after="0" w:line="273" w:lineRule="auto"/>
        <w:tabs>
          <w:tab w:leader="none" w:pos="21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description of the Registrant's Class A Common Stock contained in the latest registration statement of the Registrant with respect to such Class A Common Stock filed under Section 12 of the Securities Exchange Act of 1934, as amended (the "Exchange Act"), including any amendment or report filed for the purpose of updating such description;</w:t>
      </w:r>
    </w:p>
    <w:p>
      <w:pPr>
        <w:spacing w:after="0" w:line="184" w:lineRule="exact"/>
        <w:rPr>
          <w:rFonts w:ascii="Courier New" w:cs="Courier New" w:eastAsia="Courier New" w:hAnsi="Courier New"/>
          <w:sz w:val="16"/>
          <w:szCs w:val="16"/>
          <w:color w:val="auto"/>
        </w:rPr>
      </w:pPr>
    </w:p>
    <w:p>
      <w:pPr>
        <w:ind w:left="320" w:right="2419" w:hanging="312"/>
        <w:spacing w:after="0" w:line="236"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All other reports filed by the Registrant pursuant to Section 13(a) or 15(d) of the Exchange Act since the end of the fiscal year covered by the Annual Report referred to above; and</w:t>
      </w:r>
    </w:p>
    <w:p>
      <w:pPr>
        <w:spacing w:after="0" w:line="208" w:lineRule="exact"/>
        <w:rPr>
          <w:rFonts w:ascii="Courier New" w:cs="Courier New" w:eastAsia="Courier New" w:hAnsi="Courier New"/>
          <w:sz w:val="18"/>
          <w:szCs w:val="18"/>
          <w:color w:val="auto"/>
        </w:rPr>
      </w:pPr>
    </w:p>
    <w:p>
      <w:pPr>
        <w:ind w:left="320" w:right="2199" w:hanging="312"/>
        <w:spacing w:after="0" w:line="237" w:lineRule="auto"/>
        <w:tabs>
          <w:tab w:leader="none" w:pos="21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All documents subsequently filed by the Registrant with the Securities and Exchange Commission pursuant to Section 13(a), 13(c), 14 or 15(d) of the Exchange Act, prior to the filing of a post-effective amendment to this Registration Statement which indicates that all securities offered hereby have been sold or which deregisters all securities then remaining unsold, shall be deemed to be incorporated by reference in this Registration Statement and to be a part hereof from the date of filing of such documents.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Registrant will furnish to each person, including any beneficial owner, to whom this prospectus is delivered, without charge, a copy of any or all of the information that has been incorporated by reference (including any exhibits that are specifically incorporated by reference in that information) upon oral or written request to:</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Casual Male Retail Group, Inc.</w:t>
      </w:r>
    </w:p>
    <w:p>
      <w:pPr>
        <w:ind w:left="2320"/>
        <w:spacing w:after="0" w:line="238" w:lineRule="auto"/>
        <w:rPr>
          <w:sz w:val="20"/>
          <w:szCs w:val="20"/>
          <w:color w:val="auto"/>
        </w:rPr>
      </w:pPr>
      <w:r>
        <w:rPr>
          <w:rFonts w:ascii="Courier New" w:cs="Courier New" w:eastAsia="Courier New" w:hAnsi="Courier New"/>
          <w:sz w:val="18"/>
          <w:szCs w:val="18"/>
          <w:color w:val="auto"/>
        </w:rPr>
        <w:t>555 Turnpike Street</w:t>
      </w:r>
    </w:p>
    <w:p>
      <w:pPr>
        <w:ind w:left="2000"/>
        <w:spacing w:after="0"/>
        <w:rPr>
          <w:sz w:val="20"/>
          <w:szCs w:val="20"/>
          <w:color w:val="auto"/>
        </w:rPr>
      </w:pPr>
      <w:r>
        <w:rPr>
          <w:rFonts w:ascii="Courier New" w:cs="Courier New" w:eastAsia="Courier New" w:hAnsi="Courier New"/>
          <w:sz w:val="18"/>
          <w:szCs w:val="18"/>
          <w:color w:val="auto"/>
        </w:rPr>
        <w:t>Canton, Massachusetts 02021</w:t>
      </w:r>
    </w:p>
    <w:p>
      <w:pPr>
        <w:ind w:left="2540"/>
        <w:spacing w:after="0" w:line="237" w:lineRule="auto"/>
        <w:rPr>
          <w:sz w:val="20"/>
          <w:szCs w:val="20"/>
          <w:color w:val="auto"/>
        </w:rPr>
      </w:pPr>
      <w:r>
        <w:rPr>
          <w:rFonts w:ascii="Courier New" w:cs="Courier New" w:eastAsia="Courier New" w:hAnsi="Courier New"/>
          <w:sz w:val="18"/>
          <w:szCs w:val="18"/>
          <w:color w:val="auto"/>
        </w:rPr>
        <w:t>(781) 828-9300</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Chief Financial Officer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of Named Experts and Counsel.</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Officers and Directors.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Registrant's Restated Certificate of Incorporation, as amended (the "Certificate of Incorporation"), provides that no director of the Registrant shall be personally liable to the Registrant or to any of its stockholders for monetary damages arising out of such director's breach of fiduciary duty, except to the extent that the elimination or limitation of liability is not</w:t>
      </w:r>
    </w:p>
    <w:p>
      <w:pPr>
        <w:sectPr>
          <w:pgSz w:w="11900" w:h="16838" w:orient="portrait"/>
          <w:cols w:equalWidth="0" w:num="1">
            <w:col w:w="10219"/>
          </w:cols>
          <w:pgMar w:left="240" w:top="136" w:right="1440" w:bottom="0" w:gutter="0" w:footer="0" w:header="0"/>
        </w:sectPr>
      </w:pPr>
    </w:p>
    <w:bookmarkStart w:id="2" w:name="page3"/>
    <w:bookmarkEnd w:id="2"/>
    <w:p>
      <w:pPr>
        <w:ind w:right="2199"/>
        <w:spacing w:after="0" w:line="268" w:lineRule="auto"/>
        <w:rPr>
          <w:sz w:val="20"/>
          <w:szCs w:val="20"/>
          <w:color w:val="auto"/>
        </w:rPr>
      </w:pPr>
      <w:r>
        <w:rPr>
          <w:rFonts w:ascii="Courier New" w:cs="Courier New" w:eastAsia="Courier New" w:hAnsi="Courier New"/>
          <w:sz w:val="16"/>
          <w:szCs w:val="16"/>
          <w:color w:val="auto"/>
        </w:rPr>
        <w:t>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w:t>
      </w:r>
    </w:p>
    <w:p>
      <w:pPr>
        <w:spacing w:after="0" w:line="1" w:lineRule="exact"/>
        <w:rPr>
          <w:sz w:val="20"/>
          <w:szCs w:val="20"/>
          <w:color w:val="auto"/>
        </w:rPr>
      </w:pPr>
    </w:p>
    <w:p>
      <w:pPr>
        <w:ind w:right="219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15"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Certificate of Incorporation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Item 8.  Exhibits.</w:t>
            </w:r>
          </w:p>
        </w:tc>
        <w:tc>
          <w:tcPr>
            <w:tcW w:w="6060" w:type="dxa"/>
            <w:vAlign w:val="bottom"/>
          </w:tcPr>
          <w:p>
            <w:pPr>
              <w:spacing w:after="0"/>
              <w:rPr>
                <w:sz w:val="17"/>
                <w:szCs w:val="17"/>
                <w:color w:val="auto"/>
              </w:rPr>
            </w:pP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Exhibit Number</w:t>
            </w:r>
          </w:p>
        </w:tc>
        <w:tc>
          <w:tcPr>
            <w:tcW w:w="6060" w:type="dxa"/>
            <w:vAlign w:val="bottom"/>
          </w:tcPr>
          <w:p>
            <w:pPr>
              <w:ind w:left="110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2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5.1</w:t>
            </w: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Opinion of counsel as to legality of the shares of</w:t>
            </w:r>
          </w:p>
        </w:tc>
      </w:tr>
      <w:tr>
        <w:trPr>
          <w:trHeight w:val="203"/>
        </w:trPr>
        <w:tc>
          <w:tcPr>
            <w:tcW w:w="2280" w:type="dxa"/>
            <w:vAlign w:val="bottom"/>
          </w:tcPr>
          <w:p>
            <w:pPr>
              <w:spacing w:after="0"/>
              <w:rPr>
                <w:sz w:val="17"/>
                <w:szCs w:val="17"/>
                <w:color w:val="auto"/>
              </w:rPr>
            </w:pP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Registrant's Common Stock covered by this</w:t>
            </w:r>
          </w:p>
        </w:tc>
      </w:tr>
      <w:tr>
        <w:trPr>
          <w:trHeight w:val="203"/>
        </w:trPr>
        <w:tc>
          <w:tcPr>
            <w:tcW w:w="2280" w:type="dxa"/>
            <w:vAlign w:val="bottom"/>
          </w:tcPr>
          <w:p>
            <w:pPr>
              <w:spacing w:after="0"/>
              <w:rPr>
                <w:sz w:val="17"/>
                <w:szCs w:val="17"/>
                <w:color w:val="auto"/>
              </w:rPr>
            </w:pP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Registration Statement.</w:t>
            </w:r>
          </w:p>
        </w:tc>
      </w:tr>
      <w:tr>
        <w:trPr>
          <w:trHeight w:val="405"/>
        </w:trPr>
        <w:tc>
          <w:tcPr>
            <w:tcW w:w="228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10.1</w:t>
            </w:r>
          </w:p>
        </w:tc>
        <w:tc>
          <w:tcPr>
            <w:tcW w:w="6060" w:type="dxa"/>
            <w:vAlign w:val="bottom"/>
          </w:tcPr>
          <w:p>
            <w:pPr>
              <w:ind w:left="260"/>
              <w:spacing w:after="0"/>
              <w:rPr>
                <w:sz w:val="20"/>
                <w:szCs w:val="20"/>
                <w:color w:val="auto"/>
              </w:rPr>
            </w:pPr>
            <w:r>
              <w:rPr>
                <w:rFonts w:ascii="Courier New" w:cs="Courier New" w:eastAsia="Courier New" w:hAnsi="Courier New"/>
                <w:sz w:val="18"/>
                <w:szCs w:val="18"/>
                <w:color w:val="auto"/>
              </w:rPr>
              <w:t>Casual Male Retail Group, Inc. 1992 Stock Incentive</w:t>
            </w:r>
          </w:p>
        </w:tc>
      </w:tr>
      <w:tr>
        <w:trPr>
          <w:trHeight w:val="203"/>
        </w:trPr>
        <w:tc>
          <w:tcPr>
            <w:tcW w:w="2280" w:type="dxa"/>
            <w:vAlign w:val="bottom"/>
          </w:tcPr>
          <w:p>
            <w:pPr>
              <w:spacing w:after="0"/>
              <w:rPr>
                <w:sz w:val="17"/>
                <w:szCs w:val="17"/>
                <w:color w:val="auto"/>
              </w:rPr>
            </w:pP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Plan, as amended (incorporated by reference to</w:t>
            </w:r>
          </w:p>
        </w:tc>
      </w:tr>
      <w:tr>
        <w:trPr>
          <w:trHeight w:val="203"/>
        </w:trPr>
        <w:tc>
          <w:tcPr>
            <w:tcW w:w="2280" w:type="dxa"/>
            <w:vAlign w:val="bottom"/>
          </w:tcPr>
          <w:p>
            <w:pPr>
              <w:spacing w:after="0"/>
              <w:rPr>
                <w:sz w:val="17"/>
                <w:szCs w:val="17"/>
                <w:color w:val="auto"/>
              </w:rPr>
            </w:pP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10.1 to the Company's Quarterly Report on</w:t>
            </w:r>
          </w:p>
        </w:tc>
      </w:tr>
      <w:tr>
        <w:trPr>
          <w:trHeight w:val="203"/>
        </w:trPr>
        <w:tc>
          <w:tcPr>
            <w:tcW w:w="2280" w:type="dxa"/>
            <w:vAlign w:val="bottom"/>
          </w:tcPr>
          <w:p>
            <w:pPr>
              <w:spacing w:after="0"/>
              <w:rPr>
                <w:sz w:val="17"/>
                <w:szCs w:val="17"/>
                <w:color w:val="auto"/>
              </w:rPr>
            </w:pP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Form 10-Q for the three months ended November 1, 2003,</w:t>
            </w:r>
          </w:p>
        </w:tc>
      </w:tr>
      <w:tr>
        <w:trPr>
          <w:trHeight w:val="203"/>
        </w:trPr>
        <w:tc>
          <w:tcPr>
            <w:tcW w:w="2280" w:type="dxa"/>
            <w:vAlign w:val="bottom"/>
          </w:tcPr>
          <w:p>
            <w:pPr>
              <w:spacing w:after="0"/>
              <w:rPr>
                <w:sz w:val="17"/>
                <w:szCs w:val="17"/>
                <w:color w:val="auto"/>
              </w:rPr>
            </w:pPr>
          </w:p>
        </w:tc>
        <w:tc>
          <w:tcPr>
            <w:tcW w:w="6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filed December 9, 2003).</w:t>
            </w:r>
          </w:p>
        </w:tc>
      </w:tr>
      <w:tr>
        <w:trPr>
          <w:trHeight w:val="405"/>
        </w:trPr>
        <w:tc>
          <w:tcPr>
            <w:tcW w:w="228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23.1</w:t>
            </w:r>
          </w:p>
        </w:tc>
        <w:tc>
          <w:tcPr>
            <w:tcW w:w="6060" w:type="dxa"/>
            <w:vAlign w:val="bottom"/>
          </w:tcPr>
          <w:p>
            <w:pPr>
              <w:ind w:left="260"/>
              <w:spacing w:after="0"/>
              <w:rPr>
                <w:sz w:val="20"/>
                <w:szCs w:val="20"/>
                <w:color w:val="auto"/>
              </w:rPr>
            </w:pPr>
            <w:r>
              <w:rPr>
                <w:rFonts w:ascii="Courier New" w:cs="Courier New" w:eastAsia="Courier New" w:hAnsi="Courier New"/>
                <w:sz w:val="18"/>
                <w:szCs w:val="18"/>
                <w:color w:val="auto"/>
              </w:rPr>
              <w:t>Consent of Ernst &amp; Young LLP.</w:t>
            </w:r>
          </w:p>
        </w:tc>
      </w:tr>
      <w:tr>
        <w:trPr>
          <w:trHeight w:val="405"/>
        </w:trPr>
        <w:tc>
          <w:tcPr>
            <w:tcW w:w="228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23.2</w:t>
            </w:r>
          </w:p>
        </w:tc>
        <w:tc>
          <w:tcPr>
            <w:tcW w:w="6060" w:type="dxa"/>
            <w:vAlign w:val="bottom"/>
          </w:tcPr>
          <w:p>
            <w:pPr>
              <w:ind w:left="260"/>
              <w:spacing w:after="0"/>
              <w:rPr>
                <w:sz w:val="20"/>
                <w:szCs w:val="20"/>
                <w:color w:val="auto"/>
              </w:rPr>
            </w:pPr>
            <w:r>
              <w:rPr>
                <w:rFonts w:ascii="Courier New" w:cs="Courier New" w:eastAsia="Courier New" w:hAnsi="Courier New"/>
                <w:sz w:val="18"/>
                <w:szCs w:val="18"/>
                <w:color w:val="auto"/>
              </w:rPr>
              <w:t>Consent of counsel (included in Exhibit 5.1 above).</w:t>
            </w:r>
          </w:p>
        </w:tc>
      </w:tr>
      <w:tr>
        <w:trPr>
          <w:trHeight w:val="405"/>
        </w:trPr>
        <w:tc>
          <w:tcPr>
            <w:tcW w:w="228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24.1</w:t>
            </w:r>
          </w:p>
        </w:tc>
        <w:tc>
          <w:tcPr>
            <w:tcW w:w="6060" w:type="dxa"/>
            <w:vAlign w:val="bottom"/>
          </w:tcPr>
          <w:p>
            <w:pPr>
              <w:ind w:left="260"/>
              <w:spacing w:after="0"/>
              <w:rPr>
                <w:sz w:val="20"/>
                <w:szCs w:val="20"/>
                <w:color w:val="auto"/>
              </w:rPr>
            </w:pPr>
            <w:r>
              <w:rPr>
                <w:rFonts w:ascii="Courier New" w:cs="Courier New" w:eastAsia="Courier New" w:hAnsi="Courier New"/>
                <w:sz w:val="18"/>
                <w:szCs w:val="18"/>
                <w:color w:val="auto"/>
                <w:w w:val="97"/>
              </w:rPr>
              <w:t>Power of Attorney (contained in Signature Page hereto).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4" w:lineRule="exact"/>
        <w:rPr>
          <w:sz w:val="20"/>
          <w:szCs w:val="20"/>
          <w:color w:val="auto"/>
        </w:rPr>
      </w:pPr>
    </w:p>
    <w:p>
      <w:pPr>
        <w:ind w:left="540" w:right="2519" w:hanging="532"/>
        <w:spacing w:after="0" w:line="235"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480" w:right="2519" w:hanging="629"/>
        <w:spacing w:after="0" w:line="235" w:lineRule="auto"/>
        <w:tabs>
          <w:tab w:leader="none" w:pos="126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480" w:right="1879" w:hanging="524"/>
        <w:spacing w:after="0" w:line="238" w:lineRule="auto"/>
        <w:tabs>
          <w:tab w:leader="none" w:pos="14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8" w:lineRule="exact"/>
        <w:rPr>
          <w:rFonts w:ascii="Courier New" w:cs="Courier New" w:eastAsia="Courier New" w:hAnsi="Courier New"/>
          <w:sz w:val="18"/>
          <w:szCs w:val="18"/>
          <w:color w:val="auto"/>
        </w:rPr>
      </w:pPr>
    </w:p>
    <w:p>
      <w:pPr>
        <w:ind w:left="1480" w:right="2099" w:hanging="629"/>
        <w:spacing w:after="0" w:line="237" w:lineRule="auto"/>
        <w:tabs>
          <w:tab w:leader="none" w:pos="14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provided, however, that clauses (1)(i) and (1)(ii) do not apply if the information required to be included in a post-effective amendment by those clauses is contained in periodic reports filed with or furnished to the Commission by the Registrant pursuant to Section 13 or 15(d) of the Securities Exchange Act of 1934 that are incorporated by reference in the registration statement.</w:t>
      </w:r>
    </w:p>
    <w:p>
      <w:pPr>
        <w:sectPr>
          <w:pgSz w:w="11900" w:h="16838" w:orient="portrait"/>
          <w:cols w:equalWidth="0" w:num="1">
            <w:col w:w="10219"/>
          </w:cols>
          <w:pgMar w:left="240" w:top="142" w:right="1440" w:bottom="0" w:gutter="0" w:footer="0" w:header="0"/>
        </w:sectPr>
      </w:pPr>
    </w:p>
    <w:bookmarkStart w:id="3" w:name="page4"/>
    <w:bookmarkEnd w:id="3"/>
    <w:p>
      <w:pPr>
        <w:ind w:left="540" w:right="1879" w:hanging="532"/>
        <w:spacing w:after="0" w:line="237"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 liability under the Securities Act of 1933, each such post-effective amendment shall be deemed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or persons controlling the Registrant pursuant to the foregoing provisions, or otherwise, the Registrant has been informed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w:t>
      </w:r>
    </w:p>
    <w:p>
      <w:pPr>
        <w:spacing w:after="0" w:line="1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Canton, Commonwealth of Massachusetts, on this 6th day of February, 2004.</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CASUAL MALE RETAIL GROUP, INC.</w:t>
      </w:r>
    </w:p>
    <w:p>
      <w:pPr>
        <w:ind w:left="4220"/>
        <w:spacing w:after="0" w:line="238" w:lineRule="auto"/>
        <w:rPr>
          <w:sz w:val="20"/>
          <w:szCs w:val="20"/>
          <w:color w:val="auto"/>
        </w:rPr>
      </w:pPr>
      <w:r>
        <w:rPr>
          <w:rFonts w:ascii="Courier New" w:cs="Courier New" w:eastAsia="Courier New" w:hAnsi="Courier New"/>
          <w:sz w:val="18"/>
          <w:szCs w:val="18"/>
          <w:color w:val="auto"/>
        </w:rPr>
        <w:t>By:/S/ DENNIS R. HERNREICH</w:t>
      </w:r>
    </w:p>
    <w:p>
      <w:pPr>
        <w:ind w:left="4540"/>
        <w:spacing w:after="0"/>
        <w:rPr>
          <w:sz w:val="20"/>
          <w:szCs w:val="20"/>
          <w:color w:val="auto"/>
        </w:rPr>
      </w:pPr>
      <w:r>
        <w:rPr>
          <w:rFonts w:ascii="Courier New" w:cs="Courier New" w:eastAsia="Courier New" w:hAnsi="Courier New"/>
          <w:sz w:val="18"/>
          <w:szCs w:val="18"/>
          <w:color w:val="auto"/>
        </w:rPr>
        <w:t>--------------------------</w:t>
      </w:r>
    </w:p>
    <w:p>
      <w:pPr>
        <w:ind w:left="42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Dennis R. Hernreich</w:t>
      </w:r>
    </w:p>
    <w:p>
      <w:pPr>
        <w:ind w:left="4220"/>
        <w:spacing w:after="0" w:line="238" w:lineRule="auto"/>
        <w:tabs>
          <w:tab w:leader="none" w:pos="5040" w:val="left"/>
        </w:tabs>
        <w:rPr>
          <w:sz w:val="20"/>
          <w:szCs w:val="20"/>
          <w:color w:val="auto"/>
        </w:rPr>
      </w:pPr>
      <w:r>
        <w:rPr>
          <w:rFonts w:ascii="Courier New" w:cs="Courier New" w:eastAsia="Courier New" w:hAnsi="Courier New"/>
          <w:sz w:val="18"/>
          <w:szCs w:val="18"/>
          <w:color w:val="auto"/>
        </w:rPr>
        <w:t>Title:</w:t>
        <w:tab/>
        <w:t>Executive Vice President,</w:t>
      </w:r>
    </w:p>
    <w:p>
      <w:pPr>
        <w:ind w:left="4220"/>
        <w:spacing w:after="0"/>
        <w:rPr>
          <w:sz w:val="20"/>
          <w:szCs w:val="20"/>
          <w:color w:val="auto"/>
        </w:rPr>
      </w:pPr>
      <w:r>
        <w:rPr>
          <w:rFonts w:ascii="Courier New" w:cs="Courier New" w:eastAsia="Courier New" w:hAnsi="Courier New"/>
          <w:sz w:val="18"/>
          <w:szCs w:val="18"/>
          <w:color w:val="auto"/>
        </w:rPr>
        <w:t>Chief Financial Officer of Casual</w:t>
      </w:r>
    </w:p>
    <w:p>
      <w:pPr>
        <w:ind w:left="4220"/>
        <w:spacing w:after="0" w:line="237" w:lineRule="auto"/>
        <w:rPr>
          <w:sz w:val="20"/>
          <w:szCs w:val="20"/>
          <w:color w:val="auto"/>
        </w:rPr>
      </w:pPr>
      <w:r>
        <w:rPr>
          <w:rFonts w:ascii="Courier New" w:cs="Courier New" w:eastAsia="Courier New" w:hAnsi="Courier New"/>
          <w:sz w:val="18"/>
          <w:szCs w:val="18"/>
          <w:color w:val="auto"/>
        </w:rPr>
        <w:t>Male Retail Group, Inc.</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POWER OF ATTORNEY AND SIGNATURES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the undersigned officers and directors of Casual Male Retail Group, Inc., hereby severally constitute and appoint David A. Levin, Dennis R. Hernreich and Arlene Feldman, and each of them singly, our true and lawful attorneys, with full power to them and each of them singly, to sign for us</w:t>
      </w:r>
    </w:p>
    <w:p>
      <w:pPr>
        <w:spacing w:after="0" w:line="5"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in our names in the capacities indicated below, all pre-effective and post-effective amendments to this registration statement and any other registration statement (and any amendment thereto) filed with the Securities and Exchange Commission with respect to the plan listed on the face of this registration statement and generally do all things in our names and on our behalf in such capacities to enable Casual Male Retail Group, Inc. to comply</w:t>
      </w:r>
    </w:p>
    <w:p>
      <w:pPr>
        <w:sectPr>
          <w:pgSz w:w="11900" w:h="16838" w:orient="portrait"/>
          <w:cols w:equalWidth="0" w:num="1">
            <w:col w:w="10219"/>
          </w:cols>
          <w:pgMar w:left="240" w:top="142" w:right="1440" w:bottom="0" w:gutter="0" w:footer="0" w:header="0"/>
        </w:sectPr>
      </w:pPr>
    </w:p>
    <w:bookmarkStart w:id="4" w:name="page5"/>
    <w:bookmarkEnd w:id="4"/>
    <w:p>
      <w:pPr>
        <w:ind w:right="2839"/>
        <w:spacing w:after="0" w:line="235" w:lineRule="auto"/>
        <w:rPr>
          <w:sz w:val="20"/>
          <w:szCs w:val="20"/>
          <w:color w:val="auto"/>
        </w:rPr>
      </w:pPr>
      <w:r>
        <w:rPr>
          <w:rFonts w:ascii="Courier New" w:cs="Courier New" w:eastAsia="Courier New" w:hAnsi="Courier New"/>
          <w:sz w:val="18"/>
          <w:szCs w:val="18"/>
          <w:color w:val="auto"/>
        </w:rPr>
        <w:t>with the provisions of the Securities Act of 1933, as amended, and all requirements of the Securities and Exchange Commission.</w:t>
      </w:r>
    </w:p>
    <w:p>
      <w:pPr>
        <w:spacing w:after="0" w:line="208" w:lineRule="exact"/>
        <w:rPr>
          <w:sz w:val="20"/>
          <w:szCs w:val="20"/>
          <w:color w:val="auto"/>
        </w:rPr>
      </w:pPr>
    </w:p>
    <w:p>
      <w:pPr>
        <w:ind w:right="261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February 6, 2004 in the capacities indicated.</w:t>
      </w:r>
    </w:p>
    <w:p>
      <w:pPr>
        <w:sectPr>
          <w:pgSz w:w="11900" w:h="16838" w:orient="portrait"/>
          <w:cols w:equalWidth="0" w:num="1">
            <w:col w:w="1021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Title(s)</w:t>
      </w:r>
    </w:p>
    <w:p>
      <w:pPr>
        <w:spacing w:after="0" w:line="200" w:lineRule="exact"/>
        <w:rPr>
          <w:sz w:val="20"/>
          <w:szCs w:val="20"/>
          <w:color w:val="auto"/>
        </w:rPr>
      </w:pPr>
    </w:p>
    <w:p>
      <w:pPr>
        <w:sectPr>
          <w:pgSz w:w="11900" w:h="16838" w:orient="portrait"/>
          <w:cols w:equalWidth="0" w:num="2">
            <w:col w:w="3300" w:space="720"/>
            <w:col w:w="619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SEYMOUR HOLTZMAN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Director</w:t>
      </w:r>
    </w:p>
    <w:p>
      <w:pPr>
        <w:spacing w:after="0" w:line="21" w:lineRule="exact"/>
        <w:rPr>
          <w:sz w:val="20"/>
          <w:szCs w:val="20"/>
          <w:color w:val="auto"/>
        </w:rPr>
      </w:pPr>
    </w:p>
    <w:p>
      <w:pPr>
        <w:sectPr>
          <w:pgSz w:w="11900" w:h="16838" w:orient="portrait"/>
          <w:cols w:equalWidth="0" w:num="2">
            <w:col w:w="2440" w:space="720"/>
            <w:col w:w="7059"/>
          </w:cols>
          <w:pgMar w:left="240" w:top="142" w:right="1440" w:bottom="1440" w:gutter="0" w:footer="0" w:header="0"/>
          <w:type w:val="continuous"/>
        </w:sect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Seymour Holtzman</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ind w:right="320"/>
        <w:spacing w:after="0" w:line="236" w:lineRule="auto"/>
        <w:rPr>
          <w:sz w:val="20"/>
          <w:szCs w:val="20"/>
          <w:color w:val="auto"/>
        </w:rPr>
      </w:pPr>
      <w:r>
        <w:rPr>
          <w:rFonts w:ascii="Courier New" w:cs="Courier New" w:eastAsia="Courier New" w:hAnsi="Courier New"/>
          <w:sz w:val="18"/>
          <w:szCs w:val="18"/>
          <w:color w:val="auto"/>
        </w:rPr>
        <w:t>/s/ DAVID A. LEVIN - ------------------ David A. Levin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620" w:lineRule="exact"/>
        <w:rPr>
          <w:sz w:val="20"/>
          <w:szCs w:val="20"/>
          <w:color w:val="auto"/>
        </w:rPr>
      </w:pPr>
    </w:p>
    <w:p>
      <w:pPr>
        <w:sectPr>
          <w:pgSz w:w="11900" w:h="16838" w:orient="portrait"/>
          <w:cols w:equalWidth="0" w:num="2">
            <w:col w:w="2440" w:space="720"/>
            <w:col w:w="7059"/>
          </w:cols>
          <w:pgMar w:left="240" w:top="14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DENNIS R. HERNREICH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R. Hernreich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Executive Vice President, Chief Financial</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Officer, Treasurer and Principal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640" w:space="520"/>
            <w:col w:w="7059"/>
          </w:cols>
          <w:pgMar w:left="240" w:top="14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ALAN S. BERNIKOW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Alan S. Bernikow</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2440" w:space="720"/>
            <w:col w:w="7059"/>
          </w:cols>
          <w:pgMar w:left="240" w:top="142" w:right="1440" w:bottom="1440" w:gutter="0" w:footer="0" w:header="0"/>
          <w:type w:val="continuous"/>
        </w:sectPr>
      </w:pPr>
    </w:p>
    <w:p>
      <w:pPr>
        <w:spacing w:after="0" w:line="1"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JESSE CHOPER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Jesse Choper</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STEPHEN M. DUFF</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M. Duff</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FRANK J. HUSIC</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Husic</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JOSEPH PENNACCHIO</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Pennacchio</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GEORGE T. PORTER, JR.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T. Porter,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4340" w:space="720"/>
            <w:col w:w="5159"/>
          </w:cols>
          <w:pgMar w:left="240" w:top="142" w:right="1440" w:bottom="1440" w:gutter="0" w:footer="0" w:header="0"/>
          <w:type w:val="continuous"/>
        </w:sectPr>
      </w:pPr>
    </w:p>
    <w:p>
      <w:pPr>
        <w:spacing w:after="0" w:line="18"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 as to legality of the shares of the</w:t>
      </w:r>
    </w:p>
    <w:p>
      <w:pPr>
        <w:ind w:left="1380"/>
        <w:spacing w:after="0" w:line="238" w:lineRule="auto"/>
        <w:rPr>
          <w:sz w:val="20"/>
          <w:szCs w:val="20"/>
          <w:color w:val="auto"/>
        </w:rPr>
      </w:pPr>
      <w:r>
        <w:rPr>
          <w:rFonts w:ascii="Courier New" w:cs="Courier New" w:eastAsia="Courier New" w:hAnsi="Courier New"/>
          <w:sz w:val="18"/>
          <w:szCs w:val="18"/>
          <w:color w:val="auto"/>
        </w:rPr>
        <w:t>Registrant's Common Stock covered by this Registration</w:t>
      </w:r>
    </w:p>
    <w:p>
      <w:pPr>
        <w:ind w:left="1380"/>
        <w:spacing w:after="0"/>
        <w:rPr>
          <w:sz w:val="20"/>
          <w:szCs w:val="20"/>
          <w:color w:val="auto"/>
        </w:rPr>
      </w:pPr>
      <w:r>
        <w:rPr>
          <w:rFonts w:ascii="Courier New" w:cs="Courier New" w:eastAsia="Courier New" w:hAnsi="Courier New"/>
          <w:sz w:val="18"/>
          <w:szCs w:val="18"/>
          <w:color w:val="auto"/>
        </w:rPr>
        <w:t>Statement.</w:t>
      </w:r>
    </w:p>
    <w:p>
      <w:pPr>
        <w:spacing w:after="0"/>
        <w:tabs>
          <w:tab w:leader="none" w:pos="178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Casual Male Retail Group, Inc. 1992 Stock Incentive Plan, as</w:t>
      </w:r>
    </w:p>
    <w:p>
      <w:pPr>
        <w:sectPr>
          <w:pgSz w:w="11900" w:h="16838" w:orient="portrait"/>
          <w:cols w:equalWidth="0" w:num="1">
            <w:col w:w="10219"/>
          </w:cols>
          <w:pgMar w:left="240" w:top="142" w:right="1440"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amended (incorporated by reference to Exhibit 10.1 to the</w:t>
            </w:r>
          </w:p>
        </w:tc>
      </w:tr>
      <w:tr>
        <w:trPr>
          <w:trHeight w:val="203"/>
        </w:trPr>
        <w:tc>
          <w:tcPr>
            <w:tcW w:w="900" w:type="dxa"/>
            <w:vAlign w:val="bottom"/>
          </w:tcPr>
          <w:p>
            <w:pPr>
              <w:spacing w:after="0"/>
              <w:rPr>
                <w:sz w:val="17"/>
                <w:szCs w:val="17"/>
                <w:color w:val="auto"/>
              </w:rPr>
            </w:pPr>
          </w:p>
        </w:tc>
        <w:tc>
          <w:tcPr>
            <w:tcW w:w="6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Company's Quarterly Report on Form 10-Q for the quarter ended</w:t>
            </w:r>
          </w:p>
        </w:tc>
      </w:tr>
      <w:tr>
        <w:trPr>
          <w:trHeight w:val="203"/>
        </w:trPr>
        <w:tc>
          <w:tcPr>
            <w:tcW w:w="90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November 1,</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 filed December 9, 2003).</w:t>
            </w:r>
          </w:p>
        </w:tc>
      </w:tr>
      <w:tr>
        <w:trPr>
          <w:trHeight w:val="203"/>
        </w:trPr>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23.1</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Ernst &amp; Young LLP.</w:t>
            </w:r>
          </w:p>
        </w:tc>
      </w:tr>
      <w:tr>
        <w:trPr>
          <w:trHeight w:val="203"/>
        </w:trPr>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23.2</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counsel (included in Exhibit 5.1 above).</w:t>
            </w:r>
          </w:p>
        </w:tc>
      </w:tr>
      <w:tr>
        <w:trPr>
          <w:trHeight w:val="203"/>
        </w:trPr>
        <w:tc>
          <w:tcPr>
            <w:tcW w:w="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24.1</w:t>
            </w:r>
          </w:p>
        </w:tc>
        <w:tc>
          <w:tcPr>
            <w:tcW w:w="690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Power of Attorney (contained in Signature Page hereto).</w:t>
            </w:r>
          </w:p>
        </w:tc>
      </w:tr>
    </w:tbl>
    <w:p>
      <w:pPr>
        <w:sectPr>
          <w:pgSz w:w="11900" w:h="16838" w:orient="portrait"/>
          <w:cols w:equalWidth="0" w:num="1">
            <w:col w:w="10219"/>
          </w:cols>
          <w:pgMar w:left="240" w:top="142" w:right="1440" w:bottom="1440" w:gutter="0" w:footer="0" w:header="0"/>
          <w:type w:val="continuous"/>
        </w:sectPr>
      </w:pPr>
    </w:p>
    <w:bookmarkStart w:id="5" w:name="page6"/>
    <w:bookmarkEnd w:id="5"/>
    <w:p>
      <w:pPr>
        <w:ind w:left="5700"/>
        <w:spacing w:after="0"/>
        <w:rPr>
          <w:sz w:val="20"/>
          <w:szCs w:val="20"/>
          <w:color w:val="auto"/>
        </w:rPr>
      </w:pPr>
      <w:r>
        <w:rPr>
          <w:rFonts w:ascii="Courier New" w:cs="Courier New" w:eastAsia="Courier New" w:hAnsi="Courier New"/>
          <w:sz w:val="18"/>
          <w:szCs w:val="18"/>
          <w:color w:val="auto"/>
        </w:rPr>
        <w:t>EXHIBIT 5.1</w:t>
      </w:r>
    </w:p>
    <w:p>
      <w:pPr>
        <w:ind w:left="960"/>
        <w:spacing w:after="0" w:line="238" w:lineRule="auto"/>
        <w:rPr>
          <w:sz w:val="20"/>
          <w:szCs w:val="20"/>
          <w:color w:val="auto"/>
        </w:rPr>
      </w:pPr>
      <w:r>
        <w:rPr>
          <w:rFonts w:ascii="Courier New" w:cs="Courier New" w:eastAsia="Courier New" w:hAnsi="Courier New"/>
          <w:sz w:val="18"/>
          <w:szCs w:val="18"/>
          <w:color w:val="auto"/>
        </w:rPr>
        <w:t>[LOGO OF CASUAL MALE RETAIL GROUP APPEARS HERE]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555 Turnpike Road</w:t>
      </w:r>
    </w:p>
    <w:p>
      <w:pPr>
        <w:spacing w:after="0"/>
        <w:tabs>
          <w:tab w:leader="none" w:pos="2420" w:val="left"/>
        </w:tabs>
        <w:rPr>
          <w:sz w:val="20"/>
          <w:szCs w:val="20"/>
          <w:color w:val="auto"/>
        </w:rPr>
      </w:pPr>
      <w:r>
        <w:rPr>
          <w:rFonts w:ascii="Courier New" w:cs="Courier New" w:eastAsia="Courier New" w:hAnsi="Courier New"/>
          <w:sz w:val="18"/>
          <w:szCs w:val="18"/>
          <w:color w:val="auto"/>
        </w:rPr>
        <w:t>Canton, Massachusetts</w:t>
      </w:r>
      <w:r>
        <w:rPr>
          <w:sz w:val="20"/>
          <w:szCs w:val="20"/>
          <w:color w:val="auto"/>
        </w:rPr>
        <w:tab/>
      </w:r>
      <w:r>
        <w:rPr>
          <w:rFonts w:ascii="Courier New" w:cs="Courier New" w:eastAsia="Courier New" w:hAnsi="Courier New"/>
          <w:sz w:val="16"/>
          <w:szCs w:val="16"/>
          <w:color w:val="auto"/>
        </w:rPr>
        <w:t>02021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 am Vice President and General Counsel of Casual Male Retail Group, Inc., a Delaware corporation (the "Company"), and have acted as counsel to the Company in connection with its Registration Statement on</w:t>
      </w:r>
    </w:p>
    <w:p>
      <w:pPr>
        <w:spacing w:after="0" w:line="1"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Form S-8 (the "Registration Statement") filed pursuant to the Securities Act of 1933, as amended (the "Securities Act"), relating to the registration of an additional 5,580,000 shares (the "Shares") of the Company's common stock, par value $0.01 per share (the "Common Stock"), that may be offered or sold from time to time pursuant to the Company's 1992 Stock Incentive Plan (as amended and as the same may be further amended or supplemented from time to time, the "Plan").</w:t>
      </w:r>
    </w:p>
    <w:p>
      <w:pPr>
        <w:spacing w:after="0" w:line="18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For purposes of the opinion expressed in this letter, I have examined copies of the Registration Statement, the Plan, the Restated Certificate of Incorporation and By-Laws of the Company, records of the corporate proceedings of the Company and such other documents and records of the Company as I have deemed necessary or appropriate as a basis for such opinion. In making my examination, I have assumed the genuineness of all signatures, the legal capacity of natural persons, the authenticity of all documents submitted to me as originals and the conformity to the originals of all documents submitted to me as photostatic or conformed copies.</w:t>
      </w:r>
    </w:p>
    <w:p>
      <w:pPr>
        <w:spacing w:after="0" w:line="215"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 am a member of the Bar of the State of Massachusetts and, for purposes of the opinion expressed in this letter, do not hold my self out as expert on, nor am I in rendering the opinion expressed herein passing on, the laws of any jurisdiction other than the General Corporation Law of the State of Delaware.</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Based on the foregoing, and having regard to such legal considerations as I have deemed relevant, I am of the opinion that, upon the issuance and purchase of the Shares in accordance with the terms and provisions of the Plan, the Shares will be validly issued, fully paid and non-assessable.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own options to purchase 5,000 shares of the Company's Common Stock.</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 hereby consent to the inclusion of this letter as an exhibit to the Registration Statement. In giving such consent I do not thereby concede that I am within the category of persons whose consent is required under Section 7 of the Securities Act or the rules and regulations promulgated thereunder.</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Arlene Feldman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Arlene Feldman</w:t>
      </w:r>
    </w:p>
    <w:p>
      <w:pPr>
        <w:sectPr>
          <w:pgSz w:w="11900" w:h="16838" w:orient="portrait"/>
          <w:cols w:equalWidth="0" w:num="1">
            <w:col w:w="10219"/>
          </w:cols>
          <w:pgMar w:left="240" w:top="136" w:right="1440" w:bottom="1440" w:gutter="0" w:footer="0" w:header="0"/>
        </w:sectPr>
      </w:pPr>
    </w:p>
    <w:bookmarkStart w:id="6" w:name="page7"/>
    <w:bookmarkEnd w:id="6"/>
    <w:p>
      <w:pPr>
        <w:ind w:left="5380"/>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Casual Male Retail Group, Inc. 1992 Stock Incentive Plan, of our report dated March 26, 2003, with respect to the consolidated financial statements and schedule of Casual Male Retail Group, Inc. included in its Annual Report (Form 10-K) for the year ended February 1, 2003, filed with the Securities and Exchange Commission.</w:t>
      </w: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2004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Roman"/>
      <w:start w:val="3"/>
    </w:lvl>
  </w:abstractNum>
  <w:abstractNum w:abstractNumId="3">
    <w:nsid w:val="79E2A9E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2019-12-19T21:58:43Z</dcterms:created>
  <dcterms:modified xsi:type="dcterms:W3CDTF">2019-12-19T21:58:43Z</dcterms:modified>
</cp:coreProperties>
</file>