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UNITED STATES</w:t>
      </w:r>
    </w:p>
    <w:p>
      <w:pPr>
        <w:ind w:left="17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220"/>
        <w:spacing w:after="0"/>
        <w:rPr>
          <w:sz w:val="20"/>
          <w:szCs w:val="20"/>
          <w:color w:val="auto"/>
        </w:rPr>
      </w:pPr>
      <w:r>
        <w:rPr>
          <w:rFonts w:ascii="Courier New" w:cs="Courier New" w:eastAsia="Courier New" w:hAnsi="Courier New"/>
          <w:sz w:val="18"/>
          <w:szCs w:val="18"/>
          <w:color w:val="auto"/>
        </w:rPr>
        <w:t>Washington, D. C. 20549</w:t>
      </w:r>
    </w:p>
    <w:p>
      <w:pPr>
        <w:spacing w:after="0" w:line="200"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440"/>
        <w:spacing w:after="0"/>
        <w:tabs>
          <w:tab w:leader="none" w:pos="4300" w:val="left"/>
        </w:tabs>
        <w:rPr>
          <w:sz w:val="20"/>
          <w:szCs w:val="20"/>
          <w:color w:val="auto"/>
        </w:rPr>
      </w:pPr>
      <w:r>
        <w:rPr>
          <w:rFonts w:ascii="Courier New" w:cs="Courier New" w:eastAsia="Courier New" w:hAnsi="Courier New"/>
          <w:sz w:val="18"/>
          <w:szCs w:val="18"/>
          <w:color w:val="auto"/>
        </w:rPr>
        <w:t>(Amendment No. 1</w:t>
        <w:tab/>
        <w:t>)</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25057L-10-2</w:t>
      </w:r>
    </w:p>
    <w:p>
      <w:pPr>
        <w:ind w:left="2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(A fee is not required only if the filing person: (1) has a previous statement on</w:t>
      </w:r>
    </w:p>
    <w:p>
      <w:pPr>
        <w:spacing w:after="0" w:line="6"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reporting the beneficial ownership of more than five percent of the class of securities described in Item 1; and (2) has filed no amendment subsequent thereto reporting beneficial ownership of five percent or less of such class.) (See Rule 13d-7).</w:t>
      </w:r>
    </w:p>
    <w:p>
      <w:pPr>
        <w:spacing w:after="0" w:line="200" w:lineRule="exact"/>
        <w:rPr>
          <w:sz w:val="24"/>
          <w:szCs w:val="24"/>
          <w:color w:val="auto"/>
        </w:rPr>
      </w:pPr>
    </w:p>
    <w:p>
      <w:pPr>
        <w:spacing w:after="0" w:line="210" w:lineRule="exact"/>
        <w:rPr>
          <w:sz w:val="24"/>
          <w:szCs w:val="24"/>
          <w:color w:val="auto"/>
        </w:rPr>
      </w:pPr>
    </w:p>
    <w:p>
      <w:pPr>
        <w:ind w:left="120" w:right="1999" w:hanging="104"/>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10"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and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3259"/>
        <w:spacing w:after="0" w:line="290" w:lineRule="auto"/>
        <w:rPr>
          <w:sz w:val="20"/>
          <w:szCs w:val="20"/>
          <w:color w:val="auto"/>
        </w:rPr>
      </w:pPr>
      <w:r>
        <w:rPr>
          <w:rFonts w:ascii="Courier New" w:cs="Courier New" w:eastAsia="Courier New" w:hAnsi="Courier New"/>
          <w:sz w:val="16"/>
          <w:szCs w:val="16"/>
          <w:color w:val="auto"/>
        </w:rPr>
        <w:t>Name of reporting person: Ryback Management Corporation I.R.S. Identification No. of Above Entity 43-1615580</w:t>
      </w:r>
    </w:p>
    <w:p>
      <w:pPr>
        <w:spacing w:after="0" w:line="367" w:lineRule="exact"/>
        <w:rPr>
          <w:sz w:val="20"/>
          <w:szCs w:val="20"/>
          <w:color w:val="auto"/>
        </w:rPr>
      </w:pPr>
    </w:p>
    <w:p>
      <w:pPr>
        <w:ind w:left="1060"/>
        <w:spacing w:after="0"/>
        <w:tabs>
          <w:tab w:leader="none" w:pos="3460" w:val="left"/>
          <w:tab w:leader="none" w:pos="3880" w:val="left"/>
        </w:tabs>
        <w:rPr>
          <w:sz w:val="20"/>
          <w:szCs w:val="20"/>
          <w:color w:val="auto"/>
        </w:rPr>
      </w:pPr>
      <w:r>
        <w:rPr>
          <w:rFonts w:ascii="Courier New" w:cs="Courier New" w:eastAsia="Courier New" w:hAnsi="Courier New"/>
          <w:sz w:val="18"/>
          <w:szCs w:val="18"/>
          <w:color w:val="auto"/>
        </w:rPr>
        <w:t>Check Appropriate Box</w:t>
        <w:tab/>
        <w:t>if</w:t>
      </w:r>
      <w:r>
        <w:rPr>
          <w:sz w:val="20"/>
          <w:szCs w:val="20"/>
          <w:color w:val="auto"/>
        </w:rPr>
        <w:tab/>
      </w:r>
      <w:r>
        <w:rPr>
          <w:rFonts w:ascii="Courier New" w:cs="Courier New" w:eastAsia="Courier New" w:hAnsi="Courier New"/>
          <w:sz w:val="16"/>
          <w:szCs w:val="16"/>
          <w:color w:val="auto"/>
        </w:rPr>
        <w:t>a member of a group*</w:t>
      </w:r>
    </w:p>
    <w:p>
      <w:pPr>
        <w:spacing w:after="0" w:line="201" w:lineRule="exact"/>
        <w:rPr>
          <w:sz w:val="20"/>
          <w:szCs w:val="20"/>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80" w:type="dxa"/>
            <w:vAlign w:val="bottom"/>
          </w:tcPr>
          <w:p>
            <w:pPr>
              <w:spacing w:after="0"/>
              <w:rPr>
                <w:sz w:val="17"/>
                <w:szCs w:val="17"/>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Michigan</w:t>
            </w:r>
          </w:p>
        </w:tc>
        <w:tc>
          <w:tcPr>
            <w:tcW w:w="1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5.</w:t>
            </w:r>
          </w:p>
        </w:tc>
        <w:tc>
          <w:tcPr>
            <w:tcW w:w="29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1260" w:type="dxa"/>
            <w:vAlign w:val="bottom"/>
          </w:tcPr>
          <w:p>
            <w:pPr>
              <w:spacing w:after="0"/>
              <w:rPr>
                <w:sz w:val="24"/>
                <w:szCs w:val="24"/>
                <w:color w:val="auto"/>
              </w:rPr>
            </w:pPr>
          </w:p>
        </w:tc>
        <w:tc>
          <w:tcPr>
            <w:tcW w:w="1100" w:type="dxa"/>
            <w:vAlign w:val="bottom"/>
          </w:tcPr>
          <w:p>
            <w:pPr>
              <w:ind w:left="62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w w:val="97"/>
              </w:rPr>
              <w:t>Beneficially</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6.</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Each</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7.</w:t>
            </w:r>
          </w:p>
        </w:tc>
        <w:tc>
          <w:tcPr>
            <w:tcW w:w="29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260" w:type="dxa"/>
            <w:vAlign w:val="bottom"/>
          </w:tcPr>
          <w:p>
            <w:pPr>
              <w:spacing w:after="0"/>
              <w:rPr>
                <w:sz w:val="24"/>
                <w:szCs w:val="24"/>
                <w:color w:val="auto"/>
              </w:rPr>
            </w:pPr>
          </w:p>
        </w:tc>
        <w:tc>
          <w:tcPr>
            <w:tcW w:w="1100" w:type="dxa"/>
            <w:vAlign w:val="bottom"/>
          </w:tcPr>
          <w:p>
            <w:pPr>
              <w:ind w:left="740"/>
              <w:spacing w:after="0"/>
              <w:rPr>
                <w:sz w:val="20"/>
                <w:szCs w:val="20"/>
                <w:color w:val="auto"/>
              </w:rPr>
            </w:pPr>
            <w:r>
              <w:rPr>
                <w:rFonts w:ascii="Courier New" w:cs="Courier New" w:eastAsia="Courier New" w:hAnsi="Courier New"/>
                <w:sz w:val="18"/>
                <w:szCs w:val="18"/>
                <w:color w:val="auto"/>
              </w:rPr>
              <w:t>-0-</w:t>
            </w:r>
          </w:p>
        </w:tc>
        <w:tc>
          <w:tcPr>
            <w:tcW w:w="1840" w:type="dxa"/>
            <w:vAlign w:val="bottom"/>
          </w:tcPr>
          <w:p>
            <w:pPr>
              <w:spacing w:after="0"/>
              <w:rPr>
                <w:sz w:val="24"/>
                <w:szCs w:val="24"/>
                <w:color w:val="auto"/>
              </w:rPr>
            </w:pP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1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8.</w:t>
            </w:r>
          </w:p>
        </w:tc>
        <w:tc>
          <w:tcPr>
            <w:tcW w:w="1100" w:type="dxa"/>
            <w:vAlign w:val="bottom"/>
          </w:tcPr>
          <w:p>
            <w:pPr>
              <w:ind w:left="420"/>
              <w:spacing w:after="0"/>
              <w:rPr>
                <w:sz w:val="20"/>
                <w:szCs w:val="20"/>
                <w:color w:val="auto"/>
              </w:rPr>
            </w:pPr>
            <w:r>
              <w:rPr>
                <w:rFonts w:ascii="Courier New" w:cs="Courier New" w:eastAsia="Courier New" w:hAnsi="Courier New"/>
                <w:sz w:val="18"/>
                <w:szCs w:val="18"/>
                <w:color w:val="auto"/>
              </w:rPr>
              <w:t>Shared</w:t>
            </w: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w w:val="95"/>
              </w:rPr>
              <w:t>Dispositive Power</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40" w:right="3259" w:hanging="632"/>
        <w:spacing w:after="0" w:line="470" w:lineRule="auto"/>
        <w:tabs>
          <w:tab w:leader="none" w:pos="53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0 shares held</w:t>
      </w:r>
    </w:p>
    <w:p>
      <w:pPr>
        <w:spacing w:after="0" w:line="11" w:lineRule="exact"/>
        <w:rPr>
          <w:rFonts w:ascii="Courier New" w:cs="Courier New" w:eastAsia="Courier New" w:hAnsi="Courier New"/>
          <w:sz w:val="18"/>
          <w:szCs w:val="18"/>
          <w:color w:val="auto"/>
        </w:rPr>
      </w:pPr>
    </w:p>
    <w:p>
      <w:pPr>
        <w:ind w:left="640" w:hanging="527"/>
        <w:spacing w:after="0"/>
        <w:tabs>
          <w:tab w:leader="none" w:pos="64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sz w:val="20"/>
          <w:szCs w:val="20"/>
          <w:color w:val="auto"/>
        </w:rPr>
      </w:pPr>
    </w:p>
    <w:p>
      <w:pPr>
        <w:spacing w:after="0" w:line="226" w:lineRule="exact"/>
        <w:rPr>
          <w:sz w:val="20"/>
          <w:szCs w:val="20"/>
          <w:color w:val="auto"/>
        </w:rPr>
      </w:pPr>
    </w:p>
    <w:p>
      <w:pPr>
        <w:ind w:left="860" w:right="4319" w:hanging="852"/>
        <w:spacing w:after="0" w:line="470" w:lineRule="auto"/>
        <w:tabs>
          <w:tab w:leader="none" w:pos="54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IA - Ryback Management Corporation</w:t>
      </w:r>
      <w:r>
        <w:rPr>
          <w:sz w:val="20"/>
          <w:szCs w:val="20"/>
          <w:color w:val="auto"/>
        </w:rPr>
        <w:tab/>
      </w:r>
      <w:r>
        <w:rPr>
          <w:rFonts w:ascii="Courier New" w:cs="Courier New" w:eastAsia="Courier New" w:hAnsi="Courier New"/>
          <w:sz w:val="16"/>
          <w:szCs w:val="16"/>
          <w:color w:val="auto"/>
        </w:rPr>
        <w:t>IV - Lindner Investment Series Trust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1745 (6-80)</w:t>
      </w:r>
    </w:p>
    <w:p>
      <w:pPr>
        <w:ind w:left="212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312" w:right="1440" w:bottom="1440" w:gutter="0" w:footer="0" w:header="0"/>
        </w:sectPr>
      </w:pPr>
    </w:p>
    <w:bookmarkStart w:id="3" w:name="page4"/>
    <w:bookmarkEnd w:id="3"/>
    <w:p>
      <w:pPr>
        <w:spacing w:after="0" w:line="238" w:lineRule="auto"/>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3</w:t>
      </w:r>
    </w:p>
    <w:p>
      <w:pPr>
        <w:ind w:left="3160"/>
        <w:spacing w:after="0" w:line="238" w:lineRule="auto"/>
        <w:rPr>
          <w:sz w:val="20"/>
          <w:szCs w:val="20"/>
          <w:color w:val="auto"/>
        </w:rPr>
      </w:pPr>
      <w:r>
        <w:rPr>
          <w:rFonts w:ascii="Courier New" w:cs="Courier New" w:eastAsia="Courier New" w:hAnsi="Courier New"/>
          <w:sz w:val="18"/>
          <w:szCs w:val="18"/>
          <w:color w:val="auto"/>
        </w:rPr>
        <w:t>SEC 13 G</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740"/>
        <w:spacing w:after="0" w:line="237" w:lineRule="auto"/>
        <w:rPr>
          <w:sz w:val="20"/>
          <w:szCs w:val="20"/>
          <w:color w:val="auto"/>
        </w:rPr>
      </w:pPr>
      <w:r>
        <w:rPr>
          <w:rFonts w:ascii="Courier New" w:cs="Courier New" w:eastAsia="Courier New" w:hAnsi="Courier New"/>
          <w:sz w:val="18"/>
          <w:szCs w:val="18"/>
          <w:color w:val="auto"/>
        </w:rPr>
        <w:t>SCHEDULE 13-G Amendment No. 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66 B Street</w:t>
      </w:r>
    </w:p>
    <w:p>
      <w:pPr>
        <w:ind w:left="1160"/>
        <w:spacing w:after="0" w:line="238" w:lineRule="auto"/>
        <w:rPr>
          <w:sz w:val="20"/>
          <w:szCs w:val="20"/>
          <w:color w:val="auto"/>
        </w:rPr>
      </w:pPr>
      <w:r>
        <w:rPr>
          <w:rFonts w:ascii="Courier New" w:cs="Courier New" w:eastAsia="Courier New" w:hAnsi="Courier New"/>
          <w:sz w:val="18"/>
          <w:szCs w:val="18"/>
          <w:color w:val="auto"/>
        </w:rPr>
        <w:t>Needham, MA 02194</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Ryback Management Corporation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7711 Carondelet Ave., Box 16900, St. Louis, MO 63105</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Michigan</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Items 2(d)</w:t>
      </w:r>
      <w:r>
        <w:rPr>
          <w:sz w:val="20"/>
          <w:szCs w:val="20"/>
          <w:color w:val="auto"/>
        </w:rPr>
        <w:tab/>
      </w:r>
      <w:r>
        <w:rPr>
          <w:rFonts w:ascii="Courier New" w:cs="Courier New" w:eastAsia="Courier New" w:hAnsi="Courier New"/>
          <w:sz w:val="16"/>
          <w:szCs w:val="16"/>
          <w:color w:val="auto"/>
        </w:rPr>
        <w:t>Title and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w:t>
      </w:r>
    </w:p>
    <w:p>
      <w:pPr>
        <w:ind w:left="1480"/>
        <w:spacing w:after="0" w:line="238" w:lineRule="auto"/>
        <w:rPr>
          <w:sz w:val="20"/>
          <w:szCs w:val="20"/>
          <w:color w:val="auto"/>
        </w:rPr>
      </w:pPr>
      <w:r>
        <w:rPr>
          <w:rFonts w:ascii="Courier New" w:cs="Courier New" w:eastAsia="Courier New" w:hAnsi="Courier New"/>
          <w:sz w:val="18"/>
          <w:szCs w:val="18"/>
          <w:color w:val="auto"/>
        </w:rPr>
        <w:t>25057L-10-2</w:t>
      </w:r>
    </w:p>
    <w:p>
      <w:pPr>
        <w:spacing w:after="0" w:line="207" w:lineRule="exact"/>
        <w:rPr>
          <w:sz w:val="20"/>
          <w:szCs w:val="20"/>
          <w:color w:val="auto"/>
        </w:rPr>
      </w:pPr>
    </w:p>
    <w:p>
      <w:pPr>
        <w:ind w:left="1280" w:right="199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check whether the person filing is a:</w:t>
      </w:r>
    </w:p>
    <w:p>
      <w:pPr>
        <w:spacing w:after="0" w:line="208" w:lineRule="exact"/>
        <w:rPr>
          <w:sz w:val="20"/>
          <w:szCs w:val="20"/>
          <w:color w:val="auto"/>
        </w:rPr>
      </w:pPr>
    </w:p>
    <w:p>
      <w:pPr>
        <w:ind w:left="120" w:right="2199" w:hanging="7"/>
        <w:spacing w:after="0" w:line="235" w:lineRule="auto"/>
        <w:tabs>
          <w:tab w:leader="none" w:pos="54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 LINDNER INVESTMENT SERIES TRUST)</w:t>
      </w:r>
    </w:p>
    <w:p>
      <w:pPr>
        <w:spacing w:after="0" w:line="208"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Adviser registered under Section 203 of the Investment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Advisers Act of 1940</w:t>
      </w:r>
      <w:r>
        <w:rPr>
          <w:rFonts w:ascii="Courier New" w:cs="Courier New" w:eastAsia="Courier New" w:hAnsi="Courier New"/>
          <w:sz w:val="16"/>
          <w:szCs w:val="16"/>
          <w:color w:val="auto"/>
        </w:rPr>
        <w:t>(RYBACK MANAGEMENT CORPORATION)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960" w:right="2739"/>
        <w:spacing w:after="0" w:line="236" w:lineRule="auto"/>
        <w:rPr>
          <w:sz w:val="20"/>
          <w:szCs w:val="20"/>
          <w:color w:val="auto"/>
        </w:rPr>
      </w:pPr>
      <w:r>
        <w:rPr>
          <w:rFonts w:ascii="Courier New" w:cs="Courier New" w:eastAsia="Courier New" w:hAnsi="Courier New"/>
          <w:sz w:val="18"/>
          <w:szCs w:val="18"/>
          <w:color w:val="auto"/>
        </w:rPr>
        <w:t>The Shares listed below were held in a fiduciary capacity by Ryback Management Corp. and/or Lindner Investment Series Trust as of December 15, 1998:</w:t>
      </w:r>
    </w:p>
    <w:p>
      <w:pPr>
        <w:spacing w:after="0" w:line="203"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0</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w:t>
      </w:r>
    </w:p>
    <w:p>
      <w:pPr>
        <w:ind w:left="960" w:hanging="425"/>
        <w:spacing w:after="0" w:line="238"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subject COMPANY has: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(1)sole power to vote or direct to vote: 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(2)shared power to vote or direct to vote:</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(3)sole power to dispose of or direct disposition of: 0</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(4)shared power to dispose or direct disposition of:</w:t>
      </w:r>
    </w:p>
    <w:p>
      <w:pPr>
        <w:spacing w:after="0" w:line="207" w:lineRule="exact"/>
        <w:rPr>
          <w:sz w:val="20"/>
          <w:szCs w:val="20"/>
          <w:color w:val="auto"/>
        </w:rPr>
      </w:pPr>
    </w:p>
    <w:p>
      <w:pPr>
        <w:ind w:left="1580" w:right="2099" w:hanging="1459"/>
        <w:spacing w:after="0" w:line="290" w:lineRule="auto"/>
        <w:tabs>
          <w:tab w:leader="none" w:pos="1560" w:val="left"/>
        </w:tabs>
        <w:rPr>
          <w:sz w:val="20"/>
          <w:szCs w:val="20"/>
          <w:color w:val="auto"/>
        </w:rPr>
      </w:pPr>
      <w:r>
        <w:rPr>
          <w:rFonts w:ascii="Courier New" w:cs="Courier New" w:eastAsia="Courier New" w:hAnsi="Courier New"/>
          <w:sz w:val="16"/>
          <w:szCs w:val="16"/>
          <w:color w:val="auto"/>
        </w:rPr>
        <w:t>Instruction:</w:t>
        <w:tab/>
        <w:t>For computation regarding securities which represent the right to acquire an underlying security see Rule 13d-3(d)(1).</w:t>
      </w:r>
    </w:p>
    <w:p>
      <w:pPr>
        <w:sectPr>
          <w:pgSz w:w="11900" w:h="16838" w:orient="portrait"/>
          <w:cols w:equalWidth="0" w:num="1">
            <w:col w:w="10219"/>
          </w:cols>
          <w:pgMar w:left="240" w:top="312" w:right="1440" w:bottom="1440" w:gutter="0" w:footer="0" w:header="0"/>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960" w:right="2739"/>
        <w:spacing w:after="0" w:line="237" w:lineRule="auto"/>
        <w:rPr>
          <w:sz w:val="20"/>
          <w:szCs w:val="20"/>
          <w:color w:val="auto"/>
        </w:rPr>
      </w:pPr>
      <w:r>
        <w:rPr>
          <w:rFonts w:ascii="Courier New" w:cs="Courier New" w:eastAsia="Courier New" w:hAnsi="Courier New"/>
          <w:sz w:val="18"/>
          <w:szCs w:val="18"/>
          <w:color w:val="auto"/>
        </w:rPr>
        <w:t>Lindner Growth Fund, a registered investment company, is no longer the holder of more than five percent of the outstanding class of securities. Lindner Growth Fund is a separate series of the Lindner Investment Series Trust.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1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2319" w:hanging="947"/>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ind w:left="1060"/>
        <w:spacing w:after="0" w:line="233" w:lineRule="auto"/>
        <w:rPr>
          <w:sz w:val="20"/>
          <w:szCs w:val="20"/>
          <w:color w:val="auto"/>
        </w:rPr>
      </w:pPr>
      <w:r>
        <w:rPr>
          <w:rFonts w:ascii="Courier New" w:cs="Courier New" w:eastAsia="Courier New" w:hAnsi="Courier New"/>
          <w:sz w:val="18"/>
          <w:szCs w:val="18"/>
          <w:color w:val="auto"/>
        </w:rPr>
        <w:t>See Item 3</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9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18, 1998</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1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Eric E. Ryback, President</w:t>
      </w:r>
    </w:p>
    <w:p>
      <w:pPr>
        <w:ind w:left="3160"/>
        <w:spacing w:after="0" w:line="238" w:lineRule="auto"/>
        <w:rPr>
          <w:sz w:val="20"/>
          <w:szCs w:val="20"/>
          <w:color w:val="auto"/>
        </w:rPr>
      </w:pPr>
      <w:r>
        <w:rPr>
          <w:rFonts w:ascii="Courier New" w:cs="Courier New" w:eastAsia="Courier New" w:hAnsi="Courier New"/>
          <w:sz w:val="18"/>
          <w:szCs w:val="18"/>
          <w:color w:val="auto"/>
        </w:rPr>
        <w:t>Ryback Management Corporation</w:t>
      </w:r>
    </w:p>
    <w:p>
      <w:pPr>
        <w:ind w:left="3160"/>
        <w:spacing w:after="0"/>
        <w:rPr>
          <w:sz w:val="20"/>
          <w:szCs w:val="20"/>
          <w:color w:val="auto"/>
        </w:rPr>
      </w:pPr>
      <w:r>
        <w:rPr>
          <w:rFonts w:ascii="Courier New" w:cs="Courier New" w:eastAsia="Courier New" w:hAnsi="Courier New"/>
          <w:sz w:val="18"/>
          <w:szCs w:val="18"/>
          <w:color w:val="auto"/>
        </w:rPr>
        <w:t>Lindner Investment Series Trust</w:t>
      </w:r>
    </w:p>
    <w:p>
      <w:pPr>
        <w:ind w:left="3160"/>
        <w:spacing w:after="0" w:line="237" w:lineRule="auto"/>
        <w:rPr>
          <w:sz w:val="20"/>
          <w:szCs w:val="20"/>
          <w:color w:val="auto"/>
        </w:rPr>
      </w:pPr>
      <w:r>
        <w:rPr>
          <w:rFonts w:ascii="Courier New" w:cs="Courier New" w:eastAsia="Courier New" w:hAnsi="Courier New"/>
          <w:sz w:val="18"/>
          <w:szCs w:val="18"/>
          <w:color w:val="auto"/>
        </w:rPr>
        <w:t>(314) 727-5305</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3"/>
    </w:lvl>
  </w:abstractNum>
  <w:abstractNum w:abstractNumId="1">
    <w:nsid w:val="625558EC"/>
    <w:multiLevelType w:val="hybridMultilevel"/>
    <w:lvl w:ilvl="0">
      <w:lvlJc w:val="left"/>
      <w:lvlText w:val="%1."/>
      <w:numFmt w:val="decimal"/>
      <w:start w:val="9"/>
    </w:lvl>
    <w:lvl w:ilvl="1">
      <w:lvlJc w:val="left"/>
      <w:lvlText w:val="%2."/>
      <w:numFmt w:val="decimal"/>
      <w:start w:val="10"/>
    </w:lvl>
  </w:abstractNum>
  <w:abstractNum w:abstractNumId="2">
    <w:nsid w:val="238E1F29"/>
    <w:multiLevelType w:val="hybridMultilevel"/>
    <w:lvl w:ilvl="0">
      <w:lvlJc w:val="left"/>
      <w:lvlText w:val="%1."/>
      <w:numFmt w:val="decimal"/>
      <w:start w:val="11"/>
    </w:lvl>
  </w:abstractNum>
  <w:abstractNum w:abstractNumId="3">
    <w:nsid w:val="46E87CCD"/>
    <w:multiLevelType w:val="hybridMultilevel"/>
    <w:lvl w:ilvl="0">
      <w:lvlJc w:val="left"/>
      <w:lvlText w:val="[%1]"/>
      <w:numFmt w:val="upperLetter"/>
      <w:start w:val="24"/>
    </w:lvl>
  </w:abstractNum>
  <w:abstractNum w:abstractNumId="4">
    <w:nsid w:val="3D1B58BA"/>
    <w:multiLevelType w:val="hybridMultilevel"/>
    <w:lvl w:ilvl="0">
      <w:lvlJc w:val="left"/>
      <w:lvlText w:val="[%1]"/>
      <w:numFmt w:val="upperLetter"/>
      <w:start w:val="24"/>
    </w:lvl>
  </w:abstractNum>
  <w:abstractNum w:abstractNumId="5">
    <w:nsid w:val="507ED7A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2019-12-19T23:46:04Z</dcterms:created>
  <dcterms:modified xsi:type="dcterms:W3CDTF">2019-12-19T23:46:04Z</dcterms:modified>
</cp:coreProperties>
</file>