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ch14d9_amendment_3_july.htm"/>
      <w:bookmarkStart w:id="1" w:name="kssch14d9_amendment_3_july"/>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2"/>
        </w:rPr>
        <w:t>WASHINGTON, D.C. 20549</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SCHEDULE 14D-9</w:t>
      </w:r>
    </w:p>
    <w:p>
      <w:pPr>
        <w:pStyle w:val="TextBody"/>
        <w:bidi w:val="0"/>
        <w:jc w:val="center"/>
        <w:rPr>
          <w:rFonts w:ascii="Times New Roman" w:hAnsi="Times New Roman"/>
          <w:b/>
          <w:color w:val="000000"/>
          <w:sz w:val="20"/>
        </w:rPr>
      </w:pPr>
      <w:r>
        <w:rPr>
          <w:rFonts w:ascii="Times New Roman" w:hAnsi="Times New Roman"/>
          <w:b/>
          <w:color w:val="000000"/>
          <w:sz w:val="20"/>
        </w:rPr>
        <w:t>(Rule 14d-101)</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SOLICITATION/RECOMMENDATION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 SECTION 14(d)(4) OF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(Amendment No. 3)</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(Name of Subject Company)</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Statement)</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COMMON STOCK, PAR VALUE $0.01 PER SHARE</w:t>
      </w:r>
    </w:p>
    <w:p>
      <w:pPr>
        <w:pStyle w:val="TextBody"/>
        <w:bidi w:val="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jc w:val="center"/>
        <w:rPr>
          <w:rFonts w:ascii="Times New Roman" w:hAnsi="Times New Roman"/>
          <w:b/>
          <w:color w:val="000000"/>
          <w:sz w:val="22"/>
        </w:rPr>
      </w:pPr>
      <w:r>
        <w:rPr>
          <w:rFonts w:ascii="Times New Roman" w:hAnsi="Times New Roman"/>
          <w:b/>
          <w:color w:val="000000"/>
          <w:sz w:val="22"/>
        </w:rPr>
        <w:t>25065K104</w:t>
      </w:r>
    </w:p>
    <w:p>
      <w:pPr>
        <w:pStyle w:val="TextBody"/>
        <w:bidi w:val="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jc w:val="center"/>
        <w:rPr>
          <w:rFonts w:ascii="Times New Roman" w:hAnsi="Times New Roman"/>
          <w:b/>
          <w:color w:val="000000"/>
          <w:sz w:val="22"/>
        </w:rPr>
      </w:pPr>
      <w:r>
        <w:rPr>
          <w:rFonts w:ascii="Times New Roman" w:hAnsi="Times New Roman"/>
          <w:b/>
          <w:color w:val="000000"/>
          <w:sz w:val="22"/>
        </w:rPr>
        <w:t>Robert S. Molloy</w:t>
      </w:r>
    </w:p>
    <w:p>
      <w:pPr>
        <w:pStyle w:val="TextBody"/>
        <w:bidi w:val="0"/>
        <w:jc w:val="center"/>
        <w:rPr>
          <w:rFonts w:ascii="Times New Roman" w:hAnsi="Times New Roman"/>
          <w:b/>
          <w:color w:val="000000"/>
          <w:sz w:val="22"/>
        </w:rPr>
      </w:pPr>
      <w:r>
        <w:rPr>
          <w:rFonts w:ascii="Times New Roman" w:hAnsi="Times New Roman"/>
          <w:b/>
          <w:color w:val="000000"/>
          <w:sz w:val="22"/>
        </w:rPr>
        <w:t>General Counsel and Secretary</w:t>
        <w:br/>
        <w:t>Destination XL Group, Inc.</w:t>
        <w:br/>
        <w:t>555 Turnpike Street</w:t>
        <w:br/>
        <w:t>Canton, Massachusetts 02021</w:t>
        <w:br/>
        <w:t>(781) 828-9300</w:t>
      </w:r>
    </w:p>
    <w:p>
      <w:pPr>
        <w:pStyle w:val="TextBody"/>
        <w:bidi w:val="0"/>
        <w:jc w:val="center"/>
        <w:rPr>
          <w:rFonts w:ascii="Times New Roman" w:hAnsi="Times New Roman"/>
          <w:b/>
          <w:color w:val="000000"/>
          <w:sz w:val="20"/>
        </w:rPr>
      </w:pPr>
      <w:r>
        <w:rPr>
          <w:rFonts w:ascii="Times New Roman" w:hAnsi="Times New Roman"/>
          <w:b/>
          <w:color w:val="000000"/>
          <w:sz w:val="20"/>
        </w:rPr>
        <w:t>(Name, address and telephone numbers of person authorized to receive notices and communications</w:t>
      </w:r>
    </w:p>
    <w:p>
      <w:pPr>
        <w:pStyle w:val="TextBody"/>
        <w:bidi w:val="0"/>
        <w:jc w:val="center"/>
        <w:rPr>
          <w:rFonts w:ascii="Times New Roman" w:hAnsi="Times New Roman"/>
          <w:b/>
          <w:color w:val="000000"/>
          <w:sz w:val="20"/>
        </w:rPr>
      </w:pPr>
      <w:r>
        <w:rPr>
          <w:rFonts w:ascii="Times New Roman" w:hAnsi="Times New Roman"/>
          <w:b/>
          <w:color w:val="000000"/>
          <w:sz w:val="20"/>
        </w:rPr>
        <w:t>on behalf of the persons filing statement)</w:t>
      </w:r>
    </w:p>
    <w:p>
      <w:pPr>
        <w:pStyle w:val="TextBody"/>
        <w:bidi w:val="0"/>
        <w:jc w:val="center"/>
        <w:rPr>
          <w:rFonts w:ascii="Times New Roman" w:hAnsi="Times New Roman"/>
          <w:b/>
          <w:i/>
          <w:color w:val="000000"/>
          <w:sz w:val="22"/>
        </w:rPr>
      </w:pPr>
      <w:r>
        <w:rPr>
          <w:rFonts w:ascii="Times New Roman" w:hAnsi="Times New Roman"/>
          <w:b/>
          <w:i/>
          <w:color w:val="000000"/>
          <w:sz w:val="22"/>
        </w:rPr>
        <w:t>With copies to:</w:t>
      </w:r>
    </w:p>
    <w:p>
      <w:pPr>
        <w:pStyle w:val="TextBody"/>
        <w:bidi w:val="0"/>
        <w:jc w:val="center"/>
        <w:rPr>
          <w:rFonts w:ascii="Times New Roman" w:hAnsi="Times New Roman"/>
          <w:b/>
          <w:color w:val="000000"/>
          <w:sz w:val="22"/>
        </w:rPr>
      </w:pPr>
      <w:r>
        <w:rPr>
          <w:rFonts w:ascii="Times New Roman" w:hAnsi="Times New Roman"/>
          <w:b/>
          <w:color w:val="000000"/>
          <w:sz w:val="22"/>
        </w:rPr>
        <w:t>Brian H. Blaney</w:t>
      </w:r>
    </w:p>
    <w:p>
      <w:pPr>
        <w:pStyle w:val="TextBody"/>
        <w:bidi w:val="0"/>
        <w:jc w:val="center"/>
        <w:rPr>
          <w:rFonts w:ascii="Times New Roman" w:hAnsi="Times New Roman"/>
          <w:b/>
          <w:color w:val="000000"/>
          <w:sz w:val="22"/>
        </w:rPr>
      </w:pPr>
      <w:r>
        <w:rPr>
          <w:rFonts w:ascii="Times New Roman" w:hAnsi="Times New Roman"/>
          <w:b/>
          <w:color w:val="000000"/>
          <w:sz w:val="22"/>
        </w:rPr>
        <w:t>Katherine A. Beck</w:t>
        <w:br/>
        <w:t>Greenberg Traurig, LLP</w:t>
      </w:r>
    </w:p>
    <w:p>
      <w:pPr>
        <w:pStyle w:val="TextBody"/>
        <w:bidi w:val="0"/>
        <w:jc w:val="center"/>
        <w:rPr>
          <w:rFonts w:ascii="Times New Roman" w:hAnsi="Times New Roman"/>
          <w:b/>
          <w:color w:val="000000"/>
          <w:sz w:val="22"/>
        </w:rPr>
      </w:pPr>
      <w:r>
        <w:rPr>
          <w:rFonts w:ascii="Times New Roman" w:hAnsi="Times New Roman"/>
          <w:b/>
          <w:color w:val="000000"/>
          <w:sz w:val="22"/>
        </w:rPr>
        <w:t>2375 E. Camelback Rd., Suite 800</w:t>
      </w:r>
    </w:p>
    <w:p>
      <w:pPr>
        <w:pStyle w:val="TextBody"/>
        <w:bidi w:val="0"/>
        <w:jc w:val="center"/>
        <w:rPr>
          <w:rFonts w:ascii="Times New Roman" w:hAnsi="Times New Roman"/>
          <w:b/>
          <w:color w:val="000000"/>
          <w:sz w:val="22"/>
        </w:rPr>
      </w:pPr>
      <w:r>
        <w:rPr>
          <w:rFonts w:ascii="Times New Roman" w:hAnsi="Times New Roman"/>
          <w:b/>
          <w:color w:val="000000"/>
          <w:sz w:val="22"/>
        </w:rPr>
        <w:t>Phoenix, AZ 85016</w:t>
        <w:br/>
        <w:t>(602) 445-8322</w:t>
      </w:r>
    </w:p>
    <w:p>
      <w:pPr>
        <w:pStyle w:val="TextBody"/>
        <w:bidi w:val="0"/>
        <w:jc w:val="center"/>
        <w:rPr/>
      </w:pPr>
      <w:r>
        <w:rPr/>
        <w:t> </w:t>
      </w:r>
    </w:p>
    <w:p>
      <w:pPr>
        <w:pStyle w:val="TextBody"/>
        <w:bidi w:val="0"/>
        <w:jc w:val="center"/>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489" w:right="0" w:hanging="490"/>
        <w:jc w:val="left"/>
        <w:rPr/>
      </w:pPr>
      <w:r>
        <w:rPr/>
        <w:t>☐</w:t>
      </w:r>
      <w:r>
        <w:rPr>
          <w:color w:val="000000"/>
        </w:rPr>
        <w:t xml:space="preserve"> </w:t>
      </w:r>
      <w:r>
        <w:rPr>
          <w:rFonts w:ascii="Times New Roman" w:hAnsi="Times New Roman"/>
          <w:color w:val="000000"/>
          <w:sz w:val="20"/>
        </w:rPr>
        <w:t>Check the box if the filing relates solely to preliminary communications made before the commencement of a tender offer.</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Introduction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Amendment No. 3 to Schedule 14D-9 (this “Amendment”) amends and supplements the Solicitation/Recommendation Statement on Schedule 14D-9 (as amended and supplemented from time to time, the “Statement”) originally filed by Destination XL Group, Inc., a Delaware corporation (“Company”), with the Securities and Exchange Commission on May 26, 2026. The Statement relates to the unsolicited tender offer by Zodiac Partners II, LLC, a Delaware limited liability company (“Offeror”), and an acquisition entity of Camac Fund, LP, a Delaware limited partnership (“Camac Fund”), to purchase all of the issued and outstanding shares of the Company’s common stock, par value $0.01 per share (the “Common Stock”), at a price of $0.84 per share in cash, without interest and less any required withholding taxes (the “Offer Price”), upon the terms and subject to the conditions set forth in the Offer to Purchase, dated May 12, 2026 (as amended or supplemented from time to time, the “Offer to Purchase”), and in the related Letter of Transmittal that accompanies the Offer to Purchase (which, together with any amendments or supplements thereto, collectively constitute the “Offer”). Except as otherwise set forth in this Amendment, the information set forth in the Statement remains unchanged.</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1. Subject Company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The section entitled “(b) Securities” in Item 1 of the Statement is hereby amended and restated in its entirety as follows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b/>
          <w:color w:val="000000"/>
          <w:sz w:val="22"/>
        </w:rPr>
        <w:t>Securities.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title of the class of equity securities to which this Schedule 14D-9 relates is the Company’s common stock, par value $0.01 per share (the “Common Stock”). As of July 8, 2026, there were 55,273,092 shares of Common Stock issued and outstanding.</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2. Identity and Background of Filing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The first paragraph of the section entitled “(b) Tender Offer” in Item 2 of the Statement is hereby amended and restated in its entirety as follows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Schedule 14D-9 relates to the tender offer by Zodiac Partners II, LLC, a Delaware limited liability company (“Offeror”), and an acquisition entity of Camac Fund, LP, a Delaware limited partnership (“Camac Fund”), to purchase all of the outstanding shares of the Common Stock of the Company at a price of $0.84 per share in cash, without interest and less any applicable withholding taxes (the “Offer Price”), upon the terms and subject to the conditions set forth in the Offer to Purchase dated May 12, 2026 (as amended or supplemented from time to time, the “Offer to Purchase”) and in the related Letter of Transmittal (which, together with any amendments or supplements thereto, collectively constitute the “Offer”).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third paragraph of the section entitled “(b) Tender Offer” in Item 2 of the Statement is hereby amended and restated in its entirety as follows: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According to the Schedule TO, the Offer is currently scheduled to expire at 5:00 p.m., Eastern Time, on July 24, 2026, unless extended in accordance with its terms (the “Expiration Time”).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4. The Solicitation or Recommendation.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The subsection entitled “Background of the Offer” under the section entitled “(b) Background and Reasons for the Board’s Recommendation” in Item 4 of the Statement is hereby amended and supplemented by adding the following thereto</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May 27, 2026, Offeror amended the Offer to extend the expiration date of the Offer until 5:00 p.m., Eastern Time, on June 22,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On June 12, 2026, Offeror issued a press release reaffirming its previously announced Offer.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On June 23, 2026, Offeror amended the Offer to increase the Offer Price from $0.82 to $0.84 and to extend the expiration date of the Offer until 5:00 p.m., Eastern Time, on July 24, 2026. Offeror also announced that it has increased its committed equity financing for the transaction. Offeror disclosed that as of June 22, 2026, approximately 8,978,000 shares, representing more than 16% of the Company’s outstanding shares, had been validly tendered and not withdrawn. That same day, the Company issued a press release advising stockholders to take no action with respect to the Offer, and that the Company’s Board would evaluate the Offer and issue a recommendation.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July 2, 2026, the Board held a meeting via means of remote communication, which included senior management of the Company and representatives of its advisors, including Guggenheim Securities and Greenberg Traurig. The Board discussed the status of the Offer, including the timeline for the Company’s response and the legal requirements relating to the Schedule 14D-9. Representatives of Greenberg Traurig reviewed fiduciary duty considerations applicable to the Board in evaluating the Offer, as well as the Company’s continuing obligations under the Merger Agreement. In connection with the Board’s evaluation of the Offer, the Board, together with its advisors, revisited and discussed the previously prepared Management Projections, as well as the financial analyses previously prepared by Guggenheim Securities, each of which were also discussed by the Board at the May 25, 2026 and May 26, 2026 Board meetings. Following discussion, the Board (i) determined that the Offer is not in the best interests of the Company and its stockholders and (ii) recommended that stockholders reject the Offer and not tender their shares of Common Stock pursuant to the Offer.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July 8, 2026, the Company filed Amendment No. 3 to this Statement and issued a press release announcing the Board’s recommendation that shareholders reject the Offer and not tender their shares of Common Stock pursuant to the Offer, together with the reasons for such recommendation.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The subsection entitled “Reasons for the Recommendation of the Board” under the section entitled “(b) Background and Reasons for the Board’s Recommendation” in Item 4 of the Statement is hereby amended and restated in its entirety as follows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2"/>
        </w:rPr>
        <w:t>Reasons for the Recommendation of the Board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In reaching its determination and recommendation to reject the Offer, the Board consulted with external financial and legal advisors and management and considered numerous factors, including, but not limited to, the following:</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(i) The Offer Price Undervalues the Company Relative to the Company’s Standalone Value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Board believes the Offer Price of $0.84 per share fails to reflect the intrinsic value of the Company’s business as a standalone enterprise, including its brand strength, loyal customer relationships, exclusive rights to Size Stream technology platform until 2030 and long-term growth opportunities. The Board notes that the Company’s current share price has been temporarily pressured by broader macroeconomic headwinds affecting the big + tall sector and does not reflect the Company’s underlying value or the strength of its go-forward strategy.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(ii) The Offer neither constitutes nor is reasonably likely to lead to a DXL Superior Proposal under the Company’s existing Merger Agreement with FBB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While the Board has, after careful consideration and with the assistance of its external financial and legal advisors, withdrawn its prior recommendation in favor of the Merger, the Company is still party to the Merger Agreement and bound by the contractual obligations set forth therein. The Board determined that the Offer neither constitutes nor is reasonably likely to lead to a DXL Superior Proposal as defined in the Merger Agreement. In reaching this determination, the Board concluded that the Offer would not permit DXL stockholders to participate in any potential long-term value creation opportunities expected from ownership in the combined company with FBB. Under the transactions contemplated by the Merger Agreement (the “FBB Merger”), the Company’s stockholders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would own approximately 45% of the combined company following completion of the all-stock transaction, with the Company remaining publicly traded.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(iii) The Offer Is Highly Opportunistic</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Board believes the Offer is deliberately timed to exploit a period of market dislocation and is designed to acquire the Company at a depressed price. The Board further notes that the Offeror previously submitted a proposal in January 2026 to acquire the Company at $1.25 per share—materially higher than the current Offer Price of $0.84 per share—and has now reduced its proposed price by approximately 33% without the benefit of any due diligence into the Company’s business, financial condition or prospects. The Offer represents an opportunistic effort to capture, at a price below fair market value—value that rightfully belongs to the Company’s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(iv) The Offer is Highly Conditional, Creating Significant Execution Risk</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The Offer is subject to a significant number of conditions in favor of Offeror, including the following, some of which are outside the control of the Company and all of which create significant uncertainty and risk around the likelihood that Offeror will complete the Offer: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Financing Condition</w:t>
      </w:r>
      <w:r>
        <w:rPr>
          <w:rFonts w:ascii="Times New Roman" w:hAnsi="Times New Roman"/>
          <w:color w:val="000000"/>
          <w:sz w:val="22"/>
        </w:rPr>
        <w:t>: The consummation of the Offer is subject to a financing condition. Offeror will need approximately $47 million to purchase all outstanding Common Stock pursuant to the Offer and to refinance certain indebtedness in connection with the transaction. In connection with the Offer, as more fully described in the Schedule TO, Offeror has secured a binding equity commitment letter from Camac Fund LP (the “Equity Financing”) in the amount of $12 million. Additionally, Offeror has received a conditional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Minimum Tender Condition</w:t>
      </w:r>
      <w:r>
        <w:rPr>
          <w:rFonts w:ascii="Times New Roman" w:hAnsi="Times New Roman"/>
          <w:color w:val="000000"/>
          <w:sz w:val="22"/>
        </w:rPr>
        <w:t>: Company stockholders shall have validly tendered and not validly withdrawn prior to the expiration of the Offer that number of shares of Common Stock that, when added to the shares of Common Stock then owned by Offeror, would represent one share of Common Stock more than one half of all shares of Common Stock then outstanding as of the expiration of the Offer.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Board Approval Condition</w:t>
      </w:r>
      <w:r>
        <w:rPr>
          <w:rFonts w:ascii="Times New Roman" w:hAnsi="Times New Roman"/>
          <w:color w:val="000000"/>
          <w:sz w:val="22"/>
        </w:rPr>
        <w:t>: The Board shall have approved (i) the Offer and the proposed merger pursuant to Section 251(h) of the DGCL (and the Company having entered into a merger agreement with Offeror that provides that the proposed merger can be completed in the manner permitted by Section 251(h) of the DGCL), (ii) the Offer and the proposed merger under Section 203 of the DGCL, and (iii) waived the restrictions of Section 4.03 of Article IV of the Company’s Certificate of Incorporation, and any other contractual, statutory or other restrictions, with respect to the Offer.</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Regulatory Approvals Condition</w:t>
      </w:r>
      <w:r>
        <w:rPr>
          <w:rFonts w:ascii="Times New Roman" w:hAnsi="Times New Roman"/>
          <w:color w:val="000000"/>
          <w:sz w:val="22"/>
        </w:rPr>
        <w:t xml:space="preserve">: (i) The waiting period (including any extensions thereof and any timing agreement entered into with any governmental entity to delay or not consummate the Offer and the proposed merger) applicable to the consummation of the Offer and the proposed merger under the HSR Act, shall have expired or been earlier terminated or not be applicable; and (ii) all other waiting periods (or extensions thereof or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with the consummation of the Offer or the proposed merger shall have been obtained.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Material Adverse Effect Condition</w:t>
      </w:r>
      <w:r>
        <w:rPr>
          <w:rFonts w:ascii="Times New Roman" w:hAnsi="Times New Roman"/>
          <w:color w:val="000000"/>
          <w:sz w:val="22"/>
        </w:rPr>
        <w:t xml:space="preserve">: Since January 31, 2026, there shall not have been a Material Adverse Effect. A “Material Adverse Effect” means any change, event, violation, effect inaccuracy,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circumstance or developments (a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the Company,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the Company generally conducts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the Company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the Company relative to other companies of a similar size operating in the industries in which the Company conducted business, in which case only the incremental disproportionate adverse impact may be taken into account in determining whether there has occurred a Material Adverse Effect.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No Injunction Condition</w:t>
      </w:r>
      <w:r>
        <w:rPr>
          <w:rFonts w:ascii="Times New Roman" w:hAnsi="Times New Roman"/>
          <w:color w:val="000000"/>
          <w:sz w:val="22"/>
        </w:rPr>
        <w:t>: No court or other governmental entity of competent jurisdiction shall have proposed, enacted, issued, promulgated, enforced, entered or deemed applicable any Law (whether temporary, preliminary or permanent) that restrains, enjoins or otherwise prohibits consummation of the Offer, the acceptance for payment of or the payment for some or all of the shares of Common Stock by Offeror or any of their respective subsidiaries or affiliates, or the consummation of the proposed merger or any other merger or business combination involving the Company. “Laws” mean federal, state, local or foreign law, statute or ordinance, common law, or any rule, regulation, standard, judgment, order, writ, injunction, decree, arbitration award, agency requirement, license or permit of any governmental entity.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2"/>
        </w:rPr>
        <w:t>Other Conditions</w:t>
      </w:r>
      <w:r>
        <w:rPr>
          <w:rFonts w:ascii="Times New Roman" w:hAnsi="Times New Roman"/>
          <w:color w:val="000000"/>
          <w:sz w:val="22"/>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neither the Company nor any of its subsidiaries shall have (A) split, combined or otherwise changed, or authorized or proposed the split, combination or other change of, the Common Stock or its capitalization, (B) acquired or otherwise caused a reduction in the number of, or authorized or proposed the acquisition or other reduction in the number of, outstanding Common Stock or other securities, (C) issued or sold, or authorized or proposed the issuance or sale of, any additional Common Stock, shares of any other class or series of capital stock, other voting securities or any securities convertible into, or options, rights or warrants, conditional or otherwise, to acquire, any of the foregoing (other than the issuance of Common Stock, pursuant to and in accordance with the terms in effect on the date of the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the Company, (E) declared, paid or proposed to declare or pay any dividend or other distribution on any shares of capital stock of the Company,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 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the Company or any of its subsidiaries or any comparable event not in the ordinary course of business, or (H) authorized, recommended, proposed or announced its intent to enter into or entered into any agreement or arrangement with any person or group that has or may have material adverse effect with respect to either the value of the Company or any of its subsidiaries or affiliates or the value of the Common Stock to Offeror or any of its subsidiaries or affiliates;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neither the Company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Common Stock by Offeror or Offeror’s consummation of any merger or other similar business combination involving the Company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the Company or any of its subsidiaries, or Offeror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neither the Company nor any of its subsidiaries shall have amended, or authorized or proposed any amendment to, its certificate of incorporation or bylaws (or other similar constituent documents) or Offeror become aware that the Company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Offeror, might, directly or indirectly, (A) delay or otherwise restrain, impede or prohibit the consummation of the Offer or the proposed merger or (B) prohibit or limit the full rights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ownership of shares of the Common Stock by Offeror or any of its affiliates, including, without limitation, the right to vote any shares of Common Stock acquired by Offeror pursuant to the Offer or otherwise on all matters properly presented to Company stockholders for a vote;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neither the Company nor any of its subsidiaries shall have (A) granted to any person proposing a merger or other business combination with or involving the Company or any of its subsidiaries or the purchase of securities or assets of the Company or any of its subsidiaries any type of option, warrant or right which, in Offeror’s reasonable judgment, constitutes a “lock-up” device (including a right to acquire or receive any Common Stock or other securities, assets or business of the Company or any of its subsidiaries) or (B) paid or agreed to pay any cash or other consideration to any party in connection with or in any way related to any such business combination or purchase;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neither the Company nor any of its subsidiaries shall have adopted any plan or arrangement of the sort commonly referred to as a “stockholder rights plan,” “shareholder rights plan” or “poison pill” or any other similar plan, instrument or device with respect to an unsolicited takeover of the Company or acquisition of Common Stock, unless such plan, instrument or device has been terminated or all of the rights issued thereunder have been redeemed.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As outlined above, the consummation of the Offer is subject to numerous conditions, including a financing condition. Offeror has not obtained committed financing sufficient to consummate the Offer on a certain funds basis. As disclosed in the Schedule TO and outlined above, Offeror’s contemplated financing includes an equity commitment and conditional debt financing arrangements, each of which is subject to various conditions.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Board believes that the absence of fully committed financing, in addition to the numerous other conditions, introduces substantial uncertainty as to whether the Offer would be consummated on the terms or within the timeframe described, if at all, and exposes stockholders who tender their shares of Common Stock to material execution risk.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According to the Offer, each of the foregoing conditions are for the sole benefit of Offeror and its affiliates and may be asserted by Offeror in its discretion at any time or from time to time prior to the expiration of the Offer. In other words, the Offer provides that Offeror may assert whenever it chooses, for any reason it chooses, that a condition has not been satisfied, and such determination will not be subject to challenge. In light of these conditions, the Company’s stockholders cannot be assured that the Offeror would consummate the Offer.</w:t>
      </w:r>
    </w:p>
    <w:p>
      <w:pPr>
        <w:pStyle w:val="TextBody"/>
        <w:bidi w:val="0"/>
        <w:jc w:val="both"/>
        <w:rPr>
          <w:rFonts w:ascii="Times New Roman" w:hAnsi="Times New Roman"/>
          <w:sz w:val="20"/>
        </w:rPr>
      </w:pPr>
      <w:r>
        <w:rPr>
          <w:rFonts w:ascii="Times New Roman" w:hAnsi="Times New Roman"/>
          <w:b/>
          <w:color w:val="000000"/>
          <w:sz w:val="22"/>
        </w:rPr>
        <w:t>(v) The Offer Was Not Negotiated and Was Made Without Diligence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The Offer was not the result of arm’s-length negotiations and was commenced unilaterally. The Board believes this lack of diligence increases uncertainty regarding value and completion.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(vi) The Offer May Disrupt the Company’s Business and Strategic Plans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The Offer may create uncertainty and disrupt operations, employees and business relationships.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(vii) Other Considerations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The Board considered additional relevant factors, including structure, likelihood of completion and impact on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After careful consideration, including a review of the terms and conditions of the Offer, including the factors described above, and consultation with the Company’s management and its legal and financial advisors, the Board has unanimously determined that the Offer is inadvisable and not in the best interests of the Company and its stockholders.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Accordingly, the Board unanimously recommends that stockholders REJECT the Offer and NOT TENDER their shares of Common Stock pursuant to the Offer.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8. Additional Information.</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The section entitled “Golden Parachute Compensation” in Item 8 of the Statement is hereby amended and restated in its entirety as follows:</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Golden Parachute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considering the recommendation of the Board as set forth in “</w:t>
      </w:r>
      <w:r>
        <w:rPr>
          <w:rFonts w:ascii="Times New Roman" w:hAnsi="Times New Roman"/>
          <w:i/>
          <w:color w:val="000000"/>
          <w:sz w:val="22"/>
        </w:rPr>
        <w:t>Item 4. The Solicitation or Recommendation</w:t>
      </w:r>
      <w:r>
        <w:rPr>
          <w:rFonts w:ascii="Times New Roman" w:hAnsi="Times New Roman"/>
          <w:color w:val="000000"/>
          <w:sz w:val="20"/>
        </w:rPr>
        <w:t xml:space="preserve">” </w:t>
      </w:r>
      <w:r>
        <w:rPr>
          <w:rFonts w:ascii="Times New Roman" w:hAnsi="Times New Roman"/>
          <w:color w:val="000000"/>
          <w:sz w:val="22"/>
        </w:rPr>
        <w:t>above, stockholders should be aware that certain of the Company’s directors and executive officers may have interests in the Offer and the transactions contemplated thereby that may differ from, or be in addition to, the interests of the Company’s stockholders generally. The Board was aware of and considered these interests, among other matters, in evaluating and making its recommendation with respect to the Offer. The following sets forth the compensation and benefits that each of the Company’s named executive officers could receive in connection with the Offer, as further described in “</w:t>
      </w:r>
      <w:r>
        <w:rPr>
          <w:rFonts w:ascii="Times New Roman" w:hAnsi="Times New Roman"/>
          <w:i/>
          <w:color w:val="000000"/>
          <w:sz w:val="22"/>
        </w:rPr>
        <w:t>Item 3. Past Contacts, Transactions, Negotiations and Agreements</w:t>
      </w:r>
      <w:r>
        <w:rPr>
          <w:rFonts w:ascii="Times New Roman" w:hAnsi="Times New Roman"/>
          <w:color w:val="000000"/>
          <w:sz w:val="20"/>
        </w:rPr>
        <w:t xml:space="preserve">” </w:t>
      </w:r>
      <w:r>
        <w:rPr>
          <w:rFonts w:ascii="Times New Roman" w:hAnsi="Times New Roman"/>
          <w:color w:val="000000"/>
          <w:sz w:val="22"/>
        </w:rPr>
        <w:t>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information set forth in the table below is intended to comply with Item 402(t) of Regulation S-K, which requires disclosure of information about certain compensation for each of the Company’s named executive officers that is based on or otherwise relates to the Offer and assumes, among other things, that the Offer is consummated, that the Offer constitutes a change in control (“CIC”) of the Company and that the named executive officers will incur a qualifying termination of employment immediately following consummation of the Offer.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following table provides estimates of single trigger and double trigger CIC payments to the named executive officers. The “CIC Payment” is a single trigger payment that will be made on the CIC and is an estimate based on the same assumptions used in connection with the FBB Merger. The amounts shown below assume the following (in addition to the assumptions noted in the preceding paragraph): (i) the consummation of the Offer occurs on July 31, 2026; (ii) a stock price of $0.84 per share, which is the per share consideration being offered to stockholders of the Company in connection with the Offer; (iii) performance through the CIC as described herein; and (iv) continued employment through the CIC unless otherwise noted. All amounts are estimates. The calculations in the table do not include amounts that the named executive officers were already vested in as of the date hereof.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For purposes of this disclosure, “single trigger” refers to payments and benefits that arise solely as a result of the consummation of the Offer, based on the same assumptions used in connection with the FBB Merger, and “double trigger” refers to payments and benefits that require two conditions, which are the consummation of the Offer and a termination of employment without “justifiable cause” or for “good reason” (each, a “Qualifying Termination”).</w:t>
      </w:r>
      <w:r>
        <w:rPr>
          <w:rFonts w:ascii="Times New Roman" w:hAnsi="Times New Roman"/>
          <w:color w:val="000000"/>
          <w:sz w:val="20"/>
        </w:rPr>
        <w:t xml:space="preserve"> </w:t>
      </w:r>
    </w:p>
    <w:p>
      <w:pPr>
        <w:pStyle w:val="TextBody"/>
        <w:bidi w:val="0"/>
        <w:jc w:val="both"/>
        <w:rPr/>
      </w:pPr>
      <w:r>
        <w:rPr/>
        <w:t> </w:t>
      </w:r>
    </w:p>
    <w:tbl>
      <w:tblPr>
        <w:tblW w:w="8703" w:type="dxa"/>
        <w:jc w:val="left"/>
        <w:tblInd w:w="0" w:type="dxa"/>
        <w:tblLayout w:type="fixed"/>
        <w:tblCellMar>
          <w:top w:w="28" w:type="dxa"/>
          <w:left w:w="28" w:type="dxa"/>
          <w:bottom w:w="28" w:type="dxa"/>
          <w:right w:w="28" w:type="dxa"/>
        </w:tblCellMar>
      </w:tblPr>
      <w:tblGrid>
        <w:gridCol w:w="2071"/>
        <w:gridCol w:w="146"/>
        <w:gridCol w:w="226"/>
        <w:gridCol w:w="1066"/>
        <w:gridCol w:w="146"/>
        <w:gridCol w:w="146"/>
        <w:gridCol w:w="307"/>
        <w:gridCol w:w="1043"/>
        <w:gridCol w:w="146"/>
        <w:gridCol w:w="146"/>
        <w:gridCol w:w="338"/>
        <w:gridCol w:w="1147"/>
        <w:gridCol w:w="146"/>
        <w:gridCol w:w="146"/>
        <w:gridCol w:w="226"/>
        <w:gridCol w:w="106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Cash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Equity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Perquisites/</w:t>
              <w:br/>
              <w:t>Benefits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Harvey S. Kanter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4,662,885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4,789,477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832,539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656,052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674,354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636,257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654,524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617,032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634,569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pPr>
      <w:r>
        <w:rPr>
          <w:rFonts w:ascii="Times New Roman" w:hAnsi="Times New Roman"/>
          <w:i/>
          <w:color w:val="000000"/>
          <w:sz w:val="22"/>
        </w:rPr>
        <w:t>Cash</w:t>
      </w:r>
      <w:r>
        <w:rPr>
          <w:rFonts w:ascii="Times New Roman" w:hAnsi="Times New Roman"/>
          <w:color w:val="000000"/>
          <w:sz w:val="22"/>
        </w:rPr>
        <w:t xml:space="preserve">. The “Cash” column includes, for each named executive officer and as further detailed in the table below, (i) the estimated value of the unvested cash Performance-Based long-term incentive plan program (“LTIP”) Awards, assuming target, and based on the same assumption used in connection with the FBB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Merger that any such award earned will be cancelled and paid out, on a pro-rata basis, based on actual achievement through the CIC (which amounts are “single-trigger”), (ii) a cash severance payment equal to one (1) times base salary (except for Mr. Kanter, the cash severance payment is equal to two (2) times base salary, plus two (2) times his current annual incentive plan award at target), which amounts are “double-trigger,” and generally paid in a single payment following termination, subject to and conditioned upon the execution of a general release, and (iii) a cash payment for the pro rata vesting of unvested cash Time-Based LTIP Cash Awards, which amounts are “double-trigger.” For purposes of this table, the Company is assuming the actual achievement of the performance targets under the Performance-based LTIP Awards will be at target. Cash severance payments described in prong (ii) are to be reduced if and to the extent necessary to avoid any payments or benefits to the executive being treated as “excess parachute payments” within the meaning of Section 280G(b)(i) of the Code.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27"/>
        <w:gridCol w:w="146"/>
        <w:gridCol w:w="536"/>
        <w:gridCol w:w="2109"/>
        <w:gridCol w:w="146"/>
        <w:gridCol w:w="146"/>
        <w:gridCol w:w="255"/>
        <w:gridCol w:w="1207"/>
        <w:gridCol w:w="146"/>
        <w:gridCol w:w="146"/>
        <w:gridCol w:w="438"/>
        <w:gridCol w:w="1723"/>
        <w:gridCol w:w="146"/>
        <w:gridCol w:w="146"/>
        <w:gridCol w:w="226"/>
        <w:gridCol w:w="1066"/>
        <w:gridCol w:w="196"/>
      </w:tblGrid>
      <w:tr>
        <w:trPr/>
        <w:tc>
          <w:tcPr>
            <w:tcW w:w="1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Performance-Based LTIP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Cash Severance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Time-Based LTIP Cash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 Cash</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Harvey S. Kanter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300,544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4,662,885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Peter H. Stratton,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246,693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484,210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807,775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Anthony J. Gaeta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656,052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Robert S. Molloy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181,972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397,580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636,257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Allison Surette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176,787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617,032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pPr>
      <w:r>
        <w:rPr>
          <w:rFonts w:ascii="Times New Roman" w:hAnsi="Times New Roman"/>
          <w:i/>
          <w:color w:val="000000"/>
          <w:sz w:val="22"/>
        </w:rPr>
        <w:t>Equity</w:t>
      </w:r>
      <w:r>
        <w:rPr>
          <w:rFonts w:ascii="Times New Roman" w:hAnsi="Times New Roman"/>
          <w:color w:val="000000"/>
          <w:sz w:val="22"/>
        </w:rPr>
        <w:t>. The “Equity” column includes the estimated value of the unvested equity-based Time-Based LTIP Awards under the Company’s 2023-2025 LTIP, 2024-2026 LTIP and 2025-2027 LTIP that will vest, on a pro rata basis, in accordance with the terms of the LTIP, as described above, if an executive officer experiences a Qualifying Termination within six (6) months prior or eighteen (18) months following the CIC. Such amounts are “double-trigger.” Additionally, if the closing price on the consummation date of the Offer equals or exceeds one or more of the average share price vesting thresholds in Mr. Kanter’s performance share units (“PSUs”), then any outstanding PSUs will fully vest to the same extent as if the average the Company share price had been achieved as of the date of the CIC. Such amount is “single-trigger.” Based on the average stock price of the Company’s Common Stock since January 31, 2026, these PSUs are not expected to vest and so the estimated value of those awards is $0 and are not included in the table and values above.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pPr>
      <w:r>
        <w:rPr>
          <w:rFonts w:ascii="Times New Roman" w:hAnsi="Times New Roman"/>
          <w:i/>
          <w:color w:val="000000"/>
          <w:sz w:val="22"/>
        </w:rPr>
        <w:t>Perquisites/Benefits</w:t>
      </w:r>
      <w:r>
        <w:rPr>
          <w:rFonts w:ascii="Times New Roman" w:hAnsi="Times New Roman"/>
          <w:color w:val="000000"/>
          <w:sz w:val="22"/>
        </w:rPr>
        <w:t>. The “Perquisites/Benefits” column includes, for Mr. Kanter, one-year of subsidized COBRA coverage under the Company’s health plan, paid in the form of continued payments for one-year, which amount is “double-trigger.”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pPr>
      <w:r>
        <w:rPr>
          <w:rFonts w:ascii="Times New Roman" w:hAnsi="Times New Roman"/>
          <w:color w:val="000000"/>
          <w:sz w:val="22"/>
        </w:rPr>
        <w:t>On May 11, 2026, the Company notified Mr. Kanter that it does not intend to renew his amended employment agreement. This notification was provided in accordance with Mr. Kanter’s expressed desire to retire, and as required by his amended employment agreement. Accordingly, Mr. Kanter’s amended employment agreement will expire and his employment with the Company will terminate on August 11, 2026 (the “Termination Date”). If the CIC is consummated after the Termination Date, Mr. Kanter would not receive any payments, and the amounts for Mr. Kanter in the charts above would be zero.</w:t>
      </w:r>
      <w:r>
        <w:rPr>
          <w:color w:val="00000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9. Exhibits.</w:t>
      </w:r>
    </w:p>
    <w:p>
      <w:pPr>
        <w:pStyle w:val="TextBody"/>
        <w:bidi w:val="0"/>
        <w:jc w:val="left"/>
        <w:rPr>
          <w:rFonts w:ascii="Times New Roman" w:hAnsi="Times New Roman"/>
          <w:color w:val="000000"/>
          <w:sz w:val="22"/>
        </w:rPr>
      </w:pPr>
      <w:r>
        <w:rPr>
          <w:rFonts w:ascii="Times New Roman" w:hAnsi="Times New Roman"/>
          <w:color w:val="000000"/>
          <w:sz w:val="22"/>
        </w:rPr>
        <w:t>Item 9 of the Statement is hereby amended and supplemented by adding the following exhibit:</w:t>
      </w:r>
    </w:p>
    <w:tbl>
      <w:tblPr>
        <w:tblW w:w="10205" w:type="dxa"/>
        <w:jc w:val="left"/>
        <w:tblInd w:w="0" w:type="dxa"/>
        <w:tblLayout w:type="fixed"/>
        <w:tblCellMar>
          <w:top w:w="28" w:type="dxa"/>
          <w:left w:w="28" w:type="dxa"/>
          <w:bottom w:w="28" w:type="dxa"/>
          <w:right w:w="28" w:type="dxa"/>
        </w:tblCellMar>
      </w:tblPr>
      <w:tblGrid>
        <w:gridCol w:w="998"/>
        <w:gridCol w:w="146"/>
        <w:gridCol w:w="146"/>
        <w:gridCol w:w="8915"/>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r>
      <w:tr>
        <w:trPr/>
        <w:tc>
          <w:tcPr>
            <w:tcW w:w="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u w:val="single"/>
              </w:rPr>
              <w:t>Exhibit No</w:t>
            </w:r>
            <w:r>
              <w:rPr>
                <w:rFonts w:ascii="Times New Roman" w:hAnsi="Times New Roman"/>
                <w:b/>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Description</w:t>
            </w:r>
          </w:p>
        </w:tc>
      </w:tr>
      <w:tr>
        <w:trPr/>
        <w:tc>
          <w:tcPr>
            <w:tcW w:w="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(a)(5)(D)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2"/>
                  <w:u w:val="single"/>
                </w:rPr>
                <w:t>Press Release Issued by Destination XL Group, Inc. on July 8, 2026 (included as Exhibit 99.1 to the Company’s Current Report on Form 8-K filed on July 8, 2026, and incorporated herein by reference)</w:t>
              </w:r>
            </w:hyperlink>
            <w:r>
              <w:rPr>
                <w:rFonts w:ascii="Times New Roman" w:hAnsi="Times New Roman"/>
                <w:color w:val="000000"/>
                <w:sz w:val="22"/>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After due inquiry and to the best of my knowledge and belief, I certify that the information set forth in this statement is true, complete and correct.</w:t>
      </w:r>
    </w:p>
    <w:tbl>
      <w:tblPr>
        <w:tblW w:w="5434" w:type="dxa"/>
        <w:jc w:val="left"/>
        <w:tblInd w:w="0" w:type="dxa"/>
        <w:tblLayout w:type="fixed"/>
        <w:tblCellMar>
          <w:top w:w="28" w:type="dxa"/>
          <w:left w:w="28" w:type="dxa"/>
          <w:bottom w:w="28" w:type="dxa"/>
          <w:right w:w="28" w:type="dxa"/>
        </w:tblCellMar>
      </w:tblPr>
      <w:tblGrid>
        <w:gridCol w:w="616"/>
        <w:gridCol w:w="1276"/>
        <w:gridCol w:w="496"/>
        <w:gridCol w:w="3046"/>
      </w:tblGrid>
      <w:tr>
        <w:trPr/>
        <w:tc>
          <w:tcPr>
            <w:tcW w:w="61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Destination XL Group, Inc.</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27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July 8,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30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2"/>
              </w:rPr>
            </w:pPr>
            <w:r>
              <w:rPr>
                <w:rFonts w:ascii="Times New Roman" w:hAnsi="Times New Roman"/>
                <w:i/>
                <w:color w:val="000000"/>
                <w:sz w:val="22"/>
              </w:rPr>
              <w:t>/s/ Robert S. Molloy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2"/>
              </w:rPr>
            </w:pPr>
            <w:r>
              <w:rPr>
                <w:rFonts w:ascii="Times New Roman" w:hAnsi="Times New Roman"/>
                <w:color w:val="000000"/>
                <w:sz w:val="22"/>
              </w:rPr>
              <w:t>General Counsel and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19312526298532/dxlg-ex99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5380</Words>
  <Characters>28599</Characters>
  <CharactersWithSpaces>33987</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