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22"/>
          <w:szCs w:val="22"/>
          <w:b w:val="1"/>
          <w:bCs w:val="1"/>
          <w:color w:val="auto"/>
        </w:rPr>
        <w:t>UNITED STATES</w:t>
      </w:r>
    </w:p>
    <w:p>
      <w:pPr>
        <w:spacing w:after="0" w:line="20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32" w:lineRule="exact"/>
        <w:rPr>
          <w:sz w:val="24"/>
          <w:szCs w:val="24"/>
          <w:color w:val="auto"/>
        </w:rPr>
      </w:pPr>
    </w:p>
    <w:p>
      <w:pPr>
        <w:jc w:val="center"/>
        <w:ind w:right="-259"/>
        <w:spacing w:after="0"/>
        <w:rPr>
          <w:sz w:val="20"/>
          <w:szCs w:val="20"/>
          <w:color w:val="auto"/>
        </w:rPr>
      </w:pPr>
      <w:r>
        <w:rPr>
          <w:rFonts w:ascii="Arial" w:cs="Arial" w:eastAsia="Arial" w:hAnsi="Arial"/>
          <w:sz w:val="24"/>
          <w:szCs w:val="24"/>
          <w:b w:val="1"/>
          <w:bCs w:val="1"/>
          <w:color w:val="auto"/>
        </w:rPr>
        <w:t>SCHEDULE 13G</w:t>
      </w:r>
    </w:p>
    <w:p>
      <w:pPr>
        <w:spacing w:after="0" w:line="200" w:lineRule="exact"/>
        <w:rPr>
          <w:sz w:val="24"/>
          <w:szCs w:val="24"/>
          <w:color w:val="auto"/>
        </w:rPr>
      </w:pPr>
    </w:p>
    <w:p>
      <w:pPr>
        <w:spacing w:after="0" w:line="38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18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(Amendment No. 5)*</w:t>
      </w:r>
    </w:p>
    <w:p>
      <w:pPr>
        <w:spacing w:after="0" w:line="218" w:lineRule="exact"/>
        <w:rPr>
          <w:sz w:val="24"/>
          <w:szCs w:val="24"/>
          <w:color w:val="auto"/>
        </w:rPr>
      </w:pPr>
    </w:p>
    <w:p>
      <w:pPr>
        <w:jc w:val="center"/>
        <w:ind w:right="-259"/>
        <w:spacing w:after="0"/>
        <w:rPr>
          <w:sz w:val="20"/>
          <w:szCs w:val="20"/>
          <w:color w:val="auto"/>
        </w:rPr>
      </w:pPr>
      <w:r>
        <w:rPr>
          <w:rFonts w:ascii="Arial" w:cs="Arial" w:eastAsia="Arial" w:hAnsi="Arial"/>
          <w:sz w:val="22"/>
          <w:szCs w:val="22"/>
          <w:color w:val="auto"/>
        </w:rPr>
        <w:t>Casual Male Retail Group, Inc.</w:t>
      </w:r>
    </w:p>
    <w:p>
      <w:pPr>
        <w:spacing w:after="0" w:line="217" w:lineRule="exact"/>
        <w:rPr>
          <w:sz w:val="24"/>
          <w:szCs w:val="24"/>
          <w:color w:val="auto"/>
        </w:rPr>
      </w:pPr>
    </w:p>
    <w:p>
      <w:pPr>
        <w:jc w:val="center"/>
        <w:ind w:right="-259"/>
        <w:spacing w:after="0"/>
        <w:rPr>
          <w:sz w:val="20"/>
          <w:szCs w:val="20"/>
          <w:color w:val="auto"/>
        </w:rPr>
      </w:pPr>
      <w:r>
        <w:rPr>
          <w:rFonts w:ascii="Arial" w:cs="Arial" w:eastAsia="Arial" w:hAnsi="Arial"/>
          <w:sz w:val="14"/>
          <w:szCs w:val="14"/>
          <w:color w:val="auto"/>
        </w:rPr>
        <w:t>(Name of Issuer)</w:t>
      </w:r>
    </w:p>
    <w:p>
      <w:pPr>
        <w:spacing w:after="0" w:line="200" w:lineRule="exact"/>
        <w:rPr>
          <w:sz w:val="24"/>
          <w:szCs w:val="24"/>
          <w:color w:val="auto"/>
        </w:rPr>
      </w:pPr>
    </w:p>
    <w:p>
      <w:pPr>
        <w:spacing w:after="0" w:line="271"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COMMON STOCK</w:t>
      </w:r>
    </w:p>
    <w:p>
      <w:pPr>
        <w:spacing w:after="0" w:line="223" w:lineRule="exact"/>
        <w:rPr>
          <w:sz w:val="24"/>
          <w:szCs w:val="24"/>
          <w:color w:val="auto"/>
        </w:rPr>
      </w:pPr>
    </w:p>
    <w:p>
      <w:pPr>
        <w:jc w:val="center"/>
        <w:ind w:right="-259"/>
        <w:spacing w:after="0"/>
        <w:rPr>
          <w:sz w:val="20"/>
          <w:szCs w:val="20"/>
          <w:color w:val="auto"/>
        </w:rPr>
      </w:pPr>
      <w:r>
        <w:rPr>
          <w:rFonts w:ascii="Arial" w:cs="Arial" w:eastAsia="Arial" w:hAnsi="Arial"/>
          <w:sz w:val="14"/>
          <w:szCs w:val="14"/>
          <w:color w:val="auto"/>
        </w:rPr>
        <w:t>(Title of Class Securities)</w:t>
      </w:r>
    </w:p>
    <w:p>
      <w:pPr>
        <w:spacing w:after="0" w:line="200" w:lineRule="exact"/>
        <w:rPr>
          <w:sz w:val="24"/>
          <w:szCs w:val="24"/>
          <w:color w:val="auto"/>
        </w:rPr>
      </w:pPr>
    </w:p>
    <w:p>
      <w:pPr>
        <w:spacing w:after="0" w:line="271"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148711104</w:t>
      </w:r>
    </w:p>
    <w:p>
      <w:pPr>
        <w:spacing w:after="0" w:line="223" w:lineRule="exact"/>
        <w:rPr>
          <w:sz w:val="24"/>
          <w:szCs w:val="24"/>
          <w:color w:val="auto"/>
        </w:rPr>
      </w:pPr>
    </w:p>
    <w:p>
      <w:pPr>
        <w:ind w:left="4520"/>
        <w:spacing w:after="0"/>
        <w:rPr>
          <w:sz w:val="20"/>
          <w:szCs w:val="20"/>
          <w:color w:val="auto"/>
        </w:rPr>
      </w:pPr>
      <w:r>
        <w:rPr>
          <w:rFonts w:ascii="Arial" w:cs="Arial" w:eastAsia="Arial" w:hAnsi="Arial"/>
          <w:sz w:val="14"/>
          <w:szCs w:val="14"/>
          <w:color w:val="auto"/>
        </w:rPr>
        <w:t>____________________________________</w:t>
      </w:r>
    </w:p>
    <w:p>
      <w:pPr>
        <w:spacing w:after="0" w:line="123" w:lineRule="exact"/>
        <w:rPr>
          <w:sz w:val="24"/>
          <w:szCs w:val="24"/>
          <w:color w:val="auto"/>
        </w:rPr>
      </w:pPr>
    </w:p>
    <w:p>
      <w:pPr>
        <w:jc w:val="center"/>
        <w:ind w:right="-259"/>
        <w:spacing w:after="0"/>
        <w:rPr>
          <w:sz w:val="20"/>
          <w:szCs w:val="20"/>
          <w:color w:val="auto"/>
        </w:rPr>
      </w:pPr>
      <w:r>
        <w:rPr>
          <w:rFonts w:ascii="Arial" w:cs="Arial" w:eastAsia="Arial" w:hAnsi="Arial"/>
          <w:sz w:val="14"/>
          <w:szCs w:val="14"/>
          <w:color w:val="auto"/>
        </w:rPr>
        <w:t>(CUSIP Number)</w:t>
      </w:r>
    </w:p>
    <w:p>
      <w:pPr>
        <w:spacing w:after="0" w:line="200" w:lineRule="exact"/>
        <w:rPr>
          <w:sz w:val="24"/>
          <w:szCs w:val="24"/>
          <w:color w:val="auto"/>
        </w:rPr>
      </w:pPr>
    </w:p>
    <w:p>
      <w:pPr>
        <w:spacing w:after="0" w:line="277" w:lineRule="exact"/>
        <w:rPr>
          <w:sz w:val="24"/>
          <w:szCs w:val="24"/>
          <w:color w:val="auto"/>
        </w:rPr>
      </w:pPr>
    </w:p>
    <w:p>
      <w:pPr>
        <w:jc w:val="center"/>
        <w:ind w:right="-259"/>
        <w:spacing w:after="0"/>
        <w:rPr>
          <w:sz w:val="20"/>
          <w:szCs w:val="20"/>
          <w:color w:val="auto"/>
        </w:rPr>
      </w:pPr>
      <w:r>
        <w:rPr>
          <w:rFonts w:ascii="Arial" w:cs="Arial" w:eastAsia="Arial" w:hAnsi="Arial"/>
          <w:sz w:val="22"/>
          <w:szCs w:val="22"/>
          <w:color w:val="auto"/>
        </w:rPr>
        <w:t>December 31, 2004</w:t>
      </w:r>
    </w:p>
    <w:p>
      <w:pPr>
        <w:spacing w:after="0" w:line="217" w:lineRule="exact"/>
        <w:rPr>
          <w:sz w:val="24"/>
          <w:szCs w:val="24"/>
          <w:color w:val="auto"/>
        </w:rPr>
      </w:pPr>
    </w:p>
    <w:p>
      <w:pPr>
        <w:ind w:left="2520"/>
        <w:spacing w:after="0"/>
        <w:rPr>
          <w:sz w:val="20"/>
          <w:szCs w:val="20"/>
          <w:color w:val="auto"/>
        </w:rPr>
      </w:pPr>
      <w:r>
        <w:rPr>
          <w:rFonts w:ascii="Arial" w:cs="Arial" w:eastAsia="Arial" w:hAnsi="Arial"/>
          <w:sz w:val="14"/>
          <w:szCs w:val="14"/>
          <w:color w:val="auto"/>
        </w:rPr>
        <w:t>_______________________________________________________________________________________________</w:t>
      </w:r>
    </w:p>
    <w:p>
      <w:pPr>
        <w:spacing w:after="0" w:line="121" w:lineRule="exact"/>
        <w:rPr>
          <w:sz w:val="24"/>
          <w:szCs w:val="24"/>
          <w:color w:val="auto"/>
        </w:rPr>
      </w:pPr>
    </w:p>
    <w:p>
      <w:pPr>
        <w:ind w:left="412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68"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71" w:lineRule="exact"/>
        <w:rPr>
          <w:sz w:val="24"/>
          <w:szCs w:val="24"/>
          <w:color w:val="auto"/>
        </w:rPr>
      </w:pPr>
    </w:p>
    <w:p>
      <w:pPr>
        <w:ind w:left="1380" w:hanging="272"/>
        <w:spacing w:after="0"/>
        <w:tabs>
          <w:tab w:leader="none" w:pos="1380" w:val="left"/>
        </w:tabs>
        <w:numPr>
          <w:ilvl w:val="0"/>
          <w:numId w:val="1"/>
        </w:numPr>
        <w:rPr>
          <w:rFonts w:ascii="MS PGothic" w:cs="MS PGothic" w:eastAsia="MS PGothic" w:hAnsi="MS PGothic"/>
          <w:sz w:val="24"/>
          <w:szCs w:val="24"/>
          <w:color w:val="auto"/>
        </w:rPr>
      </w:pPr>
      <w:r>
        <w:rPr>
          <w:rFonts w:ascii="Arial" w:cs="Arial" w:eastAsia="Arial" w:hAnsi="Arial"/>
          <w:sz w:val="18"/>
          <w:szCs w:val="18"/>
          <w:color w:val="auto"/>
        </w:rPr>
        <w:t>Rule 13d-1(b)</w:t>
      </w:r>
    </w:p>
    <w:p>
      <w:pPr>
        <w:spacing w:after="0" w:line="224" w:lineRule="exact"/>
        <w:rPr>
          <w:sz w:val="24"/>
          <w:szCs w:val="24"/>
          <w:color w:val="auto"/>
        </w:rPr>
      </w:pPr>
    </w:p>
    <w:p>
      <w:pPr>
        <w:ind w:left="1300" w:hanging="192"/>
        <w:spacing w:after="0"/>
        <w:tabs>
          <w:tab w:leader="none" w:pos="1300" w:val="left"/>
        </w:tabs>
        <w:numPr>
          <w:ilvl w:val="0"/>
          <w:numId w:val="2"/>
        </w:numPr>
        <w:rPr>
          <w:rFonts w:ascii="Arial" w:cs="Arial" w:eastAsia="Arial" w:hAnsi="Arial"/>
          <w:sz w:val="24"/>
          <w:szCs w:val="24"/>
          <w:color w:val="auto"/>
        </w:rPr>
      </w:pPr>
      <w:r>
        <w:rPr>
          <w:rFonts w:ascii="Arial" w:cs="Arial" w:eastAsia="Arial" w:hAnsi="Arial"/>
          <w:sz w:val="18"/>
          <w:szCs w:val="18"/>
          <w:color w:val="auto"/>
        </w:rPr>
        <w:t>Rule 13d-1(c)</w:t>
      </w:r>
    </w:p>
    <w:p>
      <w:pPr>
        <w:spacing w:after="0" w:line="223" w:lineRule="exact"/>
        <w:rPr>
          <w:rFonts w:ascii="Arial" w:cs="Arial" w:eastAsia="Arial" w:hAnsi="Arial"/>
          <w:sz w:val="24"/>
          <w:szCs w:val="24"/>
          <w:color w:val="auto"/>
        </w:rPr>
      </w:pPr>
    </w:p>
    <w:p>
      <w:pPr>
        <w:ind w:left="1300" w:hanging="192"/>
        <w:spacing w:after="0"/>
        <w:tabs>
          <w:tab w:leader="none" w:pos="1300" w:val="left"/>
        </w:tabs>
        <w:numPr>
          <w:ilvl w:val="0"/>
          <w:numId w:val="2"/>
        </w:numPr>
        <w:rPr>
          <w:rFonts w:ascii="Arial" w:cs="Arial" w:eastAsia="Arial" w:hAnsi="Arial"/>
          <w:sz w:val="24"/>
          <w:szCs w:val="24"/>
          <w:color w:val="auto"/>
        </w:rPr>
      </w:pPr>
      <w:r>
        <w:rPr>
          <w:rFonts w:ascii="Arial" w:cs="Arial" w:eastAsia="Arial" w:hAnsi="Arial"/>
          <w:sz w:val="18"/>
          <w:szCs w:val="18"/>
          <w:color w:val="auto"/>
        </w:rPr>
        <w:t>Rule 13d-1(d)</w:t>
      </w:r>
    </w:p>
    <w:p>
      <w:pPr>
        <w:spacing w:after="0" w:line="223" w:lineRule="exact"/>
        <w:rPr>
          <w:sz w:val="24"/>
          <w:szCs w:val="24"/>
          <w:color w:val="auto"/>
        </w:rPr>
      </w:pPr>
    </w:p>
    <w:p>
      <w:pPr>
        <w:ind w:left="20"/>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 provided in a prior cover page.</w:t>
      </w:r>
    </w:p>
    <w:p>
      <w:pPr>
        <w:spacing w:after="0" w:line="145" w:lineRule="exact"/>
        <w:rPr>
          <w:sz w:val="24"/>
          <w:szCs w:val="24"/>
          <w:color w:val="auto"/>
        </w:rPr>
      </w:pPr>
    </w:p>
    <w:p>
      <w:pPr>
        <w:ind w:left="20" w:right="6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6320155" cy="32391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20155" cy="3239135"/>
                    </a:xfrm>
                    <a:prstGeom prst="rect">
                      <a:avLst/>
                    </a:prstGeom>
                    <a:noFill/>
                  </pic:spPr>
                </pic:pic>
              </a:graphicData>
            </a:graphic>
          </wp:anchor>
        </w:drawing>
      </w:r>
    </w:p>
    <w:p>
      <w:pPr>
        <w:spacing w:after="0" w:line="20" w:lineRule="exact"/>
        <w:rPr>
          <w:sz w:val="24"/>
          <w:szCs w:val="24"/>
          <w:color w:val="auto"/>
        </w:rPr>
      </w:pPr>
    </w:p>
    <w:p>
      <w:pPr>
        <w:spacing w:after="0"/>
        <w:rPr>
          <w:sz w:val="20"/>
          <w:szCs w:val="20"/>
          <w:color w:val="auto"/>
        </w:rPr>
      </w:pPr>
      <w:r>
        <w:rPr>
          <w:sz w:val="1"/>
          <w:szCs w:val="1"/>
          <w:color w:val="auto"/>
        </w:rPr>
        <w:drawing>
          <wp:inline distT="0" distB="0" distL="0" distR="0">
            <wp:extent cx="51435" cy="3511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351155"/>
                    </a:xfrm>
                    <a:prstGeom prst="rect">
                      <a:avLst/>
                    </a:prstGeom>
                    <a:noFill/>
                    <a:ln>
                      <a:noFill/>
                    </a:ln>
                  </pic:spPr>
                </pic:pic>
              </a:graphicData>
            </a:graphic>
          </wp:inline>
        </w:drawing>
      </w:r>
      <w:r>
        <w:rPr>
          <w:rFonts w:ascii="Arial" w:cs="Arial" w:eastAsia="Arial" w:hAnsi="Arial"/>
          <w:sz w:val="22"/>
          <w:szCs w:val="22"/>
          <w:b w:val="1"/>
          <w:bCs w:val="1"/>
          <w:color w:val="auto"/>
        </w:rPr>
        <w:t xml:space="preserve"> CUSIP No. 148711104</w:t>
      </w:r>
    </w:p>
    <w:p>
      <w:pPr>
        <w:spacing w:after="0" w:line="107"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Name of Reporting Persons.</w:t>
      </w:r>
    </w:p>
    <w:p>
      <w:pPr>
        <w:spacing w:after="0" w:line="185"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I.R.S. Identification Nos. of above persons (entities only).</w:t>
      </w:r>
    </w:p>
    <w:p>
      <w:pPr>
        <w:spacing w:after="0" w:line="39" w:lineRule="exact"/>
        <w:rPr>
          <w:sz w:val="24"/>
          <w:szCs w:val="24"/>
          <w:color w:val="auto"/>
        </w:rPr>
      </w:pPr>
    </w:p>
    <w:p>
      <w:pPr>
        <w:ind w:left="1220" w:hanging="1057"/>
        <w:spacing w:after="0"/>
        <w:tabs>
          <w:tab w:leader="none" w:pos="1220" w:val="left"/>
        </w:tabs>
        <w:numPr>
          <w:ilvl w:val="0"/>
          <w:numId w:val="3"/>
        </w:numPr>
        <w:rPr>
          <w:rFonts w:ascii="Arial" w:cs="Arial" w:eastAsia="Arial" w:hAnsi="Arial"/>
          <w:sz w:val="32"/>
          <w:szCs w:val="32"/>
          <w:b w:val="1"/>
          <w:bCs w:val="1"/>
          <w:color w:val="auto"/>
        </w:rPr>
      </w:pPr>
      <w:r>
        <w:rPr>
          <w:rFonts w:ascii="Arial" w:cs="Arial" w:eastAsia="Arial" w:hAnsi="Arial"/>
          <w:sz w:val="18"/>
          <w:szCs w:val="18"/>
          <w:color w:val="auto"/>
        </w:rPr>
        <w:t>Husic Capital Management</w:t>
      </w:r>
    </w:p>
    <w:p>
      <w:pPr>
        <w:spacing w:after="0" w:line="277" w:lineRule="exact"/>
        <w:rPr>
          <w:rFonts w:ascii="Arial" w:cs="Arial" w:eastAsia="Arial" w:hAnsi="Arial"/>
          <w:sz w:val="32"/>
          <w:szCs w:val="32"/>
          <w:b w:val="1"/>
          <w:bCs w:val="1"/>
          <w:color w:val="auto"/>
        </w:rPr>
      </w:pPr>
    </w:p>
    <w:p>
      <w:pPr>
        <w:ind w:left="1220"/>
        <w:spacing w:after="0"/>
        <w:rPr>
          <w:rFonts w:ascii="Arial" w:cs="Arial" w:eastAsia="Arial" w:hAnsi="Arial"/>
          <w:sz w:val="32"/>
          <w:szCs w:val="32"/>
          <w:b w:val="1"/>
          <w:bCs w:val="1"/>
          <w:color w:val="auto"/>
        </w:rPr>
      </w:pPr>
      <w:r>
        <w:rPr>
          <w:rFonts w:ascii="Arial" w:cs="Arial" w:eastAsia="Arial" w:hAnsi="Arial"/>
          <w:sz w:val="18"/>
          <w:szCs w:val="18"/>
          <w:color w:val="auto"/>
        </w:rPr>
        <w:t>Check the Appropriate Box if a Member of a Group (See Instructions)</w:t>
      </w:r>
    </w:p>
    <w:p>
      <w:pPr>
        <w:spacing w:after="0" w:line="185"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(a)</w:t>
      </w:r>
    </w:p>
    <w:p>
      <w:pPr>
        <w:spacing w:after="0" w:line="39" w:lineRule="exact"/>
        <w:rPr>
          <w:sz w:val="24"/>
          <w:szCs w:val="24"/>
          <w:color w:val="auto"/>
        </w:rPr>
      </w:pPr>
    </w:p>
    <w:p>
      <w:pPr>
        <w:ind w:left="1220" w:hanging="1057"/>
        <w:spacing w:after="0"/>
        <w:tabs>
          <w:tab w:leader="none" w:pos="122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(b)</w:t>
      </w:r>
    </w:p>
    <w:p>
      <w:pPr>
        <w:spacing w:after="0" w:line="277" w:lineRule="exact"/>
        <w:rPr>
          <w:rFonts w:ascii="Arial" w:cs="Arial" w:eastAsia="Arial" w:hAnsi="Arial"/>
          <w:sz w:val="32"/>
          <w:szCs w:val="32"/>
          <w:b w:val="1"/>
          <w:bCs w:val="1"/>
          <w:color w:val="auto"/>
        </w:rPr>
      </w:pPr>
    </w:p>
    <w:p>
      <w:pPr>
        <w:ind w:left="1220"/>
        <w:spacing w:after="0"/>
        <w:rPr>
          <w:rFonts w:ascii="Arial" w:cs="Arial" w:eastAsia="Arial" w:hAnsi="Arial"/>
          <w:sz w:val="32"/>
          <w:szCs w:val="32"/>
          <w:b w:val="1"/>
          <w:bCs w:val="1"/>
          <w:color w:val="auto"/>
        </w:rPr>
      </w:pPr>
      <w:r>
        <w:rPr>
          <w:rFonts w:ascii="Arial" w:cs="Arial" w:eastAsia="Arial" w:hAnsi="Arial"/>
          <w:sz w:val="18"/>
          <w:szCs w:val="18"/>
          <w:color w:val="auto"/>
        </w:rPr>
        <w:t>SEC Use Only</w:t>
      </w:r>
    </w:p>
    <w:p>
      <w:pPr>
        <w:spacing w:after="0" w:line="200" w:lineRule="exact"/>
        <w:rPr>
          <w:sz w:val="24"/>
          <w:szCs w:val="24"/>
          <w:color w:val="auto"/>
        </w:rPr>
      </w:pPr>
    </w:p>
    <w:p>
      <w:pPr>
        <w:spacing w:after="0" w:line="249" w:lineRule="exact"/>
        <w:rPr>
          <w:sz w:val="24"/>
          <w:szCs w:val="24"/>
          <w:color w:val="auto"/>
        </w:rPr>
      </w:pPr>
    </w:p>
    <w:p>
      <w:pPr>
        <w:ind w:left="160"/>
        <w:spacing w:after="0"/>
        <w:rPr>
          <w:sz w:val="20"/>
          <w:szCs w:val="20"/>
          <w:color w:val="auto"/>
        </w:rPr>
      </w:pPr>
      <w:r>
        <w:rPr>
          <w:rFonts w:ascii="Arial" w:cs="Arial" w:eastAsia="Arial" w:hAnsi="Arial"/>
          <w:sz w:val="32"/>
          <w:szCs w:val="32"/>
          <w:b w:val="1"/>
          <w:bCs w:val="1"/>
          <w:color w:val="auto"/>
        </w:rPr>
        <w:t>3</w:t>
      </w:r>
    </w:p>
    <w:p>
      <w:pPr>
        <w:spacing w:after="0" w:line="259"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Citizenship or Place of Organization</w:t>
      </w:r>
    </w:p>
    <w:p>
      <w:pPr>
        <w:sectPr>
          <w:pgSz w:w="11900" w:h="16838" w:orient="portrait"/>
          <w:cols w:equalWidth="0" w:num="1">
            <w:col w:w="11200"/>
          </w:cols>
          <w:pgMar w:left="220" w:top="679" w:right="479" w:bottom="0" w:gutter="0" w:footer="0" w:header="0"/>
        </w:sectPr>
      </w:pPr>
    </w:p>
    <w:bookmarkStart w:id="1" w:name="page2"/>
    <w:bookmarkEnd w:id="1"/>
    <w:p>
      <w:pPr>
        <w:spacing w:after="0" w:line="93" w:lineRule="exact"/>
        <w:rPr>
          <w:sz w:val="20"/>
          <w:szCs w:val="20"/>
          <w:color w:val="auto"/>
        </w:rPr>
      </w:pPr>
    </w:p>
    <w:tbl>
      <w:tblPr>
        <w:tblLayout w:type="fixed"/>
        <w:tblInd w:w="160" w:type="dxa"/>
        <w:tblCellMar>
          <w:top w:w="0" w:type="dxa"/>
          <w:left w:w="0" w:type="dxa"/>
          <w:bottom w:w="0" w:type="dxa"/>
          <w:right w:w="0" w:type="dxa"/>
        </w:tblCellMar>
      </w:tblPr>
      <w:tr>
        <w:trPr>
          <w:trHeight w:val="302"/>
        </w:trPr>
        <w:tc>
          <w:tcPr>
            <w:tcW w:w="620" w:type="dxa"/>
            <w:vAlign w:val="bottom"/>
          </w:tcPr>
          <w:p>
            <w:pPr>
              <w:jc w:val="right"/>
              <w:ind w:right="298"/>
              <w:spacing w:after="0" w:line="303" w:lineRule="exact"/>
              <w:rPr>
                <w:sz w:val="20"/>
                <w:szCs w:val="20"/>
                <w:color w:val="auto"/>
              </w:rPr>
            </w:pPr>
            <w:r>
              <w:rPr>
                <w:rFonts w:ascii="Arial" w:cs="Arial" w:eastAsia="Arial" w:hAnsi="Arial"/>
                <w:sz w:val="32"/>
                <w:szCs w:val="32"/>
                <w:b w:val="1"/>
                <w:bCs w:val="1"/>
                <w:color w:val="auto"/>
                <w:w w:val="78"/>
              </w:rPr>
              <w:t>4</w:t>
            </w:r>
          </w:p>
        </w:tc>
        <w:tc>
          <w:tcPr>
            <w:tcW w:w="1200" w:type="dxa"/>
            <w:vAlign w:val="bottom"/>
            <w:vMerge w:val="restart"/>
          </w:tcPr>
          <w:p>
            <w:pPr>
              <w:ind w:left="440"/>
              <w:spacing w:after="0"/>
              <w:rPr>
                <w:sz w:val="20"/>
                <w:szCs w:val="20"/>
                <w:color w:val="auto"/>
              </w:rPr>
            </w:pPr>
            <w:r>
              <w:rPr>
                <w:rFonts w:ascii="Arial" w:cs="Arial" w:eastAsia="Arial" w:hAnsi="Arial"/>
                <w:sz w:val="18"/>
                <w:szCs w:val="18"/>
                <w:b w:val="1"/>
                <w:bCs w:val="1"/>
                <w:color w:val="auto"/>
                <w:w w:val="89"/>
              </w:rPr>
              <w:t>California</w:t>
            </w:r>
          </w:p>
        </w:tc>
        <w:tc>
          <w:tcPr>
            <w:tcW w:w="0" w:type="dxa"/>
            <w:vAlign w:val="bottom"/>
          </w:tcPr>
          <w:p>
            <w:pPr>
              <w:spacing w:after="0"/>
              <w:rPr>
                <w:sz w:val="1"/>
                <w:szCs w:val="1"/>
                <w:color w:val="auto"/>
              </w:rPr>
            </w:pPr>
          </w:p>
        </w:tc>
      </w:tr>
      <w:tr>
        <w:trPr>
          <w:trHeight w:val="52"/>
        </w:trPr>
        <w:tc>
          <w:tcPr>
            <w:tcW w:w="6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6320155"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20155" cy="10515600"/>
                    </a:xfrm>
                    <a:prstGeom prst="rect">
                      <a:avLst/>
                    </a:prstGeom>
                    <a:noFill/>
                  </pic:spPr>
                </pic:pic>
              </a:graphicData>
            </a:graphic>
          </wp:anchor>
        </w:drawing>
      </w:r>
    </w:p>
    <w:p>
      <w:pPr>
        <w:spacing w:after="0" w:line="352"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Sole Voting Power</w:t>
      </w:r>
    </w:p>
    <w:p>
      <w:pPr>
        <w:spacing w:after="0" w:line="219" w:lineRule="exact"/>
        <w:rPr>
          <w:sz w:val="20"/>
          <w:szCs w:val="20"/>
          <w:color w:val="auto"/>
        </w:rPr>
      </w:pPr>
    </w:p>
    <w:tbl>
      <w:tblPr>
        <w:tblLayout w:type="fixed"/>
        <w:tblInd w:w="260" w:type="dxa"/>
        <w:tblCellMar>
          <w:top w:w="0" w:type="dxa"/>
          <w:left w:w="0" w:type="dxa"/>
          <w:bottom w:w="0" w:type="dxa"/>
          <w:right w:w="0" w:type="dxa"/>
        </w:tblCellMar>
      </w:tblPr>
      <w:tr>
        <w:trPr>
          <w:trHeight w:val="228"/>
        </w:trPr>
        <w:tc>
          <w:tcPr>
            <w:tcW w:w="1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40" w:type="dxa"/>
            <w:vAlign w:val="bottom"/>
            <w:gridSpan w:val="2"/>
          </w:tcPr>
          <w:p>
            <w:pPr>
              <w:ind w:left="140"/>
              <w:spacing w:after="0"/>
              <w:rPr>
                <w:sz w:val="20"/>
                <w:szCs w:val="20"/>
                <w:color w:val="auto"/>
              </w:rPr>
            </w:pPr>
            <w:r>
              <w:rPr>
                <w:rFonts w:ascii="Arial" w:cs="Arial" w:eastAsia="Arial" w:hAnsi="Arial"/>
                <w:sz w:val="18"/>
                <w:szCs w:val="18"/>
                <w:b w:val="1"/>
                <w:bCs w:val="1"/>
                <w:color w:val="auto"/>
              </w:rPr>
              <w:t>271,775</w:t>
            </w:r>
          </w:p>
        </w:tc>
        <w:tc>
          <w:tcPr>
            <w:tcW w:w="0" w:type="dxa"/>
            <w:vAlign w:val="bottom"/>
          </w:tcPr>
          <w:p>
            <w:pPr>
              <w:spacing w:after="0"/>
              <w:rPr>
                <w:sz w:val="1"/>
                <w:szCs w:val="1"/>
                <w:color w:val="auto"/>
              </w:rPr>
            </w:pPr>
          </w:p>
        </w:tc>
      </w:tr>
      <w:tr>
        <w:trPr>
          <w:trHeight w:val="422"/>
        </w:trPr>
        <w:tc>
          <w:tcPr>
            <w:tcW w:w="1840" w:type="dxa"/>
            <w:vAlign w:val="bottom"/>
          </w:tcPr>
          <w:p>
            <w:pPr>
              <w:spacing w:after="0"/>
              <w:rPr>
                <w:sz w:val="24"/>
                <w:szCs w:val="24"/>
                <w:color w:val="auto"/>
              </w:rPr>
            </w:pPr>
          </w:p>
        </w:tc>
        <w:tc>
          <w:tcPr>
            <w:tcW w:w="580" w:type="dxa"/>
            <w:vAlign w:val="bottom"/>
          </w:tcPr>
          <w:p>
            <w:pPr>
              <w:jc w:val="right"/>
              <w:ind w:right="144"/>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72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1840" w:type="dxa"/>
            <w:vAlign w:val="bottom"/>
          </w:tcPr>
          <w:p>
            <w:pPr>
              <w:spacing w:after="0"/>
              <w:rPr>
                <w:sz w:val="24"/>
                <w:szCs w:val="24"/>
                <w:color w:val="auto"/>
              </w:rPr>
            </w:pPr>
          </w:p>
        </w:tc>
        <w:tc>
          <w:tcPr>
            <w:tcW w:w="580" w:type="dxa"/>
            <w:vAlign w:val="bottom"/>
            <w:vMerge w:val="restart"/>
          </w:tcPr>
          <w:p>
            <w:pPr>
              <w:jc w:val="right"/>
              <w:ind w:right="144"/>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4"/>
                <w:szCs w:val="24"/>
                <w:color w:val="auto"/>
              </w:rPr>
            </w:pPr>
          </w:p>
        </w:tc>
        <w:tc>
          <w:tcPr>
            <w:tcW w:w="72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66"/>
        </w:trPr>
        <w:tc>
          <w:tcPr>
            <w:tcW w:w="18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18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40" w:type="dxa"/>
            <w:vAlign w:val="bottom"/>
            <w:gridSpan w:val="2"/>
          </w:tcPr>
          <w:p>
            <w:pPr>
              <w:ind w:left="14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97"/>
        </w:trPr>
        <w:tc>
          <w:tcPr>
            <w:tcW w:w="18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1840" w:type="dxa"/>
            <w:vAlign w:val="bottom"/>
            <w:vMerge w:val="restart"/>
          </w:tcPr>
          <w:p>
            <w:pPr>
              <w:jc w:val="center"/>
              <w:ind w:right="132"/>
              <w:spacing w:after="0"/>
              <w:rPr>
                <w:sz w:val="20"/>
                <w:szCs w:val="20"/>
                <w:color w:val="auto"/>
              </w:rPr>
            </w:pPr>
            <w:r>
              <w:rPr>
                <w:rFonts w:ascii="Arial" w:cs="Arial" w:eastAsia="Arial" w:hAnsi="Arial"/>
                <w:sz w:val="18"/>
                <w:szCs w:val="18"/>
                <w:b w:val="1"/>
                <w:bCs w:val="1"/>
                <w:color w:val="auto"/>
                <w:w w:val="86"/>
              </w:rPr>
              <w:t>number of shares</w:t>
            </w:r>
          </w:p>
        </w:tc>
        <w:tc>
          <w:tcPr>
            <w:tcW w:w="580" w:type="dxa"/>
            <w:vAlign w:val="bottom"/>
            <w:vMerge w:val="restart"/>
          </w:tcPr>
          <w:p>
            <w:pPr>
              <w:jc w:val="right"/>
              <w:ind w:right="144"/>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24"/>
                <w:szCs w:val="24"/>
                <w:color w:val="auto"/>
              </w:rPr>
            </w:pPr>
          </w:p>
        </w:tc>
        <w:tc>
          <w:tcPr>
            <w:tcW w:w="72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7"/>
        </w:trPr>
        <w:tc>
          <w:tcPr>
            <w:tcW w:w="184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840" w:type="dxa"/>
            <w:vAlign w:val="bottom"/>
          </w:tcPr>
          <w:p>
            <w:pPr>
              <w:jc w:val="center"/>
              <w:ind w:right="132"/>
              <w:spacing w:after="0"/>
              <w:rPr>
                <w:sz w:val="20"/>
                <w:szCs w:val="20"/>
                <w:color w:val="auto"/>
              </w:rPr>
            </w:pPr>
            <w:r>
              <w:rPr>
                <w:rFonts w:ascii="Arial" w:cs="Arial" w:eastAsia="Arial" w:hAnsi="Arial"/>
                <w:sz w:val="18"/>
                <w:szCs w:val="18"/>
                <w:b w:val="1"/>
                <w:bCs w:val="1"/>
                <w:color w:val="auto"/>
                <w:w w:val="87"/>
              </w:rPr>
              <w:t>beneficially owned by</w:t>
            </w:r>
          </w:p>
        </w:tc>
        <w:tc>
          <w:tcPr>
            <w:tcW w:w="580" w:type="dxa"/>
            <w:vAlign w:val="bottom"/>
          </w:tcPr>
          <w:p>
            <w:pPr>
              <w:spacing w:after="0"/>
              <w:rPr>
                <w:sz w:val="18"/>
                <w:szCs w:val="18"/>
                <w:color w:val="auto"/>
              </w:rPr>
            </w:pPr>
          </w:p>
        </w:tc>
        <w:tc>
          <w:tcPr>
            <w:tcW w:w="7240" w:type="dxa"/>
            <w:vAlign w:val="bottom"/>
            <w:gridSpan w:val="2"/>
          </w:tcPr>
          <w:p>
            <w:pPr>
              <w:ind w:left="140"/>
              <w:spacing w:after="0"/>
              <w:rPr>
                <w:sz w:val="20"/>
                <w:szCs w:val="20"/>
                <w:color w:val="auto"/>
              </w:rPr>
            </w:pPr>
            <w:r>
              <w:rPr>
                <w:rFonts w:ascii="Arial" w:cs="Arial" w:eastAsia="Arial" w:hAnsi="Arial"/>
                <w:sz w:val="18"/>
                <w:szCs w:val="18"/>
                <w:b w:val="1"/>
                <w:bCs w:val="1"/>
                <w:color w:val="auto"/>
              </w:rPr>
              <w:t>271,775</w:t>
            </w:r>
          </w:p>
        </w:tc>
        <w:tc>
          <w:tcPr>
            <w:tcW w:w="0" w:type="dxa"/>
            <w:vAlign w:val="bottom"/>
          </w:tcPr>
          <w:p>
            <w:pPr>
              <w:spacing w:after="0"/>
              <w:rPr>
                <w:sz w:val="1"/>
                <w:szCs w:val="1"/>
                <w:color w:val="auto"/>
              </w:rPr>
            </w:pPr>
          </w:p>
        </w:tc>
      </w:tr>
      <w:tr>
        <w:trPr>
          <w:trHeight w:val="136"/>
        </w:trPr>
        <w:tc>
          <w:tcPr>
            <w:tcW w:w="1840" w:type="dxa"/>
            <w:vAlign w:val="bottom"/>
            <w:vMerge w:val="restart"/>
          </w:tcPr>
          <w:p>
            <w:pPr>
              <w:jc w:val="center"/>
              <w:ind w:right="112"/>
              <w:spacing w:after="0" w:line="157" w:lineRule="exact"/>
              <w:rPr>
                <w:sz w:val="20"/>
                <w:szCs w:val="20"/>
                <w:color w:val="auto"/>
              </w:rPr>
            </w:pPr>
            <w:r>
              <w:rPr>
                <w:rFonts w:ascii="Arial" w:cs="Arial" w:eastAsia="Arial" w:hAnsi="Arial"/>
                <w:sz w:val="18"/>
                <w:szCs w:val="18"/>
                <w:b w:val="1"/>
                <w:bCs w:val="1"/>
                <w:color w:val="auto"/>
                <w:w w:val="86"/>
              </w:rPr>
              <w:t>each reporting person</w:t>
            </w:r>
          </w:p>
        </w:tc>
        <w:tc>
          <w:tcPr>
            <w:tcW w:w="58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72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40" w:type="dxa"/>
            <w:vAlign w:val="bottom"/>
            <w:vMerge w:val="continue"/>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40" w:type="dxa"/>
            <w:vAlign w:val="bottom"/>
            <w:vMerge w:val="restart"/>
          </w:tcPr>
          <w:p>
            <w:pPr>
              <w:jc w:val="center"/>
              <w:ind w:right="132"/>
              <w:spacing w:after="0"/>
              <w:rPr>
                <w:sz w:val="20"/>
                <w:szCs w:val="20"/>
                <w:color w:val="auto"/>
              </w:rPr>
            </w:pPr>
            <w:r>
              <w:rPr>
                <w:rFonts w:ascii="Arial" w:cs="Arial" w:eastAsia="Arial" w:hAnsi="Arial"/>
                <w:sz w:val="18"/>
                <w:szCs w:val="18"/>
                <w:b w:val="1"/>
                <w:bCs w:val="1"/>
                <w:color w:val="auto"/>
                <w:w w:val="94"/>
              </w:rPr>
              <w:t>with</w:t>
            </w:r>
          </w:p>
        </w:tc>
        <w:tc>
          <w:tcPr>
            <w:tcW w:w="580" w:type="dxa"/>
            <w:vAlign w:val="bottom"/>
          </w:tcPr>
          <w:p>
            <w:pPr>
              <w:jc w:val="right"/>
              <w:ind w:right="144"/>
              <w:spacing w:after="0" w:line="237" w:lineRule="exact"/>
              <w:rPr>
                <w:sz w:val="20"/>
                <w:szCs w:val="20"/>
                <w:color w:val="auto"/>
              </w:rPr>
            </w:pPr>
            <w:r>
              <w:rPr>
                <w:rFonts w:ascii="Arial" w:cs="Arial" w:eastAsia="Arial" w:hAnsi="Arial"/>
                <w:sz w:val="27"/>
                <w:szCs w:val="27"/>
                <w:b w:val="1"/>
                <w:bCs w:val="1"/>
                <w:color w:val="auto"/>
              </w:rPr>
              <w:t>8</w:t>
            </w:r>
          </w:p>
        </w:tc>
        <w:tc>
          <w:tcPr>
            <w:tcW w:w="20" w:type="dxa"/>
            <w:vAlign w:val="bottom"/>
          </w:tcPr>
          <w:p>
            <w:pPr>
              <w:spacing w:after="0"/>
              <w:rPr>
                <w:sz w:val="20"/>
                <w:szCs w:val="20"/>
                <w:color w:val="auto"/>
              </w:rPr>
            </w:pPr>
          </w:p>
        </w:tc>
        <w:tc>
          <w:tcPr>
            <w:tcW w:w="72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52"/>
        </w:trPr>
        <w:tc>
          <w:tcPr>
            <w:tcW w:w="18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40" w:type="dxa"/>
            <w:vAlign w:val="bottom"/>
            <w:gridSpan w:val="2"/>
          </w:tcPr>
          <w:p>
            <w:pPr>
              <w:ind w:left="14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bl>
    <w:p>
      <w:pPr>
        <w:ind w:left="1220" w:hanging="1057"/>
        <w:spacing w:after="0" w:line="182" w:lineRule="auto"/>
        <w:tabs>
          <w:tab w:leader="none" w:pos="1220" w:val="left"/>
        </w:tabs>
        <w:numPr>
          <w:ilvl w:val="0"/>
          <w:numId w:val="5"/>
        </w:numPr>
        <w:rPr>
          <w:rFonts w:ascii="Arial" w:cs="Arial" w:eastAsia="Arial" w:hAnsi="Arial"/>
          <w:sz w:val="51"/>
          <w:szCs w:val="51"/>
          <w:b w:val="1"/>
          <w:bCs w:val="1"/>
          <w:color w:val="auto"/>
          <w:vertAlign w:val="subscript"/>
        </w:rPr>
      </w:pPr>
      <w:r>
        <w:rPr>
          <w:rFonts w:ascii="Arial" w:cs="Arial" w:eastAsia="Arial" w:hAnsi="Arial"/>
          <w:sz w:val="16"/>
          <w:szCs w:val="16"/>
          <w:color w:val="auto"/>
        </w:rPr>
        <w:t>Aggregate Amount Beneficially Owned by Each Reporting Person</w:t>
      </w:r>
    </w:p>
    <w:p>
      <w:pPr>
        <w:spacing w:after="0" w:line="204" w:lineRule="exact"/>
        <w:rPr>
          <w:rFonts w:ascii="Arial" w:cs="Arial" w:eastAsia="Arial" w:hAnsi="Arial"/>
          <w:sz w:val="51"/>
          <w:szCs w:val="51"/>
          <w:b w:val="1"/>
          <w:bCs w:val="1"/>
          <w:color w:val="auto"/>
          <w:vertAlign w:val="subscript"/>
        </w:rPr>
      </w:pPr>
    </w:p>
    <w:p>
      <w:pPr>
        <w:ind w:left="1220"/>
        <w:spacing w:after="0"/>
        <w:rPr>
          <w:rFonts w:ascii="Arial" w:cs="Arial" w:eastAsia="Arial" w:hAnsi="Arial"/>
          <w:sz w:val="51"/>
          <w:szCs w:val="51"/>
          <w:b w:val="1"/>
          <w:bCs w:val="1"/>
          <w:color w:val="auto"/>
          <w:vertAlign w:val="subscript"/>
        </w:rPr>
      </w:pPr>
      <w:r>
        <w:rPr>
          <w:rFonts w:ascii="Arial" w:cs="Arial" w:eastAsia="Arial" w:hAnsi="Arial"/>
          <w:sz w:val="18"/>
          <w:szCs w:val="18"/>
          <w:b w:val="1"/>
          <w:bCs w:val="1"/>
          <w:color w:val="auto"/>
        </w:rPr>
        <w:t>271,775</w:t>
      </w:r>
    </w:p>
    <w:p>
      <w:pPr>
        <w:spacing w:after="0" w:line="47" w:lineRule="exact"/>
        <w:rPr>
          <w:sz w:val="20"/>
          <w:szCs w:val="20"/>
          <w:color w:val="auto"/>
        </w:rPr>
      </w:pPr>
    </w:p>
    <w:tbl>
      <w:tblPr>
        <w:tblLayout w:type="fixed"/>
        <w:tblInd w:w="60" w:type="dxa"/>
        <w:tblCellMar>
          <w:top w:w="0" w:type="dxa"/>
          <w:left w:w="0" w:type="dxa"/>
          <w:bottom w:w="0" w:type="dxa"/>
          <w:right w:w="0" w:type="dxa"/>
        </w:tblCellMar>
      </w:tblPr>
      <w:tr>
        <w:trPr>
          <w:trHeight w:val="368"/>
        </w:trPr>
        <w:tc>
          <w:tcPr>
            <w:tcW w:w="1040" w:type="dxa"/>
            <w:vAlign w:val="bottom"/>
          </w:tcPr>
          <w:p>
            <w:pPr>
              <w:ind w:left="100"/>
              <w:spacing w:after="0"/>
              <w:rPr>
                <w:sz w:val="20"/>
                <w:szCs w:val="20"/>
                <w:color w:val="auto"/>
              </w:rPr>
            </w:pPr>
            <w:r>
              <w:rPr>
                <w:rFonts w:ascii="Arial" w:cs="Arial" w:eastAsia="Arial" w:hAnsi="Arial"/>
                <w:sz w:val="32"/>
                <w:szCs w:val="32"/>
                <w:b w:val="1"/>
                <w:bCs w:val="1"/>
                <w:color w:val="auto"/>
              </w:rPr>
              <w:t>10</w:t>
            </w:r>
          </w:p>
        </w:tc>
        <w:tc>
          <w:tcPr>
            <w:tcW w:w="8820" w:type="dxa"/>
            <w:vAlign w:val="bottom"/>
            <w:vMerge w:val="restart"/>
          </w:tcPr>
          <w:p>
            <w:pPr>
              <w:ind w:left="12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8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040" w:type="dxa"/>
            <w:vAlign w:val="bottom"/>
            <w:tcBorders>
              <w:bottom w:val="single" w:sz="8" w:color="808080"/>
            </w:tcBorders>
          </w:tcPr>
          <w:p>
            <w:pPr>
              <w:spacing w:after="0"/>
              <w:rPr>
                <w:sz w:val="21"/>
                <w:szCs w:val="21"/>
                <w:color w:val="auto"/>
              </w:rPr>
            </w:pPr>
          </w:p>
        </w:tc>
        <w:tc>
          <w:tcPr>
            <w:tcW w:w="88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Borders>
              <w:bottom w:val="single" w:sz="8" w:color="2C2C2C"/>
            </w:tcBorders>
          </w:tcPr>
          <w:p>
            <w:pPr>
              <w:spacing w:after="0" w:line="20" w:lineRule="exact"/>
              <w:rPr>
                <w:sz w:val="1"/>
                <w:szCs w:val="1"/>
                <w:color w:val="auto"/>
              </w:rPr>
            </w:pPr>
          </w:p>
        </w:tc>
        <w:tc>
          <w:tcPr>
            <w:tcW w:w="88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ind w:left="100"/>
              <w:spacing w:after="0" w:line="237" w:lineRule="exact"/>
              <w:rPr>
                <w:sz w:val="20"/>
                <w:szCs w:val="20"/>
                <w:color w:val="auto"/>
              </w:rPr>
            </w:pPr>
            <w:r>
              <w:rPr>
                <w:rFonts w:ascii="Arial" w:cs="Arial" w:eastAsia="Arial" w:hAnsi="Arial"/>
                <w:sz w:val="27"/>
                <w:szCs w:val="27"/>
                <w:b w:val="1"/>
                <w:bCs w:val="1"/>
                <w:color w:val="auto"/>
              </w:rPr>
              <w:t>11</w:t>
            </w:r>
          </w:p>
        </w:tc>
        <w:tc>
          <w:tcPr>
            <w:tcW w:w="8820" w:type="dxa"/>
            <w:vAlign w:val="bottom"/>
            <w:vMerge w:val="restart"/>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8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8820" w:type="dxa"/>
            <w:vAlign w:val="bottom"/>
          </w:tcPr>
          <w:p>
            <w:pPr>
              <w:ind w:left="120"/>
              <w:spacing w:after="0"/>
              <w:rPr>
                <w:sz w:val="20"/>
                <w:szCs w:val="20"/>
                <w:color w:val="auto"/>
              </w:rPr>
            </w:pPr>
            <w:r>
              <w:rPr>
                <w:rFonts w:ascii="Arial" w:cs="Arial" w:eastAsia="Arial" w:hAnsi="Arial"/>
                <w:sz w:val="18"/>
                <w:szCs w:val="18"/>
                <w:b w:val="1"/>
                <w:bCs w:val="1"/>
                <w:color w:val="auto"/>
              </w:rPr>
              <w:t>0.79%</w:t>
            </w:r>
          </w:p>
        </w:tc>
        <w:tc>
          <w:tcPr>
            <w:tcW w:w="0" w:type="dxa"/>
            <w:vAlign w:val="bottom"/>
          </w:tcPr>
          <w:p>
            <w:pPr>
              <w:spacing w:after="0"/>
              <w:rPr>
                <w:sz w:val="1"/>
                <w:szCs w:val="1"/>
                <w:color w:val="auto"/>
              </w:rPr>
            </w:pPr>
          </w:p>
        </w:tc>
      </w:tr>
      <w:tr>
        <w:trPr>
          <w:trHeight w:val="97"/>
        </w:trPr>
        <w:tc>
          <w:tcPr>
            <w:tcW w:w="1040" w:type="dxa"/>
            <w:vAlign w:val="bottom"/>
            <w:tcBorders>
              <w:bottom w:val="single" w:sz="8" w:color="808080"/>
            </w:tcBorders>
          </w:tcPr>
          <w:p>
            <w:pPr>
              <w:spacing w:after="0"/>
              <w:rPr>
                <w:sz w:val="8"/>
                <w:szCs w:val="8"/>
                <w:color w:val="auto"/>
              </w:rPr>
            </w:pPr>
          </w:p>
        </w:tc>
        <w:tc>
          <w:tcPr>
            <w:tcW w:w="8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040" w:type="dxa"/>
            <w:vAlign w:val="bottom"/>
            <w:tcBorders>
              <w:bottom w:val="single" w:sz="8" w:color="2C2C2C"/>
            </w:tcBorders>
          </w:tcPr>
          <w:p>
            <w:pPr>
              <w:spacing w:after="0" w:line="20" w:lineRule="exact"/>
              <w:rPr>
                <w:sz w:val="1"/>
                <w:szCs w:val="1"/>
                <w:color w:val="auto"/>
              </w:rPr>
            </w:pPr>
          </w:p>
        </w:tc>
        <w:tc>
          <w:tcPr>
            <w:tcW w:w="88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ind w:left="100"/>
              <w:spacing w:after="0" w:line="237" w:lineRule="exact"/>
              <w:rPr>
                <w:sz w:val="20"/>
                <w:szCs w:val="20"/>
                <w:color w:val="auto"/>
              </w:rPr>
            </w:pPr>
            <w:r>
              <w:rPr>
                <w:rFonts w:ascii="Arial" w:cs="Arial" w:eastAsia="Arial" w:hAnsi="Arial"/>
                <w:sz w:val="27"/>
                <w:szCs w:val="27"/>
                <w:b w:val="1"/>
                <w:bCs w:val="1"/>
                <w:color w:val="auto"/>
              </w:rPr>
              <w:t>12</w:t>
            </w:r>
          </w:p>
        </w:tc>
        <w:tc>
          <w:tcPr>
            <w:tcW w:w="8820" w:type="dxa"/>
            <w:vAlign w:val="bottom"/>
            <w:vMerge w:val="restart"/>
          </w:tcPr>
          <w:p>
            <w:pPr>
              <w:ind w:left="12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8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8820" w:type="dxa"/>
            <w:vAlign w:val="bottom"/>
          </w:tcPr>
          <w:p>
            <w:pPr>
              <w:ind w:left="120"/>
              <w:spacing w:after="0"/>
              <w:rPr>
                <w:sz w:val="20"/>
                <w:szCs w:val="20"/>
                <w:color w:val="auto"/>
              </w:rPr>
            </w:pPr>
            <w:r>
              <w:rPr>
                <w:rFonts w:ascii="Arial" w:cs="Arial" w:eastAsia="Arial" w:hAnsi="Arial"/>
                <w:sz w:val="18"/>
                <w:szCs w:val="18"/>
                <w:b w:val="1"/>
                <w:bCs w:val="1"/>
                <w:color w:val="auto"/>
              </w:rPr>
              <w:t>PN, IA</w:t>
            </w: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sz w:val="1"/>
          <w:szCs w:val="1"/>
          <w:color w:val="auto"/>
        </w:rPr>
        <w:drawing>
          <wp:inline distT="0" distB="0" distL="0" distR="0">
            <wp:extent cx="51435" cy="3511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351155"/>
                    </a:xfrm>
                    <a:prstGeom prst="rect">
                      <a:avLst/>
                    </a:prstGeom>
                    <a:noFill/>
                    <a:ln>
                      <a:noFill/>
                    </a:ln>
                  </pic:spPr>
                </pic:pic>
              </a:graphicData>
            </a:graphic>
          </wp:inline>
        </w:drawing>
      </w:r>
      <w:r>
        <w:rPr>
          <w:rFonts w:ascii="Arial" w:cs="Arial" w:eastAsia="Arial" w:hAnsi="Arial"/>
          <w:sz w:val="22"/>
          <w:szCs w:val="22"/>
          <w:b w:val="1"/>
          <w:bCs w:val="1"/>
          <w:color w:val="auto"/>
        </w:rPr>
        <w:t xml:space="preserve"> CUSIP No. 148711104</w:t>
      </w:r>
    </w:p>
    <w:p>
      <w:pPr>
        <w:spacing w:after="0" w:line="10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Name of Reporting Persons.</w:t>
      </w:r>
    </w:p>
    <w:p>
      <w:pPr>
        <w:spacing w:after="0" w:line="18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I.R.S. Identification Nos. of above persons (entities only).</w:t>
      </w:r>
    </w:p>
    <w:p>
      <w:pPr>
        <w:spacing w:after="0" w:line="39" w:lineRule="exact"/>
        <w:rPr>
          <w:sz w:val="20"/>
          <w:szCs w:val="20"/>
          <w:color w:val="auto"/>
        </w:rPr>
      </w:pPr>
    </w:p>
    <w:p>
      <w:pPr>
        <w:ind w:left="1220" w:hanging="1057"/>
        <w:spacing w:after="0"/>
        <w:tabs>
          <w:tab w:leader="none" w:pos="1220" w:val="left"/>
        </w:tabs>
        <w:numPr>
          <w:ilvl w:val="0"/>
          <w:numId w:val="6"/>
        </w:numPr>
        <w:rPr>
          <w:rFonts w:ascii="Arial" w:cs="Arial" w:eastAsia="Arial" w:hAnsi="Arial"/>
          <w:sz w:val="32"/>
          <w:szCs w:val="32"/>
          <w:b w:val="1"/>
          <w:bCs w:val="1"/>
          <w:color w:val="auto"/>
        </w:rPr>
      </w:pPr>
      <w:r>
        <w:rPr>
          <w:rFonts w:ascii="Arial" w:cs="Arial" w:eastAsia="Arial" w:hAnsi="Arial"/>
          <w:sz w:val="18"/>
          <w:szCs w:val="18"/>
          <w:color w:val="auto"/>
        </w:rPr>
        <w:t>Frank J. Husic &amp; Co.</w:t>
      </w:r>
    </w:p>
    <w:p>
      <w:pPr>
        <w:spacing w:after="0" w:line="27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Check the Appropriate Box if a Member of a Group (See Instructions)</w:t>
      </w:r>
    </w:p>
    <w:p>
      <w:pPr>
        <w:spacing w:after="0" w:line="18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w:t>
      </w:r>
    </w:p>
    <w:p>
      <w:pPr>
        <w:spacing w:after="0" w:line="39" w:lineRule="exact"/>
        <w:rPr>
          <w:sz w:val="20"/>
          <w:szCs w:val="20"/>
          <w:color w:val="auto"/>
        </w:rPr>
      </w:pPr>
    </w:p>
    <w:p>
      <w:pPr>
        <w:ind w:left="1220" w:hanging="1057"/>
        <w:spacing w:after="0"/>
        <w:tabs>
          <w:tab w:leader="none" w:pos="1220" w:val="left"/>
        </w:tabs>
        <w:numPr>
          <w:ilvl w:val="0"/>
          <w:numId w:val="7"/>
        </w:numPr>
        <w:rPr>
          <w:rFonts w:ascii="Arial" w:cs="Arial" w:eastAsia="Arial" w:hAnsi="Arial"/>
          <w:sz w:val="32"/>
          <w:szCs w:val="32"/>
          <w:b w:val="1"/>
          <w:bCs w:val="1"/>
          <w:color w:val="auto"/>
        </w:rPr>
      </w:pPr>
      <w:r>
        <w:rPr>
          <w:rFonts w:ascii="Arial" w:cs="Arial" w:eastAsia="Arial" w:hAnsi="Arial"/>
          <w:sz w:val="18"/>
          <w:szCs w:val="18"/>
          <w:color w:val="auto"/>
        </w:rPr>
        <w:t>(b)</w:t>
      </w:r>
    </w:p>
    <w:p>
      <w:pPr>
        <w:spacing w:after="0" w:line="277" w:lineRule="exact"/>
        <w:rPr>
          <w:rFonts w:ascii="Arial" w:cs="Arial" w:eastAsia="Arial" w:hAnsi="Arial"/>
          <w:sz w:val="32"/>
          <w:szCs w:val="32"/>
          <w:b w:val="1"/>
          <w:bCs w:val="1"/>
          <w:color w:val="auto"/>
        </w:rPr>
      </w:pPr>
    </w:p>
    <w:p>
      <w:pPr>
        <w:ind w:left="1220"/>
        <w:spacing w:after="0"/>
        <w:rPr>
          <w:rFonts w:ascii="Arial" w:cs="Arial" w:eastAsia="Arial" w:hAnsi="Arial"/>
          <w:sz w:val="32"/>
          <w:szCs w:val="32"/>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49"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3</w:t>
      </w:r>
    </w:p>
    <w:p>
      <w:pPr>
        <w:spacing w:after="0" w:line="25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Citizenship or Place of Organization</w:t>
      </w:r>
    </w:p>
    <w:p>
      <w:pPr>
        <w:spacing w:after="0" w:line="179"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California</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4</w:t>
      </w:r>
    </w:p>
    <w:p>
      <w:pPr>
        <w:spacing w:after="0" w:line="25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Sole Voting Power</w:t>
      </w:r>
    </w:p>
    <w:p>
      <w:pPr>
        <w:spacing w:after="0" w:line="21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271,775</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32"/>
          <w:szCs w:val="32"/>
          <w:b w:val="1"/>
          <w:bCs w:val="1"/>
          <w:color w:val="auto"/>
        </w:rPr>
        <w:t>5</w:t>
      </w:r>
    </w:p>
    <w:p>
      <w:pPr>
        <w:sectPr>
          <w:pgSz w:w="11900" w:h="16932" w:orient="portrait"/>
          <w:cols w:equalWidth="0" w:num="1">
            <w:col w:w="10239"/>
          </w:cols>
          <w:pgMar w:left="220" w:top="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number of shares</w:t>
      </w:r>
    </w:p>
    <w:p>
      <w:pPr>
        <w:spacing w:after="0" w:line="21" w:lineRule="exact"/>
        <w:rPr>
          <w:sz w:val="20"/>
          <w:szCs w:val="20"/>
          <w:color w:val="auto"/>
        </w:rPr>
      </w:pPr>
    </w:p>
    <w:p>
      <w:pPr>
        <w:jc w:val="center"/>
        <w:ind w:left="260"/>
        <w:spacing w:after="0"/>
        <w:rPr>
          <w:sz w:val="20"/>
          <w:szCs w:val="20"/>
          <w:color w:val="auto"/>
        </w:rPr>
      </w:pPr>
      <w:r>
        <w:rPr>
          <w:rFonts w:ascii="Arial" w:cs="Arial" w:eastAsia="Arial" w:hAnsi="Arial"/>
          <w:sz w:val="15"/>
          <w:szCs w:val="15"/>
          <w:b w:val="1"/>
          <w:bCs w:val="1"/>
          <w:color w:val="auto"/>
        </w:rPr>
        <w:t>beneficially owned by</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right"/>
        <w:spacing w:after="0"/>
        <w:rPr>
          <w:sz w:val="20"/>
          <w:szCs w:val="20"/>
          <w:color w:val="auto"/>
        </w:rPr>
      </w:pPr>
      <w:r>
        <w:rPr>
          <w:sz w:val="1"/>
          <w:szCs w:val="1"/>
          <w:color w:val="auto"/>
        </w:rPr>
        <w:drawing>
          <wp:inline distT="0" distB="0" distL="0" distR="0">
            <wp:extent cx="34290" cy="5740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74040"/>
                    </a:xfrm>
                    <a:prstGeom prst="rect">
                      <a:avLst/>
                    </a:prstGeom>
                    <a:noFill/>
                    <a:ln>
                      <a:noFill/>
                    </a:ln>
                  </pic:spPr>
                </pic:pic>
              </a:graphicData>
            </a:graphic>
          </wp:inline>
        </w:drawing>
      </w:r>
      <w:r>
        <w:rPr>
          <w:rFonts w:ascii="Arial" w:cs="Arial" w:eastAsia="Arial" w:hAnsi="Arial"/>
          <w:sz w:val="24"/>
          <w:szCs w:val="24"/>
          <w:b w:val="1"/>
          <w:bCs w:val="1"/>
          <w:color w:val="auto"/>
        </w:rPr>
        <w:t xml:space="preserve"> 6</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32"/>
          <w:szCs w:val="32"/>
          <w:b w:val="1"/>
          <w:bCs w:val="1"/>
          <w:color w:val="auto"/>
        </w:rPr>
        <w:t>7</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Shared Voting Power</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0</w:t>
      </w:r>
    </w:p>
    <w:p>
      <w:pPr>
        <w:spacing w:after="0" w:line="24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Sole Dispositive Power</w:t>
      </w:r>
    </w:p>
    <w:p>
      <w:pPr>
        <w:spacing w:after="0" w:line="24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271,775</w:t>
      </w:r>
    </w:p>
    <w:p>
      <w:pPr>
        <w:spacing w:after="0" w:line="125" w:lineRule="exact"/>
        <w:rPr>
          <w:sz w:val="20"/>
          <w:szCs w:val="20"/>
          <w:color w:val="auto"/>
        </w:rPr>
      </w:pPr>
    </w:p>
    <w:p>
      <w:pPr>
        <w:spacing w:after="0"/>
        <w:rPr>
          <w:sz w:val="20"/>
          <w:szCs w:val="20"/>
          <w:color w:val="auto"/>
        </w:rPr>
      </w:pPr>
      <w:r>
        <w:rPr>
          <w:sz w:val="1"/>
          <w:szCs w:val="1"/>
          <w:color w:val="auto"/>
        </w:rPr>
        <w:drawing>
          <wp:inline distT="0" distB="0" distL="0" distR="0">
            <wp:extent cx="51435" cy="1428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 cy="142875"/>
                    </a:xfrm>
                    <a:prstGeom prst="rect">
                      <a:avLst/>
                    </a:prstGeom>
                    <a:noFill/>
                    <a:ln>
                      <a:noFill/>
                    </a:ln>
                  </pic:spPr>
                </pic:pic>
              </a:graphicData>
            </a:graphic>
          </wp:inline>
        </w:drawing>
      </w:r>
      <w:r>
        <w:rPr>
          <w:rFonts w:ascii="Arial" w:cs="Arial" w:eastAsia="Arial" w:hAnsi="Arial"/>
          <w:sz w:val="15"/>
          <w:szCs w:val="15"/>
          <w:color w:val="auto"/>
        </w:rPr>
        <w:t xml:space="preserve"> Shared Dispositive Power</w:t>
      </w:r>
    </w:p>
    <w:p>
      <w:pPr>
        <w:sectPr>
          <w:pgSz w:w="11900" w:h="16932" w:orient="portrait"/>
          <w:cols w:equalWidth="0" w:num="3">
            <w:col w:w="1880" w:space="200"/>
            <w:col w:w="300" w:space="280"/>
            <w:col w:w="7579"/>
          </w:cols>
          <w:pgMar w:left="220" w:top="0" w:right="1440" w:bottom="0" w:gutter="0" w:footer="0" w:header="0"/>
          <w:type w:val="continuous"/>
        </w:sectPr>
      </w:pPr>
    </w:p>
    <w:bookmarkStart w:id="2" w:name="page3"/>
    <w:bookmarkEnd w:id="2"/>
    <w:p>
      <w:pPr>
        <w:spacing w:after="0" w:line="62" w:lineRule="exact"/>
        <w:rPr>
          <w:sz w:val="20"/>
          <w:szCs w:val="20"/>
          <w:color w:val="auto"/>
        </w:rPr>
      </w:pPr>
    </w:p>
    <w:tbl>
      <w:tblPr>
        <w:tblLayout w:type="fixed"/>
        <w:tblInd w:w="260" w:type="dxa"/>
        <w:tblCellMar>
          <w:top w:w="0" w:type="dxa"/>
          <w:left w:w="0" w:type="dxa"/>
          <w:bottom w:w="0" w:type="dxa"/>
          <w:right w:w="0" w:type="dxa"/>
        </w:tblCellMar>
      </w:tblPr>
      <w:tr>
        <w:trPr>
          <w:trHeight w:val="342"/>
        </w:trPr>
        <w:tc>
          <w:tcPr>
            <w:tcW w:w="1800" w:type="dxa"/>
            <w:vAlign w:val="bottom"/>
          </w:tcPr>
          <w:p>
            <w:pPr>
              <w:jc w:val="center"/>
              <w:ind w:right="72"/>
              <w:spacing w:after="0"/>
              <w:rPr>
                <w:sz w:val="20"/>
                <w:szCs w:val="20"/>
                <w:color w:val="auto"/>
              </w:rPr>
            </w:pPr>
            <w:r>
              <w:rPr>
                <w:rFonts w:ascii="Arial" w:cs="Arial" w:eastAsia="Arial" w:hAnsi="Arial"/>
                <w:sz w:val="18"/>
                <w:szCs w:val="18"/>
                <w:b w:val="1"/>
                <w:bCs w:val="1"/>
                <w:color w:val="auto"/>
                <w:w w:val="86"/>
              </w:rPr>
              <w:t>each reporting person</w:t>
            </w:r>
          </w:p>
        </w:tc>
        <w:tc>
          <w:tcPr>
            <w:tcW w:w="320" w:type="dxa"/>
            <w:vAlign w:val="bottom"/>
          </w:tcPr>
          <w:p>
            <w:pPr>
              <w:jc w:val="right"/>
              <w:spacing w:after="0" w:line="341" w:lineRule="exact"/>
              <w:rPr>
                <w:sz w:val="20"/>
                <w:szCs w:val="20"/>
                <w:color w:val="auto"/>
              </w:rPr>
            </w:pPr>
            <w:r>
              <w:rPr>
                <w:rFonts w:ascii="Arial" w:cs="Arial" w:eastAsia="Arial" w:hAnsi="Arial"/>
                <w:sz w:val="32"/>
                <w:szCs w:val="32"/>
                <w:b w:val="1"/>
                <w:bCs w:val="1"/>
                <w:color w:val="auto"/>
              </w:rPr>
              <w:t>8</w:t>
            </w:r>
          </w:p>
        </w:tc>
      </w:tr>
      <w:tr>
        <w:trPr>
          <w:trHeight w:val="228"/>
        </w:trPr>
        <w:tc>
          <w:tcPr>
            <w:tcW w:w="1800" w:type="dxa"/>
            <w:vAlign w:val="bottom"/>
          </w:tcPr>
          <w:p>
            <w:pPr>
              <w:jc w:val="center"/>
              <w:ind w:right="92"/>
              <w:spacing w:after="0"/>
              <w:rPr>
                <w:sz w:val="20"/>
                <w:szCs w:val="20"/>
                <w:color w:val="auto"/>
              </w:rPr>
            </w:pPr>
            <w:r>
              <w:rPr>
                <w:rFonts w:ascii="Arial" w:cs="Arial" w:eastAsia="Arial" w:hAnsi="Arial"/>
                <w:sz w:val="18"/>
                <w:szCs w:val="18"/>
                <w:b w:val="1"/>
                <w:bCs w:val="1"/>
                <w:color w:val="auto"/>
                <w:w w:val="94"/>
              </w:rPr>
              <w:t>with</w:t>
            </w:r>
          </w:p>
        </w:tc>
        <w:tc>
          <w:tcPr>
            <w:tcW w:w="3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6320155"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20155" cy="10515600"/>
                    </a:xfrm>
                    <a:prstGeom prst="rect">
                      <a:avLst/>
                    </a:prstGeom>
                    <a:noFill/>
                  </pic:spPr>
                </pic:pic>
              </a:graphicData>
            </a:graphic>
          </wp:anchor>
        </w:drawing>
      </w:r>
    </w:p>
    <w:p>
      <w:pPr>
        <w:ind w:left="2820"/>
        <w:spacing w:after="0"/>
        <w:rPr>
          <w:sz w:val="20"/>
          <w:szCs w:val="20"/>
          <w:color w:val="auto"/>
        </w:rPr>
      </w:pPr>
      <w:r>
        <w:rPr>
          <w:rFonts w:ascii="Arial" w:cs="Arial" w:eastAsia="Arial" w:hAnsi="Arial"/>
          <w:sz w:val="18"/>
          <w:szCs w:val="18"/>
          <w:color w:val="auto"/>
        </w:rPr>
        <w:t>0</w:t>
      </w:r>
    </w:p>
    <w:p>
      <w:pPr>
        <w:ind w:left="1220" w:hanging="1057"/>
        <w:spacing w:after="0" w:line="215" w:lineRule="auto"/>
        <w:tabs>
          <w:tab w:leader="none" w:pos="1220" w:val="left"/>
        </w:tabs>
        <w:numPr>
          <w:ilvl w:val="0"/>
          <w:numId w:val="8"/>
        </w:numPr>
        <w:rPr>
          <w:rFonts w:ascii="Arial" w:cs="Arial" w:eastAsia="Arial" w:hAnsi="Arial"/>
          <w:sz w:val="65"/>
          <w:szCs w:val="65"/>
          <w:b w:val="1"/>
          <w:bCs w:val="1"/>
          <w:color w:val="auto"/>
          <w:vertAlign w:val="subscript"/>
        </w:rPr>
      </w:pPr>
      <w:r>
        <w:rPr>
          <w:rFonts w:ascii="Arial" w:cs="Arial" w:eastAsia="Arial" w:hAnsi="Arial"/>
          <w:sz w:val="18"/>
          <w:szCs w:val="18"/>
          <w:color w:val="auto"/>
        </w:rPr>
        <w:t>Aggregate Amount Beneficially Owned by Each Reporting Person</w:t>
      </w:r>
    </w:p>
    <w:p>
      <w:pPr>
        <w:spacing w:after="0" w:line="205" w:lineRule="exact"/>
        <w:rPr>
          <w:rFonts w:ascii="Arial" w:cs="Arial" w:eastAsia="Arial" w:hAnsi="Arial"/>
          <w:sz w:val="65"/>
          <w:szCs w:val="65"/>
          <w:b w:val="1"/>
          <w:bCs w:val="1"/>
          <w:color w:val="auto"/>
          <w:vertAlign w:val="subscript"/>
        </w:rPr>
      </w:pPr>
    </w:p>
    <w:p>
      <w:pPr>
        <w:ind w:left="1220"/>
        <w:spacing w:after="0"/>
        <w:rPr>
          <w:rFonts w:ascii="Arial" w:cs="Arial" w:eastAsia="Arial" w:hAnsi="Arial"/>
          <w:sz w:val="65"/>
          <w:szCs w:val="65"/>
          <w:b w:val="1"/>
          <w:bCs w:val="1"/>
          <w:color w:val="auto"/>
          <w:vertAlign w:val="subscript"/>
        </w:rPr>
      </w:pPr>
      <w:r>
        <w:rPr>
          <w:rFonts w:ascii="Arial" w:cs="Arial" w:eastAsia="Arial" w:hAnsi="Arial"/>
          <w:sz w:val="18"/>
          <w:szCs w:val="18"/>
          <w:b w:val="1"/>
          <w:bCs w:val="1"/>
          <w:color w:val="auto"/>
        </w:rPr>
        <w:t>271,775</w:t>
      </w:r>
    </w:p>
    <w:p>
      <w:pPr>
        <w:spacing w:after="0" w:line="47" w:lineRule="exact"/>
        <w:rPr>
          <w:sz w:val="20"/>
          <w:szCs w:val="20"/>
          <w:color w:val="auto"/>
        </w:rPr>
      </w:pPr>
    </w:p>
    <w:tbl>
      <w:tblPr>
        <w:tblLayout w:type="fixed"/>
        <w:tblInd w:w="60" w:type="dxa"/>
        <w:tblCellMar>
          <w:top w:w="0" w:type="dxa"/>
          <w:left w:w="0" w:type="dxa"/>
          <w:bottom w:w="0" w:type="dxa"/>
          <w:right w:w="0" w:type="dxa"/>
        </w:tblCellMar>
      </w:tblPr>
      <w:tr>
        <w:trPr>
          <w:trHeight w:val="368"/>
        </w:trPr>
        <w:tc>
          <w:tcPr>
            <w:tcW w:w="1040" w:type="dxa"/>
            <w:vAlign w:val="bottom"/>
          </w:tcPr>
          <w:p>
            <w:pPr>
              <w:ind w:left="100"/>
              <w:spacing w:after="0"/>
              <w:rPr>
                <w:sz w:val="20"/>
                <w:szCs w:val="20"/>
                <w:color w:val="auto"/>
              </w:rPr>
            </w:pPr>
            <w:r>
              <w:rPr>
                <w:rFonts w:ascii="Arial" w:cs="Arial" w:eastAsia="Arial" w:hAnsi="Arial"/>
                <w:sz w:val="32"/>
                <w:szCs w:val="32"/>
                <w:b w:val="1"/>
                <w:bCs w:val="1"/>
                <w:color w:val="auto"/>
              </w:rPr>
              <w:t>10</w:t>
            </w:r>
          </w:p>
        </w:tc>
        <w:tc>
          <w:tcPr>
            <w:tcW w:w="6220" w:type="dxa"/>
            <w:vAlign w:val="bottom"/>
            <w:vMerge w:val="restart"/>
          </w:tcPr>
          <w:p>
            <w:pPr>
              <w:ind w:left="120"/>
              <w:spacing w:after="0"/>
              <w:rPr>
                <w:sz w:val="20"/>
                <w:szCs w:val="20"/>
                <w:color w:val="auto"/>
              </w:rPr>
            </w:pPr>
            <w:r>
              <w:rPr>
                <w:rFonts w:ascii="Arial" w:cs="Arial" w:eastAsia="Arial" w:hAnsi="Arial"/>
                <w:sz w:val="18"/>
                <w:szCs w:val="18"/>
                <w:color w:val="auto"/>
                <w:w w:val="88"/>
              </w:rPr>
              <w:t>Check if the Aggregate Amount in Row (9) Excludes Certain Shares (See Instructions)</w:t>
            </w:r>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6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040" w:type="dxa"/>
            <w:vAlign w:val="bottom"/>
            <w:tcBorders>
              <w:bottom w:val="single" w:sz="8" w:color="808080"/>
            </w:tcBorders>
          </w:tcPr>
          <w:p>
            <w:pPr>
              <w:spacing w:after="0"/>
              <w:rPr>
                <w:sz w:val="21"/>
                <w:szCs w:val="21"/>
                <w:color w:val="auto"/>
              </w:rPr>
            </w:pPr>
          </w:p>
        </w:tc>
        <w:tc>
          <w:tcPr>
            <w:tcW w:w="6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Borders>
              <w:bottom w:val="single" w:sz="8" w:color="2C2C2C"/>
            </w:tcBorders>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ind w:left="100"/>
              <w:spacing w:after="0" w:line="237" w:lineRule="exact"/>
              <w:rPr>
                <w:sz w:val="20"/>
                <w:szCs w:val="20"/>
                <w:color w:val="auto"/>
              </w:rPr>
            </w:pPr>
            <w:r>
              <w:rPr>
                <w:rFonts w:ascii="Arial" w:cs="Arial" w:eastAsia="Arial" w:hAnsi="Arial"/>
                <w:sz w:val="27"/>
                <w:szCs w:val="27"/>
                <w:b w:val="1"/>
                <w:bCs w:val="1"/>
                <w:color w:val="auto"/>
              </w:rPr>
              <w:t>11</w:t>
            </w:r>
          </w:p>
        </w:tc>
        <w:tc>
          <w:tcPr>
            <w:tcW w:w="6220" w:type="dxa"/>
            <w:vAlign w:val="bottom"/>
            <w:vMerge w:val="restart"/>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6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6220" w:type="dxa"/>
            <w:vAlign w:val="bottom"/>
          </w:tcPr>
          <w:p>
            <w:pPr>
              <w:ind w:left="120"/>
              <w:spacing w:after="0"/>
              <w:rPr>
                <w:sz w:val="20"/>
                <w:szCs w:val="20"/>
                <w:color w:val="auto"/>
              </w:rPr>
            </w:pPr>
            <w:r>
              <w:rPr>
                <w:rFonts w:ascii="Arial" w:cs="Arial" w:eastAsia="Arial" w:hAnsi="Arial"/>
                <w:sz w:val="18"/>
                <w:szCs w:val="18"/>
                <w:b w:val="1"/>
                <w:bCs w:val="1"/>
                <w:color w:val="auto"/>
              </w:rPr>
              <w:t>0.79%</w:t>
            </w:r>
          </w:p>
        </w:tc>
        <w:tc>
          <w:tcPr>
            <w:tcW w:w="0" w:type="dxa"/>
            <w:vAlign w:val="bottom"/>
          </w:tcPr>
          <w:p>
            <w:pPr>
              <w:spacing w:after="0"/>
              <w:rPr>
                <w:sz w:val="1"/>
                <w:szCs w:val="1"/>
                <w:color w:val="auto"/>
              </w:rPr>
            </w:pPr>
          </w:p>
        </w:tc>
      </w:tr>
      <w:tr>
        <w:trPr>
          <w:trHeight w:val="97"/>
        </w:trPr>
        <w:tc>
          <w:tcPr>
            <w:tcW w:w="1040" w:type="dxa"/>
            <w:vAlign w:val="bottom"/>
            <w:tcBorders>
              <w:bottom w:val="single" w:sz="8" w:color="808080"/>
            </w:tcBorders>
          </w:tcPr>
          <w:p>
            <w:pPr>
              <w:spacing w:after="0"/>
              <w:rPr>
                <w:sz w:val="8"/>
                <w:szCs w:val="8"/>
                <w:color w:val="auto"/>
              </w:rPr>
            </w:pPr>
          </w:p>
        </w:tc>
        <w:tc>
          <w:tcPr>
            <w:tcW w:w="6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040" w:type="dxa"/>
            <w:vAlign w:val="bottom"/>
            <w:tcBorders>
              <w:bottom w:val="single" w:sz="8" w:color="2C2C2C"/>
            </w:tcBorders>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ind w:left="100"/>
              <w:spacing w:after="0" w:line="237" w:lineRule="exact"/>
              <w:rPr>
                <w:sz w:val="20"/>
                <w:szCs w:val="20"/>
                <w:color w:val="auto"/>
              </w:rPr>
            </w:pPr>
            <w:r>
              <w:rPr>
                <w:rFonts w:ascii="Arial" w:cs="Arial" w:eastAsia="Arial" w:hAnsi="Arial"/>
                <w:sz w:val="27"/>
                <w:szCs w:val="27"/>
                <w:b w:val="1"/>
                <w:bCs w:val="1"/>
                <w:color w:val="auto"/>
              </w:rPr>
              <w:t>12</w:t>
            </w:r>
          </w:p>
        </w:tc>
        <w:tc>
          <w:tcPr>
            <w:tcW w:w="6220" w:type="dxa"/>
            <w:vAlign w:val="bottom"/>
            <w:vMerge w:val="restart"/>
          </w:tcPr>
          <w:p>
            <w:pPr>
              <w:ind w:left="12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6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6220" w:type="dxa"/>
            <w:vAlign w:val="bottom"/>
          </w:tcPr>
          <w:p>
            <w:pPr>
              <w:ind w:left="120"/>
              <w:spacing w:after="0"/>
              <w:rPr>
                <w:sz w:val="20"/>
                <w:szCs w:val="20"/>
                <w:color w:val="auto"/>
              </w:rPr>
            </w:pPr>
            <w:r>
              <w:rPr>
                <w:rFonts w:ascii="Arial" w:cs="Arial" w:eastAsia="Arial" w:hAnsi="Arial"/>
                <w:sz w:val="18"/>
                <w:szCs w:val="18"/>
                <w:b w:val="1"/>
                <w:bCs w:val="1"/>
                <w:color w:val="auto"/>
              </w:rPr>
              <w:t>CO, HC</w:t>
            </w: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sz w:val="1"/>
          <w:szCs w:val="1"/>
          <w:color w:val="auto"/>
        </w:rPr>
        <w:drawing>
          <wp:inline distT="0" distB="0" distL="0" distR="0">
            <wp:extent cx="51435" cy="35115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 cy="351155"/>
                    </a:xfrm>
                    <a:prstGeom prst="rect">
                      <a:avLst/>
                    </a:prstGeom>
                    <a:noFill/>
                    <a:ln>
                      <a:noFill/>
                    </a:ln>
                  </pic:spPr>
                </pic:pic>
              </a:graphicData>
            </a:graphic>
          </wp:inline>
        </w:drawing>
      </w:r>
      <w:r>
        <w:rPr>
          <w:rFonts w:ascii="Arial" w:cs="Arial" w:eastAsia="Arial" w:hAnsi="Arial"/>
          <w:sz w:val="22"/>
          <w:szCs w:val="22"/>
          <w:b w:val="1"/>
          <w:bCs w:val="1"/>
          <w:color w:val="auto"/>
        </w:rPr>
        <w:t xml:space="preserve"> CUSIP No. 148711104</w:t>
      </w:r>
    </w:p>
    <w:p>
      <w:pPr>
        <w:spacing w:after="0" w:line="107" w:lineRule="exact"/>
        <w:rPr>
          <w:sz w:val="20"/>
          <w:szCs w:val="20"/>
          <w:color w:val="auto"/>
        </w:rPr>
      </w:pPr>
    </w:p>
    <w:p>
      <w:pPr>
        <w:ind w:left="1220"/>
        <w:spacing w:after="0"/>
        <w:tabs>
          <w:tab w:leader="none" w:pos="2600" w:val="left"/>
        </w:tabs>
        <w:rPr>
          <w:sz w:val="20"/>
          <w:szCs w:val="20"/>
          <w:color w:val="auto"/>
        </w:rPr>
      </w:pPr>
      <w:r>
        <w:rPr>
          <w:rFonts w:ascii="Arial" w:cs="Arial" w:eastAsia="Arial" w:hAnsi="Arial"/>
          <w:sz w:val="10"/>
          <w:szCs w:val="10"/>
          <w:color w:val="auto"/>
        </w:rPr>
        <w:t>Name of Reporting</w:t>
      </w:r>
      <w:r>
        <w:rPr>
          <w:sz w:val="20"/>
          <w:szCs w:val="20"/>
          <w:color w:val="auto"/>
        </w:rPr>
        <w:tab/>
      </w:r>
      <w:r>
        <w:rPr>
          <w:rFonts w:ascii="Arial" w:cs="Arial" w:eastAsia="Arial" w:hAnsi="Arial"/>
          <w:sz w:val="13"/>
          <w:szCs w:val="13"/>
          <w:color w:val="auto"/>
        </w:rPr>
        <w:t>Persons.</w:t>
      </w:r>
    </w:p>
    <w:p>
      <w:pPr>
        <w:spacing w:after="0" w:line="242" w:lineRule="exact"/>
        <w:rPr>
          <w:sz w:val="20"/>
          <w:szCs w:val="20"/>
          <w:color w:val="auto"/>
        </w:rPr>
      </w:pPr>
    </w:p>
    <w:p>
      <w:pPr>
        <w:ind w:left="1220"/>
        <w:spacing w:after="0"/>
        <w:tabs>
          <w:tab w:leader="none" w:pos="2640" w:val="left"/>
          <w:tab w:leader="none" w:pos="3000" w:val="left"/>
          <w:tab w:leader="none" w:pos="3200" w:val="left"/>
          <w:tab w:leader="none" w:pos="3660" w:val="left"/>
          <w:tab w:leader="none" w:pos="4240" w:val="left"/>
          <w:tab w:leader="none" w:pos="4840" w:val="left"/>
          <w:tab w:leader="none" w:pos="5220" w:val="left"/>
        </w:tabs>
        <w:rPr>
          <w:sz w:val="20"/>
          <w:szCs w:val="20"/>
          <w:color w:val="auto"/>
        </w:rPr>
      </w:pPr>
      <w:r>
        <w:rPr>
          <w:rFonts w:ascii="Arial" w:cs="Arial" w:eastAsia="Arial" w:hAnsi="Arial"/>
          <w:sz w:val="10"/>
          <w:szCs w:val="10"/>
          <w:color w:val="auto"/>
        </w:rPr>
        <w:t>I.R.S. Identification</w:t>
      </w:r>
      <w:r>
        <w:rPr>
          <w:sz w:val="20"/>
          <w:szCs w:val="20"/>
          <w:color w:val="auto"/>
        </w:rPr>
        <w:tab/>
      </w:r>
      <w:r>
        <w:rPr>
          <w:rFonts w:ascii="Arial" w:cs="Arial" w:eastAsia="Arial" w:hAnsi="Arial"/>
          <w:sz w:val="18"/>
          <w:szCs w:val="18"/>
          <w:color w:val="auto"/>
        </w:rPr>
        <w:t>Nos.</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above</w:t>
      </w:r>
      <w:r>
        <w:rPr>
          <w:sz w:val="20"/>
          <w:szCs w:val="20"/>
          <w:color w:val="auto"/>
        </w:rPr>
        <w:tab/>
      </w:r>
      <w:r>
        <w:rPr>
          <w:rFonts w:ascii="Arial" w:cs="Arial" w:eastAsia="Arial" w:hAnsi="Arial"/>
          <w:sz w:val="18"/>
          <w:szCs w:val="18"/>
          <w:color w:val="auto"/>
        </w:rPr>
        <w:t>persons</w:t>
      </w:r>
      <w:r>
        <w:rPr>
          <w:sz w:val="20"/>
          <w:szCs w:val="20"/>
          <w:color w:val="auto"/>
        </w:rPr>
        <w:tab/>
      </w:r>
      <w:r>
        <w:rPr>
          <w:rFonts w:ascii="Arial" w:cs="Arial" w:eastAsia="Arial" w:hAnsi="Arial"/>
          <w:sz w:val="18"/>
          <w:szCs w:val="18"/>
          <w:color w:val="auto"/>
        </w:rPr>
        <w:t>(entities</w:t>
      </w:r>
      <w:r>
        <w:rPr>
          <w:sz w:val="20"/>
          <w:szCs w:val="20"/>
          <w:color w:val="auto"/>
        </w:rPr>
        <w:tab/>
      </w:r>
      <w:r>
        <w:rPr>
          <w:rFonts w:ascii="Arial" w:cs="Arial" w:eastAsia="Arial" w:hAnsi="Arial"/>
          <w:sz w:val="18"/>
          <w:szCs w:val="18"/>
          <w:color w:val="auto"/>
        </w:rPr>
        <w:t>only)</w:t>
      </w:r>
      <w:r>
        <w:rPr>
          <w:sz w:val="20"/>
          <w:szCs w:val="20"/>
          <w:color w:val="auto"/>
        </w:rPr>
        <w:tab/>
      </w:r>
      <w:r>
        <w:rPr>
          <w:rFonts w:ascii="Arial" w:cs="Arial" w:eastAsia="Arial" w:hAnsi="Arial"/>
          <w:sz w:val="18"/>
          <w:szCs w:val="18"/>
          <w:color w:val="auto"/>
        </w:rPr>
        <w:t>.</w:t>
      </w:r>
    </w:p>
    <w:p>
      <w:pPr>
        <w:spacing w:after="0" w:line="39" w:lineRule="exact"/>
        <w:rPr>
          <w:sz w:val="20"/>
          <w:szCs w:val="20"/>
          <w:color w:val="auto"/>
        </w:rPr>
      </w:pPr>
    </w:p>
    <w:p>
      <w:pPr>
        <w:ind w:left="1220" w:hanging="1057"/>
        <w:spacing w:after="0"/>
        <w:tabs>
          <w:tab w:leader="none" w:pos="1220" w:val="left"/>
        </w:tabs>
        <w:numPr>
          <w:ilvl w:val="0"/>
          <w:numId w:val="9"/>
        </w:numPr>
        <w:rPr>
          <w:rFonts w:ascii="Arial" w:cs="Arial" w:eastAsia="Arial" w:hAnsi="Arial"/>
          <w:sz w:val="32"/>
          <w:szCs w:val="32"/>
          <w:b w:val="1"/>
          <w:bCs w:val="1"/>
          <w:color w:val="auto"/>
        </w:rPr>
      </w:pPr>
      <w:r>
        <w:rPr>
          <w:rFonts w:ascii="Arial" w:cs="Arial" w:eastAsia="Arial" w:hAnsi="Arial"/>
          <w:sz w:val="18"/>
          <w:szCs w:val="18"/>
          <w:color w:val="auto"/>
        </w:rPr>
        <w:t>Frank J. Husic</w:t>
      </w:r>
    </w:p>
    <w:p>
      <w:pPr>
        <w:spacing w:after="0" w:line="277" w:lineRule="exact"/>
        <w:rPr>
          <w:rFonts w:ascii="Arial" w:cs="Arial" w:eastAsia="Arial" w:hAnsi="Arial"/>
          <w:sz w:val="32"/>
          <w:szCs w:val="32"/>
          <w:b w:val="1"/>
          <w:bCs w:val="1"/>
          <w:color w:val="auto"/>
        </w:rPr>
      </w:pPr>
    </w:p>
    <w:p>
      <w:pPr>
        <w:ind w:left="1220"/>
        <w:spacing w:after="0"/>
        <w:rPr>
          <w:rFonts w:ascii="Arial" w:cs="Arial" w:eastAsia="Arial" w:hAnsi="Arial"/>
          <w:sz w:val="32"/>
          <w:szCs w:val="32"/>
          <w:b w:val="1"/>
          <w:bCs w:val="1"/>
          <w:color w:val="auto"/>
        </w:rPr>
      </w:pPr>
      <w:r>
        <w:rPr>
          <w:rFonts w:ascii="Arial" w:cs="Arial" w:eastAsia="Arial" w:hAnsi="Arial"/>
          <w:sz w:val="18"/>
          <w:szCs w:val="18"/>
          <w:color w:val="auto"/>
        </w:rPr>
        <w:t>Check the Appropriate Box if a Member of a Group (See Instructions)</w:t>
      </w:r>
    </w:p>
    <w:p>
      <w:pPr>
        <w:spacing w:after="0" w:line="184" w:lineRule="exact"/>
        <w:rPr>
          <w:rFonts w:ascii="Arial" w:cs="Arial" w:eastAsia="Arial" w:hAnsi="Arial"/>
          <w:sz w:val="32"/>
          <w:szCs w:val="32"/>
          <w:b w:val="1"/>
          <w:bCs w:val="1"/>
          <w:color w:val="auto"/>
        </w:rPr>
      </w:pPr>
    </w:p>
    <w:p>
      <w:pPr>
        <w:ind w:left="1220"/>
        <w:spacing w:after="0"/>
        <w:rPr>
          <w:rFonts w:ascii="Arial" w:cs="Arial" w:eastAsia="Arial" w:hAnsi="Arial"/>
          <w:sz w:val="32"/>
          <w:szCs w:val="32"/>
          <w:b w:val="1"/>
          <w:bCs w:val="1"/>
          <w:color w:val="auto"/>
        </w:rPr>
      </w:pPr>
      <w:r>
        <w:rPr>
          <w:rFonts w:ascii="Arial" w:cs="Arial" w:eastAsia="Arial" w:hAnsi="Arial"/>
          <w:sz w:val="18"/>
          <w:szCs w:val="18"/>
          <w:color w:val="auto"/>
        </w:rPr>
        <w:t>(a)</w:t>
      </w:r>
    </w:p>
    <w:p>
      <w:pPr>
        <w:spacing w:after="0" w:line="39" w:lineRule="exact"/>
        <w:rPr>
          <w:sz w:val="20"/>
          <w:szCs w:val="20"/>
          <w:color w:val="auto"/>
        </w:rPr>
      </w:pPr>
    </w:p>
    <w:p>
      <w:pPr>
        <w:ind w:left="1220" w:hanging="1057"/>
        <w:spacing w:after="0"/>
        <w:tabs>
          <w:tab w:leader="none" w:pos="1220" w:val="left"/>
        </w:tabs>
        <w:numPr>
          <w:ilvl w:val="0"/>
          <w:numId w:val="10"/>
        </w:numPr>
        <w:rPr>
          <w:rFonts w:ascii="Arial" w:cs="Arial" w:eastAsia="Arial" w:hAnsi="Arial"/>
          <w:sz w:val="32"/>
          <w:szCs w:val="32"/>
          <w:b w:val="1"/>
          <w:bCs w:val="1"/>
          <w:color w:val="auto"/>
        </w:rPr>
      </w:pPr>
      <w:r>
        <w:rPr>
          <w:rFonts w:ascii="Arial" w:cs="Arial" w:eastAsia="Arial" w:hAnsi="Arial"/>
          <w:sz w:val="18"/>
          <w:szCs w:val="18"/>
          <w:color w:val="auto"/>
        </w:rPr>
        <w:t>(b)</w:t>
      </w:r>
    </w:p>
    <w:p>
      <w:pPr>
        <w:spacing w:after="0" w:line="277" w:lineRule="exact"/>
        <w:rPr>
          <w:rFonts w:ascii="Arial" w:cs="Arial" w:eastAsia="Arial" w:hAnsi="Arial"/>
          <w:sz w:val="32"/>
          <w:szCs w:val="32"/>
          <w:b w:val="1"/>
          <w:bCs w:val="1"/>
          <w:color w:val="auto"/>
        </w:rPr>
      </w:pPr>
    </w:p>
    <w:p>
      <w:pPr>
        <w:ind w:left="1220"/>
        <w:spacing w:after="0"/>
        <w:rPr>
          <w:rFonts w:ascii="Arial" w:cs="Arial" w:eastAsia="Arial" w:hAnsi="Arial"/>
          <w:sz w:val="32"/>
          <w:szCs w:val="32"/>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49"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3</w:t>
      </w:r>
    </w:p>
    <w:p>
      <w:pPr>
        <w:spacing w:after="0" w:line="259" w:lineRule="exact"/>
        <w:rPr>
          <w:sz w:val="20"/>
          <w:szCs w:val="20"/>
          <w:color w:val="auto"/>
        </w:rPr>
      </w:pPr>
    </w:p>
    <w:p>
      <w:pPr>
        <w:ind w:left="1220"/>
        <w:spacing w:after="0"/>
        <w:tabs>
          <w:tab w:leader="none" w:pos="2240" w:val="left"/>
          <w:tab w:leader="none" w:pos="2660" w:val="left"/>
          <w:tab w:leader="none" w:pos="2840" w:val="left"/>
        </w:tabs>
        <w:rPr>
          <w:sz w:val="20"/>
          <w:szCs w:val="20"/>
          <w:color w:val="auto"/>
        </w:rPr>
      </w:pPr>
      <w:r>
        <w:rPr>
          <w:rFonts w:ascii="Arial" w:cs="Arial" w:eastAsia="Arial" w:hAnsi="Arial"/>
          <w:sz w:val="14"/>
          <w:szCs w:val="14"/>
          <w:color w:val="auto"/>
        </w:rPr>
        <w:t>Citizenship or</w:t>
      </w:r>
      <w:r>
        <w:rPr>
          <w:sz w:val="20"/>
          <w:szCs w:val="20"/>
          <w:color w:val="auto"/>
        </w:rPr>
        <w:tab/>
      </w:r>
      <w:r>
        <w:rPr>
          <w:rFonts w:ascii="Arial" w:cs="Arial" w:eastAsia="Arial" w:hAnsi="Arial"/>
          <w:sz w:val="5"/>
          <w:szCs w:val="5"/>
          <w:color w:val="auto"/>
        </w:rPr>
        <w:t>Place</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13"/>
          <w:szCs w:val="13"/>
          <w:color w:val="auto"/>
        </w:rPr>
        <w:t>Organization</w:t>
      </w:r>
    </w:p>
    <w:p>
      <w:pPr>
        <w:spacing w:after="0" w:line="179"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United States</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4</w:t>
      </w:r>
    </w:p>
    <w:p>
      <w:pPr>
        <w:spacing w:after="0" w:line="259" w:lineRule="exact"/>
        <w:rPr>
          <w:sz w:val="20"/>
          <w:szCs w:val="20"/>
          <w:color w:val="auto"/>
        </w:rPr>
      </w:pPr>
    </w:p>
    <w:p>
      <w:pPr>
        <w:ind w:left="2820"/>
        <w:spacing w:after="0"/>
        <w:tabs>
          <w:tab w:leader="none" w:pos="3140" w:val="left"/>
          <w:tab w:leader="none" w:pos="3660" w:val="left"/>
        </w:tabs>
        <w:rPr>
          <w:sz w:val="20"/>
          <w:szCs w:val="20"/>
          <w:color w:val="auto"/>
        </w:rPr>
      </w:pPr>
      <w:r>
        <w:rPr>
          <w:rFonts w:ascii="Arial" w:cs="Arial" w:eastAsia="Arial" w:hAnsi="Arial"/>
          <w:sz w:val="16"/>
          <w:szCs w:val="16"/>
          <w:color w:val="auto"/>
        </w:rPr>
        <w:t>Sole</w:t>
      </w:r>
      <w:r>
        <w:rPr>
          <w:sz w:val="20"/>
          <w:szCs w:val="20"/>
          <w:color w:val="auto"/>
        </w:rPr>
        <w:tab/>
      </w:r>
      <w:r>
        <w:rPr>
          <w:rFonts w:ascii="Arial" w:cs="Arial" w:eastAsia="Arial" w:hAnsi="Arial"/>
          <w:sz w:val="16"/>
          <w:szCs w:val="16"/>
          <w:color w:val="auto"/>
        </w:rPr>
        <w:t>Voting</w:t>
      </w:r>
      <w:r>
        <w:rPr>
          <w:sz w:val="20"/>
          <w:szCs w:val="20"/>
          <w:color w:val="auto"/>
        </w:rPr>
        <w:tab/>
      </w:r>
      <w:r>
        <w:rPr>
          <w:rFonts w:ascii="Arial" w:cs="Arial" w:eastAsia="Arial" w:hAnsi="Arial"/>
          <w:sz w:val="18"/>
          <w:szCs w:val="18"/>
          <w:color w:val="auto"/>
        </w:rPr>
        <w:t>Power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32"/>
          <w:szCs w:val="32"/>
          <w:b w:val="1"/>
          <w:bCs w:val="1"/>
          <w:color w:val="auto"/>
        </w:rPr>
        <w:t>5</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32"/>
          <w:szCs w:val="32"/>
          <w:b w:val="1"/>
          <w:bCs w:val="1"/>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271,775</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500" w:val="left"/>
          <w:tab w:leader="none" w:pos="1020" w:val="left"/>
        </w:tabs>
        <w:rPr>
          <w:sz w:val="20"/>
          <w:szCs w:val="20"/>
          <w:color w:val="auto"/>
        </w:rPr>
      </w:pPr>
      <w:r>
        <w:rPr>
          <w:rFonts w:ascii="Arial" w:cs="Arial" w:eastAsia="Arial" w:hAnsi="Arial"/>
          <w:sz w:val="18"/>
          <w:szCs w:val="18"/>
          <w:color w:val="auto"/>
        </w:rPr>
        <w:t>Shared</w:t>
      </w:r>
      <w:r>
        <w:rPr>
          <w:sz w:val="20"/>
          <w:szCs w:val="20"/>
          <w:color w:val="auto"/>
        </w:rPr>
        <w:tab/>
      </w:r>
      <w:r>
        <w:rPr>
          <w:rFonts w:ascii="Arial" w:cs="Arial" w:eastAsia="Arial" w:hAnsi="Arial"/>
          <w:sz w:val="18"/>
          <w:szCs w:val="18"/>
          <w:color w:val="auto"/>
        </w:rPr>
        <w:t>Voting</w:t>
      </w:r>
      <w:r>
        <w:rPr>
          <w:sz w:val="20"/>
          <w:szCs w:val="20"/>
          <w:color w:val="auto"/>
        </w:rPr>
        <w:tab/>
      </w:r>
      <w:r>
        <w:rPr>
          <w:rFonts w:ascii="Arial" w:cs="Arial" w:eastAsia="Arial" w:hAnsi="Arial"/>
          <w:sz w:val="18"/>
          <w:szCs w:val="18"/>
          <w:color w:val="auto"/>
        </w:rPr>
        <w:t>Power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number of shares</w:t>
      </w:r>
    </w:p>
    <w:p>
      <w:pPr>
        <w:spacing w:after="0" w:line="21"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beneficially owned by each reporting person 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sz w:val="1"/>
          <w:szCs w:val="1"/>
          <w:color w:val="auto"/>
        </w:rPr>
        <w:drawing>
          <wp:inline distT="0" distB="0" distL="0" distR="0">
            <wp:extent cx="34290" cy="5740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574040"/>
                    </a:xfrm>
                    <a:prstGeom prst="rect">
                      <a:avLst/>
                    </a:prstGeom>
                    <a:noFill/>
                    <a:ln>
                      <a:noFill/>
                    </a:ln>
                  </pic:spPr>
                </pic:pic>
              </a:graphicData>
            </a:graphic>
          </wp:inline>
        </w:drawing>
      </w:r>
      <w:r>
        <w:rPr>
          <w:rFonts w:ascii="Arial" w:cs="Arial" w:eastAsia="Arial" w:hAnsi="Arial"/>
          <w:sz w:val="24"/>
          <w:szCs w:val="24"/>
          <w:b w:val="1"/>
          <w:bCs w:val="1"/>
          <w:color w:val="auto"/>
        </w:rPr>
        <w:t xml:space="preserve"> 7</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32"/>
          <w:szCs w:val="32"/>
          <w:b w:val="1"/>
          <w:bCs w:val="1"/>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39" w:lineRule="exact"/>
        <w:rPr>
          <w:sz w:val="20"/>
          <w:szCs w:val="20"/>
          <w:color w:val="auto"/>
        </w:rPr>
      </w:pPr>
    </w:p>
    <w:p>
      <w:pPr>
        <w:spacing w:after="0"/>
        <w:tabs>
          <w:tab w:leader="none" w:pos="320" w:val="left"/>
          <w:tab w:leader="none" w:pos="1180" w:val="left"/>
        </w:tabs>
        <w:rPr>
          <w:sz w:val="20"/>
          <w:szCs w:val="20"/>
          <w:color w:val="auto"/>
        </w:rPr>
      </w:pPr>
      <w:r>
        <w:rPr>
          <w:rFonts w:ascii="Arial" w:cs="Arial" w:eastAsia="Arial" w:hAnsi="Arial"/>
          <w:sz w:val="18"/>
          <w:szCs w:val="18"/>
          <w:color w:val="auto"/>
        </w:rPr>
        <w:t>Sole</w:t>
      </w:r>
      <w:r>
        <w:rPr>
          <w:sz w:val="20"/>
          <w:szCs w:val="20"/>
          <w:color w:val="auto"/>
        </w:rPr>
        <w:tab/>
      </w:r>
      <w:r>
        <w:rPr>
          <w:rFonts w:ascii="Arial" w:cs="Arial" w:eastAsia="Arial" w:hAnsi="Arial"/>
          <w:sz w:val="18"/>
          <w:szCs w:val="18"/>
          <w:color w:val="auto"/>
        </w:rPr>
        <w:t>Dispositive</w:t>
      </w:r>
      <w:r>
        <w:rPr>
          <w:sz w:val="20"/>
          <w:szCs w:val="20"/>
          <w:color w:val="auto"/>
        </w:rPr>
        <w:tab/>
      </w:r>
      <w:r>
        <w:rPr>
          <w:rFonts w:ascii="Arial" w:cs="Arial" w:eastAsia="Arial" w:hAnsi="Arial"/>
          <w:sz w:val="18"/>
          <w:szCs w:val="18"/>
          <w:color w:val="auto"/>
        </w:rPr>
        <w:t>Power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271,775</w:t>
      </w:r>
    </w:p>
    <w:p>
      <w:pPr>
        <w:spacing w:after="0" w:line="245" w:lineRule="exact"/>
        <w:rPr>
          <w:sz w:val="20"/>
          <w:szCs w:val="20"/>
          <w:color w:val="auto"/>
        </w:rPr>
      </w:pPr>
    </w:p>
    <w:p>
      <w:pPr>
        <w:spacing w:after="0"/>
        <w:tabs>
          <w:tab w:leader="none" w:pos="500" w:val="left"/>
          <w:tab w:leader="none" w:pos="1340" w:val="left"/>
        </w:tabs>
        <w:rPr>
          <w:sz w:val="20"/>
          <w:szCs w:val="20"/>
          <w:color w:val="auto"/>
        </w:rPr>
      </w:pPr>
      <w:r>
        <w:rPr>
          <w:rFonts w:ascii="Arial" w:cs="Arial" w:eastAsia="Arial" w:hAnsi="Arial"/>
          <w:sz w:val="18"/>
          <w:szCs w:val="18"/>
          <w:color w:val="auto"/>
        </w:rPr>
        <w:t>Shared</w:t>
      </w:r>
      <w:r>
        <w:rPr>
          <w:sz w:val="20"/>
          <w:szCs w:val="20"/>
          <w:color w:val="auto"/>
        </w:rPr>
        <w:tab/>
      </w:r>
      <w:r>
        <w:rPr>
          <w:rFonts w:ascii="Arial" w:cs="Arial" w:eastAsia="Arial" w:hAnsi="Arial"/>
          <w:sz w:val="18"/>
          <w:szCs w:val="18"/>
          <w:color w:val="auto"/>
        </w:rPr>
        <w:t>Dispositive</w:t>
      </w:r>
      <w:r>
        <w:rPr>
          <w:sz w:val="20"/>
          <w:szCs w:val="20"/>
          <w:color w:val="auto"/>
        </w:rPr>
        <w:tab/>
      </w:r>
      <w:r>
        <w:rPr>
          <w:rFonts w:ascii="Arial" w:cs="Arial" w:eastAsia="Arial" w:hAnsi="Arial"/>
          <w:sz w:val="18"/>
          <w:szCs w:val="18"/>
          <w:color w:val="auto"/>
        </w:rPr>
        <w:t>Power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sz w:val="1"/>
          <w:szCs w:val="1"/>
          <w:color w:val="auto"/>
        </w:rPr>
        <w:drawing>
          <wp:inline distT="0" distB="0" distL="0" distR="0">
            <wp:extent cx="34290" cy="5740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574040"/>
                    </a:xfrm>
                    <a:prstGeom prst="rect">
                      <a:avLst/>
                    </a:prstGeom>
                    <a:noFill/>
                    <a:ln>
                      <a:noFill/>
                    </a:ln>
                  </pic:spPr>
                </pic:pic>
              </a:graphicData>
            </a:graphic>
          </wp:inline>
        </w:drawing>
      </w:r>
      <w:r>
        <w:rPr>
          <w:rFonts w:ascii="Arial" w:cs="Arial" w:eastAsia="Arial" w:hAnsi="Arial"/>
          <w:sz w:val="32"/>
          <w:szCs w:val="32"/>
          <w:b w:val="1"/>
          <w:bCs w:val="1"/>
          <w:color w:val="auto"/>
        </w:rPr>
        <w:t xml:space="preserve"> 9</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32"/>
          <w:szCs w:val="32"/>
          <w:b w:val="1"/>
          <w:bCs w:val="1"/>
          <w:color w:val="auto"/>
        </w:rPr>
        <w:t>10</w:t>
      </w:r>
    </w:p>
    <w:p>
      <w:pPr>
        <w:spacing w:after="0" w:line="89" w:lineRule="exact"/>
        <w:rPr>
          <w:sz w:val="20"/>
          <w:szCs w:val="20"/>
          <w:color w:val="auto"/>
        </w:rPr>
      </w:pPr>
    </w:p>
    <w:p>
      <w:pPr>
        <w:spacing w:after="0"/>
        <w:rPr>
          <w:sz w:val="20"/>
          <w:szCs w:val="20"/>
          <w:color w:val="auto"/>
        </w:rPr>
      </w:pPr>
      <w:r>
        <w:rPr>
          <w:sz w:val="1"/>
          <w:szCs w:val="1"/>
          <w:color w:val="auto"/>
        </w:rPr>
        <w:drawing>
          <wp:inline distT="0" distB="0" distL="0" distR="0">
            <wp:extent cx="34290" cy="5740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574040"/>
                    </a:xfrm>
                    <a:prstGeom prst="rect">
                      <a:avLst/>
                    </a:prstGeom>
                    <a:noFill/>
                    <a:ln>
                      <a:noFill/>
                    </a:ln>
                  </pic:spPr>
                </pic:pic>
              </a:graphicData>
            </a:graphic>
          </wp:inline>
        </w:drawing>
      </w:r>
      <w:r>
        <w:rPr>
          <w:rFonts w:ascii="Arial" w:cs="Arial" w:eastAsia="Arial" w:hAnsi="Arial"/>
          <w:sz w:val="24"/>
          <w:szCs w:val="24"/>
          <w:b w:val="1"/>
          <w:bCs w:val="1"/>
          <w:color w:val="auto"/>
        </w:rPr>
        <w:t xml:space="preserve"> 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271,775</w:t>
      </w:r>
    </w:p>
    <w:p>
      <w:pPr>
        <w:spacing w:after="0" w:line="245" w:lineRule="exact"/>
        <w:rPr>
          <w:sz w:val="20"/>
          <w:szCs w:val="20"/>
          <w:color w:val="auto"/>
        </w:rPr>
      </w:pPr>
    </w:p>
    <w:p>
      <w:pPr>
        <w:ind w:left="160"/>
        <w:spacing w:after="0"/>
        <w:rPr>
          <w:sz w:val="20"/>
          <w:szCs w:val="20"/>
          <w:color w:val="auto"/>
        </w:rPr>
      </w:pPr>
      <w:r>
        <w:rPr>
          <w:rFonts w:ascii="Arial" w:cs="Arial" w:eastAsia="Arial" w:hAnsi="Arial"/>
          <w:sz w:val="15"/>
          <w:szCs w:val="15"/>
          <w:color w:val="auto"/>
        </w:rPr>
        <w:t>Check if the Aggregate Amount in Row (9) Excludes Certain Shares (See Instructions)</w:t>
      </w:r>
    </w:p>
    <w:p>
      <w:pPr>
        <w:spacing w:after="0" w:line="200" w:lineRule="exact"/>
        <w:rPr>
          <w:sz w:val="20"/>
          <w:szCs w:val="20"/>
          <w:color w:val="auto"/>
        </w:rPr>
      </w:pP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Percent of Class Represented by Amount in Row (9)</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0.79%</w:t>
      </w:r>
    </w:p>
    <w:p>
      <w:pPr>
        <w:spacing w:after="0" w:line="87" w:lineRule="exact"/>
        <w:rPr>
          <w:sz w:val="20"/>
          <w:szCs w:val="20"/>
          <w:color w:val="auto"/>
        </w:rPr>
      </w:pPr>
    </w:p>
    <w:p>
      <w:pPr>
        <w:spacing w:after="0"/>
        <w:rPr>
          <w:sz w:val="20"/>
          <w:szCs w:val="20"/>
          <w:color w:val="auto"/>
        </w:rPr>
      </w:pPr>
      <w:r>
        <w:rPr>
          <w:sz w:val="1"/>
          <w:szCs w:val="1"/>
          <w:color w:val="auto"/>
        </w:rPr>
        <w:drawing>
          <wp:inline distT="0" distB="0" distL="0" distR="0">
            <wp:extent cx="51435" cy="26289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 cy="262890"/>
                    </a:xfrm>
                    <a:prstGeom prst="rect">
                      <a:avLst/>
                    </a:prstGeom>
                    <a:noFill/>
                    <a:ln>
                      <a:noFill/>
                    </a:ln>
                  </pic:spPr>
                </pic:pic>
              </a:graphicData>
            </a:graphic>
          </wp:inline>
        </w:drawing>
      </w:r>
      <w:r>
        <w:rPr>
          <w:rFonts w:ascii="Arial" w:cs="Arial" w:eastAsia="Arial" w:hAnsi="Arial"/>
          <w:sz w:val="18"/>
          <w:szCs w:val="18"/>
          <w:color w:val="auto"/>
        </w:rPr>
        <w:t xml:space="preserve"> Type of Reporting Person (See Instructions)</w:t>
      </w:r>
    </w:p>
    <w:p>
      <w:pPr>
        <w:sectPr>
          <w:pgSz w:w="11900" w:h="16900" w:orient="portrait"/>
          <w:cols w:equalWidth="0" w:num="8">
            <w:col w:w="7320" w:space="0"/>
            <w:col w:w="4940" w:space="440"/>
            <w:col w:w="2560" w:space="0"/>
            <w:col w:w="1640" w:space="180"/>
            <w:col w:w="300" w:space="440"/>
            <w:col w:w="2780" w:space="0"/>
            <w:col w:w="440" w:space="580"/>
            <w:col w:w="4294955916"/>
          </w:cols>
          <w:pgMar w:left="220" w:top="0" w:right="1440" w:bottom="0" w:gutter="0" w:footer="0" w:header="0"/>
        </w:sectPr>
      </w:pPr>
    </w:p>
    <w:bookmarkStart w:id="3" w:name="page4"/>
    <w:bookmarkEnd w:id="3"/>
    <w:p>
      <w:pPr>
        <w:spacing w:after="0" w:line="74" w:lineRule="exact"/>
        <w:rPr>
          <w:sz w:val="20"/>
          <w:szCs w:val="20"/>
          <w:color w:val="auto"/>
        </w:rPr>
      </w:pPr>
    </w:p>
    <w:tbl>
      <w:tblPr>
        <w:tblLayout w:type="fixed"/>
        <w:tblInd w:w="140" w:type="dxa"/>
        <w:tblCellMar>
          <w:top w:w="0" w:type="dxa"/>
          <w:left w:w="0" w:type="dxa"/>
          <w:bottom w:w="0" w:type="dxa"/>
          <w:right w:w="0" w:type="dxa"/>
        </w:tblCellMar>
      </w:tblPr>
      <w:tr>
        <w:trPr>
          <w:trHeight w:val="302"/>
        </w:trPr>
        <w:tc>
          <w:tcPr>
            <w:tcW w:w="700" w:type="dxa"/>
            <w:vAlign w:val="bottom"/>
          </w:tcPr>
          <w:p>
            <w:pPr>
              <w:jc w:val="right"/>
              <w:ind w:right="218"/>
              <w:spacing w:after="0" w:line="303" w:lineRule="exact"/>
              <w:rPr>
                <w:sz w:val="20"/>
                <w:szCs w:val="20"/>
                <w:color w:val="auto"/>
              </w:rPr>
            </w:pPr>
            <w:r>
              <w:rPr>
                <w:rFonts w:ascii="Arial" w:cs="Arial" w:eastAsia="Arial" w:hAnsi="Arial"/>
                <w:sz w:val="32"/>
                <w:szCs w:val="32"/>
                <w:b w:val="1"/>
                <w:bCs w:val="1"/>
                <w:color w:val="auto"/>
                <w:w w:val="84"/>
              </w:rPr>
              <w:t>12</w:t>
            </w:r>
          </w:p>
        </w:tc>
        <w:tc>
          <w:tcPr>
            <w:tcW w:w="900" w:type="dxa"/>
            <w:vAlign w:val="bottom"/>
            <w:vMerge w:val="restart"/>
          </w:tcPr>
          <w:p>
            <w:pPr>
              <w:ind w:left="360"/>
              <w:spacing w:after="0"/>
              <w:rPr>
                <w:sz w:val="20"/>
                <w:szCs w:val="20"/>
                <w:color w:val="auto"/>
              </w:rPr>
            </w:pPr>
            <w:r>
              <w:rPr>
                <w:rFonts w:ascii="Arial" w:cs="Arial" w:eastAsia="Arial" w:hAnsi="Arial"/>
                <w:sz w:val="18"/>
                <w:szCs w:val="18"/>
                <w:b w:val="1"/>
                <w:bCs w:val="1"/>
                <w:color w:val="auto"/>
                <w:w w:val="96"/>
              </w:rPr>
              <w:t>IN, HC</w:t>
            </w:r>
          </w:p>
        </w:tc>
        <w:tc>
          <w:tcPr>
            <w:tcW w:w="0" w:type="dxa"/>
            <w:vAlign w:val="bottom"/>
          </w:tcPr>
          <w:p>
            <w:pPr>
              <w:spacing w:after="0"/>
              <w:rPr>
                <w:sz w:val="1"/>
                <w:szCs w:val="1"/>
                <w:color w:val="auto"/>
              </w:rPr>
            </w:pPr>
          </w:p>
        </w:tc>
      </w:tr>
      <w:tr>
        <w:trPr>
          <w:trHeight w:val="52"/>
        </w:trPr>
        <w:tc>
          <w:tcPr>
            <w:tcW w:w="7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6320155" cy="3302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20155" cy="33020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22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 Name of Issuer</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Casual Male Retail Group, Inc.</w:t>
      </w:r>
    </w:p>
    <w:p>
      <w:pPr>
        <w:spacing w:after="0" w:line="18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b. Address of Issuer's Principal Executive Office</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555 Turnpike Street</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Canton, MA 02021</w:t>
      </w:r>
    </w:p>
    <w:p>
      <w:pPr>
        <w:spacing w:after="0" w:line="206" w:lineRule="exact"/>
        <w:rPr>
          <w:sz w:val="20"/>
          <w:szCs w:val="20"/>
          <w:color w:val="auto"/>
        </w:rPr>
      </w:pPr>
    </w:p>
    <w:p>
      <w:pPr>
        <w:ind w:left="1620"/>
        <w:spacing w:after="0"/>
        <w:rPr>
          <w:sz w:val="20"/>
          <w:szCs w:val="20"/>
          <w:color w:val="auto"/>
        </w:rPr>
      </w:pPr>
      <w:r>
        <w:rPr>
          <w:rFonts w:ascii="Arial" w:cs="Arial" w:eastAsia="Arial" w:hAnsi="Arial"/>
          <w:sz w:val="22"/>
          <w:szCs w:val="22"/>
          <w:b w:val="1"/>
          <w:bCs w:val="1"/>
          <w:color w:val="auto"/>
        </w:rPr>
        <w:t>Item 2.</w:t>
      </w:r>
    </w:p>
    <w:p>
      <w:pPr>
        <w:spacing w:after="0" w:line="22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 Name of Person Filing</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This statement is being filed by (i) Husic Capital Management, a California limited partnership and registered investment adviser ("IA"),</w:t>
      </w:r>
    </w:p>
    <w:p>
      <w:pPr>
        <w:spacing w:after="0" w:line="38" w:lineRule="exact"/>
        <w:rPr>
          <w:sz w:val="20"/>
          <w:szCs w:val="20"/>
          <w:color w:val="auto"/>
        </w:rPr>
      </w:pPr>
    </w:p>
    <w:p>
      <w:pPr>
        <w:ind w:left="1620" w:right="340" w:firstLine="9"/>
        <w:spacing w:after="0" w:line="255" w:lineRule="auto"/>
        <w:tabs>
          <w:tab w:leader="none" w:pos="1879" w:val="left"/>
        </w:tabs>
        <w:numPr>
          <w:ilvl w:val="0"/>
          <w:numId w:val="11"/>
        </w:numPr>
        <w:rPr>
          <w:rFonts w:ascii="Arial" w:cs="Arial" w:eastAsia="Arial" w:hAnsi="Arial"/>
          <w:sz w:val="18"/>
          <w:szCs w:val="18"/>
          <w:color w:val="auto"/>
        </w:rPr>
      </w:pPr>
      <w:r>
        <w:rPr>
          <w:rFonts w:ascii="Arial" w:cs="Arial" w:eastAsia="Arial" w:hAnsi="Arial"/>
          <w:sz w:val="18"/>
          <w:szCs w:val="18"/>
          <w:color w:val="auto"/>
        </w:rPr>
        <w:t>Frank J. Husic and Co., a California corporation ("Corporate G.P.") and (iii) Frank J. Husic ("Shareholder") (collectively, the "Reporting Persons"). Corporate G.P. controls IA by virtue of its position as the sole general partner of IA. Shareholder controls IA by virtue of Shareholder's position as the sole shareholder of Corporate G.P.</w:t>
      </w:r>
    </w:p>
    <w:p>
      <w:pPr>
        <w:spacing w:after="0" w:line="158" w:lineRule="exact"/>
        <w:rPr>
          <w:sz w:val="20"/>
          <w:szCs w:val="20"/>
          <w:color w:val="auto"/>
        </w:rPr>
      </w:pPr>
    </w:p>
    <w:p>
      <w:pPr>
        <w:ind w:left="1620"/>
        <w:spacing w:after="0" w:line="288" w:lineRule="auto"/>
        <w:rPr>
          <w:sz w:val="20"/>
          <w:szCs w:val="20"/>
          <w:color w:val="auto"/>
        </w:rPr>
      </w:pPr>
      <w:r>
        <w:rPr>
          <w:rFonts w:ascii="Arial" w:cs="Arial" w:eastAsia="Arial" w:hAnsi="Arial"/>
          <w:sz w:val="16"/>
          <w:szCs w:val="16"/>
          <w:color w:val="auto"/>
        </w:rPr>
        <w:t>IA's beneficial ownership of the Common Stock is direct as a result of IA's discretionary authority to buy, sell, and vote shares of such Common Stock for its investment advisory clients. Corporate G.P.'s beneficial ownership of Common Stock is indirect as a result of its control of IA. Shareholder's beneficial ownership of Common Stock is indirect as a result of Shareholder's stock ownership in Corporate G.P. The beneficial ownership of the Corporate G.P. and Shareholder is reported solely because Rules 13d-1(a) and (b) under the Securities Exchange Act of 1934, as amended, require any person who is "directly or indirectly" the beneficial owner of more than five percent of any equity security of a specified class to file a Schedule 13G within the specified time period. The answers in blocks 5, 7, 9 and 11 above and in responses to item 4 by Corporate G.P. and Shareholder are given on the basis of the "indirect" beneficial ownership referred to in such Rule, based on the direct beneficial ownership of Common Stock by IA and the relationship of Corporate G.P. and Shareholder to IA referred to above.</w:t>
      </w:r>
    </w:p>
    <w:p>
      <w:pPr>
        <w:spacing w:after="0" w:line="133" w:lineRule="exact"/>
        <w:rPr>
          <w:sz w:val="20"/>
          <w:szCs w:val="20"/>
          <w:color w:val="auto"/>
        </w:rPr>
      </w:pPr>
    </w:p>
    <w:p>
      <w:pPr>
        <w:ind w:left="1620" w:right="20"/>
        <w:spacing w:after="0" w:line="332" w:lineRule="auto"/>
        <w:rPr>
          <w:sz w:val="20"/>
          <w:szCs w:val="20"/>
          <w:color w:val="auto"/>
        </w:rPr>
      </w:pPr>
      <w:r>
        <w:rPr>
          <w:rFonts w:ascii="Arial" w:cs="Arial" w:eastAsia="Arial" w:hAnsi="Arial"/>
          <w:sz w:val="16"/>
          <w:szCs w:val="16"/>
          <w:color w:val="auto"/>
        </w:rPr>
        <w:t>Information with respect to each Reporting Person is given solely by the respective Reporting Person, and no Reporting Person undertakes hereby any responsibility for the accuracy or completeness of such information concerning any other Reporting Person.</w:t>
      </w:r>
    </w:p>
    <w:p>
      <w:pPr>
        <w:spacing w:after="0" w:line="9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b. Address of Principal Business Office or, if none, Residence</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IA's , Corporate G.P.'s and Shareholder's Principal Business Offices are located at:</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555 California Street, Suite 2900</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San Francisco, California 94104</w:t>
      </w:r>
    </w:p>
    <w:p>
      <w:pPr>
        <w:spacing w:after="0" w:line="185" w:lineRule="exact"/>
        <w:rPr>
          <w:sz w:val="20"/>
          <w:szCs w:val="20"/>
          <w:color w:val="auto"/>
        </w:rPr>
      </w:pPr>
    </w:p>
    <w:p>
      <w:pPr>
        <w:ind w:left="1620" w:hanging="153"/>
        <w:spacing w:after="0"/>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184" w:lineRule="exact"/>
        <w:rPr>
          <w:rFonts w:ascii="Arial" w:cs="Arial" w:eastAsia="Arial" w:hAnsi="Arial"/>
          <w:sz w:val="18"/>
          <w:szCs w:val="18"/>
          <w:color w:val="auto"/>
        </w:rPr>
      </w:pPr>
    </w:p>
    <w:p>
      <w:pPr>
        <w:ind w:left="1620" w:right="6840"/>
        <w:spacing w:after="0" w:line="510" w:lineRule="auto"/>
        <w:rPr>
          <w:rFonts w:ascii="Arial" w:cs="Arial" w:eastAsia="Arial" w:hAnsi="Arial"/>
          <w:sz w:val="18"/>
          <w:szCs w:val="18"/>
          <w:color w:val="auto"/>
        </w:rPr>
      </w:pPr>
      <w:r>
        <w:rPr>
          <w:rFonts w:ascii="Arial" w:cs="Arial" w:eastAsia="Arial" w:hAnsi="Arial"/>
          <w:sz w:val="16"/>
          <w:szCs w:val="16"/>
          <w:color w:val="auto"/>
        </w:rPr>
        <w:t>IA is a California limited partnership Corporate G.P. is a California corporation Shareholder is a United States citizen</w:t>
      </w:r>
    </w:p>
    <w:p>
      <w:pPr>
        <w:spacing w:after="0" w:line="2" w:lineRule="exact"/>
        <w:rPr>
          <w:rFonts w:ascii="Arial" w:cs="Arial" w:eastAsia="Arial" w:hAnsi="Arial"/>
          <w:sz w:val="18"/>
          <w:szCs w:val="18"/>
          <w:color w:val="auto"/>
        </w:rPr>
      </w:pPr>
    </w:p>
    <w:p>
      <w:pPr>
        <w:ind w:left="1620" w:right="7900" w:hanging="167"/>
        <w:spacing w:after="0" w:line="510" w:lineRule="auto"/>
        <w:tabs>
          <w:tab w:leader="none" w:pos="1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 w:lineRule="exact"/>
        <w:rPr>
          <w:rFonts w:ascii="Arial" w:cs="Arial" w:eastAsia="Arial" w:hAnsi="Arial"/>
          <w:sz w:val="16"/>
          <w:szCs w:val="16"/>
          <w:color w:val="auto"/>
        </w:rPr>
      </w:pPr>
    </w:p>
    <w:p>
      <w:pPr>
        <w:ind w:left="1620" w:hanging="153"/>
        <w:spacing w:after="0"/>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206"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148711104</w:t>
      </w:r>
    </w:p>
    <w:p>
      <w:pPr>
        <w:spacing w:after="0" w:line="206" w:lineRule="exact"/>
        <w:rPr>
          <w:sz w:val="20"/>
          <w:szCs w:val="20"/>
          <w:color w:val="auto"/>
        </w:rPr>
      </w:pPr>
    </w:p>
    <w:p>
      <w:pPr>
        <w:ind w:left="1620"/>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17"/>
          <w:szCs w:val="17"/>
          <w:b w:val="1"/>
          <w:bCs w:val="1"/>
          <w:color w:val="auto"/>
        </w:rPr>
        <w:t>If this statement is filed pursuant to 240.13d(b) or 240.13d-2(b) or (c), check whether the person filing is a:</w:t>
      </w:r>
    </w:p>
    <w:p>
      <w:pPr>
        <w:sectPr>
          <w:pgSz w:w="11900" w:h="16912" w:orient="portrait"/>
          <w:cols w:equalWidth="0" w:num="1">
            <w:col w:w="11400"/>
          </w:cols>
          <w:pgMar w:left="240" w:top="0" w:right="259" w:bottom="0" w:gutter="0" w:footer="0" w:header="0"/>
        </w:sectPr>
      </w:pPr>
    </w:p>
    <w:p>
      <w:pPr>
        <w:spacing w:after="0" w:line="32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w:t>
      </w:r>
    </w:p>
    <w:p>
      <w:pPr>
        <w:spacing w:after="0" w:line="28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(b)</w:t>
      </w:r>
    </w:p>
    <w:p>
      <w:pPr>
        <w:spacing w:after="0" w:line="28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w:t>
      </w:r>
    </w:p>
    <w:p>
      <w:pPr>
        <w:spacing w:after="0" w:line="28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Arial" w:cs="Arial" w:eastAsia="Arial" w:hAnsi="Arial"/>
          <w:sz w:val="21"/>
          <w:szCs w:val="21"/>
          <w:color w:val="auto"/>
        </w:rPr>
        <w:t>o</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o</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o</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o</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Broker or dealer registered under section 15 of the Act (15 U.S.C. 78o).</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Bank as defined in section 3(a)(6) of the Act (15 U.S.C. 78c)</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Insurance Company as defined in section 3(a)(19) of the Act (15 U.S.C. 78c).</w:t>
      </w:r>
    </w:p>
    <w:p>
      <w:pPr>
        <w:spacing w:after="0" w:line="289" w:lineRule="exact"/>
        <w:rPr>
          <w:sz w:val="20"/>
          <w:szCs w:val="20"/>
          <w:color w:val="auto"/>
        </w:rPr>
      </w:pPr>
    </w:p>
    <w:p>
      <w:pPr>
        <w:ind w:right="4580"/>
        <w:spacing w:after="0" w:line="254" w:lineRule="auto"/>
        <w:rPr>
          <w:sz w:val="20"/>
          <w:szCs w:val="20"/>
          <w:color w:val="auto"/>
        </w:rPr>
      </w:pPr>
      <w:r>
        <w:rPr>
          <w:rFonts w:ascii="Arial" w:cs="Arial" w:eastAsia="Arial" w:hAnsi="Arial"/>
          <w:sz w:val="18"/>
          <w:szCs w:val="18"/>
          <w:color w:val="auto"/>
        </w:rPr>
        <w:t>Investment company registered under section 8 of the Investment Company Act of 1940 (15 U.S.C. 80a-8).</w:t>
      </w:r>
    </w:p>
    <w:p>
      <w:pPr>
        <w:spacing w:after="0" w:line="1" w:lineRule="exact"/>
        <w:rPr>
          <w:sz w:val="20"/>
          <w:szCs w:val="20"/>
          <w:color w:val="auto"/>
        </w:rPr>
      </w:pPr>
    </w:p>
    <w:p>
      <w:pPr>
        <w:sectPr>
          <w:pgSz w:w="11900" w:h="16912" w:orient="portrait"/>
          <w:cols w:equalWidth="0" w:num="3">
            <w:col w:w="300" w:space="320"/>
            <w:col w:w="120" w:space="280"/>
            <w:col w:w="10380"/>
          </w:cols>
          <w:pgMar w:left="240" w:top="0" w:right="259" w:bottom="0" w:gutter="0" w:footer="0" w:header="0"/>
          <w:type w:val="continuous"/>
        </w:sectPr>
      </w:pPr>
    </w:p>
    <w:p>
      <w:pPr>
        <w:ind w:left="100"/>
        <w:spacing w:after="0" w:line="520" w:lineRule="exact"/>
        <w:tabs>
          <w:tab w:leader="none" w:pos="560" w:val="left"/>
          <w:tab w:leader="none" w:pos="1000" w:val="left"/>
        </w:tabs>
        <w:rPr>
          <w:sz w:val="20"/>
          <w:szCs w:val="20"/>
          <w:color w:val="auto"/>
        </w:rPr>
      </w:pPr>
      <w:r>
        <w:rPr>
          <w:rFonts w:ascii="Arial" w:cs="Arial" w:eastAsia="Arial" w:hAnsi="Arial"/>
          <w:sz w:val="18"/>
          <w:szCs w:val="18"/>
          <w:color w:val="auto"/>
        </w:rPr>
        <w:t>(e)</w:t>
      </w:r>
      <w:r>
        <w:rPr>
          <w:sz w:val="20"/>
          <w:szCs w:val="20"/>
          <w:color w:val="auto"/>
        </w:rPr>
        <w:tab/>
      </w:r>
      <w:r>
        <w:rPr>
          <w:rFonts w:ascii="MS PGothic" w:cs="MS PGothic" w:eastAsia="MS PGothic" w:hAnsi="MS PGothic"/>
          <w:sz w:val="48"/>
          <w:szCs w:val="48"/>
          <w:color w:val="auto"/>
          <w:vertAlign w:val="subscript"/>
        </w:rPr>
        <w:t>☒</w:t>
      </w:r>
      <w:r>
        <w:rPr>
          <w:sz w:val="20"/>
          <w:szCs w:val="20"/>
          <w:color w:val="auto"/>
        </w:rPr>
        <w:tab/>
      </w:r>
      <w:r>
        <w:rPr>
          <w:rFonts w:ascii="Arial" w:cs="Arial" w:eastAsia="Arial" w:hAnsi="Arial"/>
          <w:sz w:val="16"/>
          <w:szCs w:val="16"/>
          <w:color w:val="auto"/>
        </w:rPr>
        <w:t>An investment adviser in accordance with 240.13D-1(b)(1)(ii)(E);</w:t>
      </w:r>
    </w:p>
    <w:p>
      <w:pPr>
        <w:ind w:left="100"/>
        <w:spacing w:after="0"/>
        <w:tabs>
          <w:tab w:leader="none" w:pos="600" w:val="left"/>
          <w:tab w:leader="none" w:pos="1000" w:val="left"/>
        </w:tabs>
        <w:rPr>
          <w:sz w:val="20"/>
          <w:szCs w:val="20"/>
          <w:color w:val="auto"/>
        </w:rPr>
      </w:pPr>
      <w:r>
        <w:rPr>
          <w:rFonts w:ascii="Arial" w:cs="Arial" w:eastAsia="Arial" w:hAnsi="Arial"/>
          <w:sz w:val="17"/>
          <w:szCs w:val="17"/>
          <w:color w:val="auto"/>
        </w:rPr>
        <w:t>(f)</w:t>
      </w:r>
      <w:r>
        <w:rPr>
          <w:sz w:val="20"/>
          <w:szCs w:val="20"/>
          <w:color w:val="auto"/>
        </w:rPr>
        <w:tab/>
      </w:r>
      <w:r>
        <w:rPr>
          <w:rFonts w:ascii="Arial" w:cs="Arial" w:eastAsia="Arial" w:hAnsi="Arial"/>
          <w:sz w:val="44"/>
          <w:szCs w:val="44"/>
          <w:color w:val="auto"/>
          <w:vertAlign w:val="subscript"/>
        </w:rPr>
        <w:t>o</w:t>
      </w:r>
      <w:r>
        <w:rPr>
          <w:sz w:val="20"/>
          <w:szCs w:val="20"/>
          <w:color w:val="auto"/>
        </w:rPr>
        <w:tab/>
      </w:r>
      <w:r>
        <w:rPr>
          <w:rFonts w:ascii="Arial" w:cs="Arial" w:eastAsia="Arial" w:hAnsi="Arial"/>
          <w:sz w:val="16"/>
          <w:szCs w:val="16"/>
          <w:color w:val="auto"/>
        </w:rPr>
        <w:t>An employee benefit plan or endowment fund in accordance with 240.13d-1(b)(1)</w:t>
      </w:r>
    </w:p>
    <w:p>
      <w:pPr>
        <w:ind w:left="1020"/>
        <w:spacing w:after="0"/>
        <w:rPr>
          <w:sz w:val="20"/>
          <w:szCs w:val="20"/>
          <w:color w:val="auto"/>
        </w:rPr>
      </w:pPr>
      <w:r>
        <w:rPr>
          <w:rFonts w:ascii="Arial" w:cs="Arial" w:eastAsia="Arial" w:hAnsi="Arial"/>
          <w:sz w:val="18"/>
          <w:szCs w:val="18"/>
          <w:color w:val="auto"/>
        </w:rPr>
        <w:t>(ii)(F);</w:t>
      </w:r>
    </w:p>
    <w:p>
      <w:pPr>
        <w:spacing w:after="0" w:line="139" w:lineRule="exact"/>
        <w:rPr>
          <w:sz w:val="20"/>
          <w:szCs w:val="20"/>
          <w:color w:val="auto"/>
        </w:rPr>
      </w:pPr>
    </w:p>
    <w:p>
      <w:pPr>
        <w:ind w:left="580" w:hanging="477"/>
        <w:spacing w:after="0" w:line="245" w:lineRule="exact"/>
        <w:tabs>
          <w:tab w:leader="none" w:pos="580" w:val="left"/>
        </w:tabs>
        <w:numPr>
          <w:ilvl w:val="0"/>
          <w:numId w:val="13"/>
        </w:numPr>
        <w:rPr>
          <w:rFonts w:ascii="Arial" w:cs="Arial" w:eastAsia="Arial" w:hAnsi="Arial"/>
          <w:sz w:val="18"/>
          <w:szCs w:val="18"/>
          <w:color w:val="auto"/>
        </w:rPr>
      </w:pPr>
      <w:r>
        <w:rPr>
          <w:rFonts w:ascii="MS PGothic" w:cs="MS PGothic" w:eastAsia="MS PGothic" w:hAnsi="MS PGothic"/>
          <w:sz w:val="24"/>
          <w:szCs w:val="24"/>
          <w:color w:val="auto"/>
        </w:rPr>
        <w:t>☒</w:t>
      </w:r>
    </w:p>
    <w:p>
      <w:pPr>
        <w:sectPr>
          <w:pgSz w:w="11900" w:h="16912" w:orient="portrait"/>
          <w:cols w:equalWidth="0" w:num="1">
            <w:col w:w="11400"/>
          </w:cols>
          <w:pgMar w:left="240" w:top="0" w:right="259" w:bottom="0" w:gutter="0" w:footer="0" w:header="0"/>
          <w:type w:val="continuous"/>
        </w:sectPr>
      </w:pPr>
    </w:p>
    <w:bookmarkStart w:id="4" w:name="page5"/>
    <w:bookmarkEnd w:id="4"/>
    <w:tbl>
      <w:tblPr>
        <w:tblLayout w:type="fixed"/>
        <w:tblInd w:w="10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20" w:type="dxa"/>
            <w:vAlign w:val="bottom"/>
          </w:tcPr>
          <w:p>
            <w:pPr>
              <w:ind w:left="140"/>
              <w:spacing w:after="0"/>
              <w:rPr>
                <w:sz w:val="20"/>
                <w:szCs w:val="20"/>
                <w:color w:val="auto"/>
              </w:rPr>
            </w:pPr>
            <w:r>
              <w:rPr>
                <w:rFonts w:ascii="Arial" w:cs="Arial" w:eastAsia="Arial" w:hAnsi="Arial"/>
                <w:sz w:val="18"/>
                <w:szCs w:val="18"/>
                <w:color w:val="auto"/>
                <w:w w:val="89"/>
              </w:rPr>
              <w:t>A parent holding company or control person in accordance with 240.13d-1(b)(1)(ii)</w:t>
            </w:r>
          </w:p>
        </w:tc>
      </w:tr>
      <w:tr>
        <w:trPr>
          <w:trHeight w:val="222"/>
        </w:trPr>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20" w:type="dxa"/>
            <w:vAlign w:val="bottom"/>
          </w:tcPr>
          <w:p>
            <w:pPr>
              <w:ind w:left="140"/>
              <w:spacing w:after="0"/>
              <w:rPr>
                <w:sz w:val="20"/>
                <w:szCs w:val="20"/>
                <w:color w:val="auto"/>
              </w:rPr>
            </w:pPr>
            <w:r>
              <w:rPr>
                <w:rFonts w:ascii="Arial" w:cs="Arial" w:eastAsia="Arial" w:hAnsi="Arial"/>
                <w:sz w:val="18"/>
                <w:szCs w:val="18"/>
                <w:color w:val="auto"/>
              </w:rPr>
              <w:t>(G);</w:t>
            </w:r>
          </w:p>
        </w:tc>
      </w:tr>
      <w:tr>
        <w:trPr>
          <w:trHeight w:val="407"/>
        </w:trPr>
        <w:tc>
          <w:tcPr>
            <w:tcW w:w="360" w:type="dxa"/>
            <w:vAlign w:val="bottom"/>
          </w:tcPr>
          <w:p>
            <w:pPr>
              <w:spacing w:after="0"/>
              <w:rPr>
                <w:sz w:val="20"/>
                <w:szCs w:val="20"/>
                <w:color w:val="auto"/>
              </w:rPr>
            </w:pPr>
            <w:r>
              <w:rPr>
                <w:rFonts w:ascii="Arial" w:cs="Arial" w:eastAsia="Arial" w:hAnsi="Arial"/>
                <w:sz w:val="18"/>
                <w:szCs w:val="18"/>
                <w:color w:val="auto"/>
              </w:rPr>
              <w:t>(h)</w:t>
            </w:r>
          </w:p>
        </w:tc>
        <w:tc>
          <w:tcPr>
            <w:tcW w:w="420" w:type="dxa"/>
            <w:vAlign w:val="bottom"/>
          </w:tcPr>
          <w:p>
            <w:pPr>
              <w:ind w:left="160"/>
              <w:spacing w:after="0"/>
              <w:rPr>
                <w:sz w:val="20"/>
                <w:szCs w:val="20"/>
                <w:color w:val="auto"/>
              </w:rPr>
            </w:pPr>
            <w:r>
              <w:rPr>
                <w:rFonts w:ascii="Arial" w:cs="Arial" w:eastAsia="Arial" w:hAnsi="Arial"/>
                <w:sz w:val="24"/>
                <w:szCs w:val="24"/>
                <w:color w:val="auto"/>
              </w:rPr>
              <w:t>o</w:t>
            </w:r>
          </w:p>
        </w:tc>
        <w:tc>
          <w:tcPr>
            <w:tcW w:w="6020" w:type="dxa"/>
            <w:vAlign w:val="bottom"/>
          </w:tcPr>
          <w:p>
            <w:pPr>
              <w:ind w:left="140"/>
              <w:spacing w:after="0"/>
              <w:rPr>
                <w:sz w:val="20"/>
                <w:szCs w:val="20"/>
                <w:color w:val="auto"/>
              </w:rPr>
            </w:pPr>
            <w:r>
              <w:rPr>
                <w:rFonts w:ascii="Arial" w:cs="Arial" w:eastAsia="Arial" w:hAnsi="Arial"/>
                <w:sz w:val="18"/>
                <w:szCs w:val="18"/>
                <w:color w:val="auto"/>
                <w:w w:val="89"/>
              </w:rPr>
              <w:t>A savings associations as defined in Section 3(b) of the Federal Deposit Insurance</w:t>
            </w:r>
          </w:p>
        </w:tc>
      </w:tr>
      <w:tr>
        <w:trPr>
          <w:trHeight w:val="222"/>
        </w:trPr>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20" w:type="dxa"/>
            <w:vAlign w:val="bottom"/>
          </w:tcPr>
          <w:p>
            <w:pPr>
              <w:ind w:left="140"/>
              <w:spacing w:after="0"/>
              <w:rPr>
                <w:sz w:val="20"/>
                <w:szCs w:val="20"/>
                <w:color w:val="auto"/>
              </w:rPr>
            </w:pPr>
            <w:r>
              <w:rPr>
                <w:rFonts w:ascii="Arial" w:cs="Arial" w:eastAsia="Arial" w:hAnsi="Arial"/>
                <w:sz w:val="18"/>
                <w:szCs w:val="18"/>
                <w:color w:val="auto"/>
              </w:rPr>
              <w:t>Act (12 U.S.C. 1813)</w:t>
            </w:r>
          </w:p>
        </w:tc>
      </w:tr>
      <w:tr>
        <w:trPr>
          <w:trHeight w:val="399"/>
        </w:trPr>
        <w:tc>
          <w:tcPr>
            <w:tcW w:w="360" w:type="dxa"/>
            <w:vAlign w:val="bottom"/>
          </w:tcPr>
          <w:p>
            <w:pPr>
              <w:spacing w:after="0"/>
              <w:rPr>
                <w:sz w:val="20"/>
                <w:szCs w:val="20"/>
                <w:color w:val="auto"/>
              </w:rPr>
            </w:pPr>
            <w:r>
              <w:rPr>
                <w:rFonts w:ascii="Arial" w:cs="Arial" w:eastAsia="Arial" w:hAnsi="Arial"/>
                <w:sz w:val="18"/>
                <w:szCs w:val="18"/>
                <w:color w:val="auto"/>
              </w:rPr>
              <w:t>(i)</w:t>
            </w:r>
          </w:p>
        </w:tc>
        <w:tc>
          <w:tcPr>
            <w:tcW w:w="420" w:type="dxa"/>
            <w:vAlign w:val="bottom"/>
          </w:tcPr>
          <w:p>
            <w:pPr>
              <w:ind w:left="160"/>
              <w:spacing w:after="0"/>
              <w:rPr>
                <w:sz w:val="20"/>
                <w:szCs w:val="20"/>
                <w:color w:val="auto"/>
              </w:rPr>
            </w:pPr>
            <w:r>
              <w:rPr>
                <w:rFonts w:ascii="Arial" w:cs="Arial" w:eastAsia="Arial" w:hAnsi="Arial"/>
                <w:sz w:val="24"/>
                <w:szCs w:val="24"/>
                <w:color w:val="auto"/>
              </w:rPr>
              <w:t>o</w:t>
            </w:r>
          </w:p>
        </w:tc>
        <w:tc>
          <w:tcPr>
            <w:tcW w:w="6020" w:type="dxa"/>
            <w:vAlign w:val="bottom"/>
          </w:tcPr>
          <w:p>
            <w:pPr>
              <w:ind w:left="140"/>
              <w:spacing w:after="0"/>
              <w:rPr>
                <w:sz w:val="20"/>
                <w:szCs w:val="20"/>
                <w:color w:val="auto"/>
              </w:rPr>
            </w:pPr>
            <w:r>
              <w:rPr>
                <w:rFonts w:ascii="Arial" w:cs="Arial" w:eastAsia="Arial" w:hAnsi="Arial"/>
                <w:sz w:val="18"/>
                <w:szCs w:val="18"/>
                <w:color w:val="auto"/>
                <w:w w:val="89"/>
              </w:rPr>
              <w:t>A church plan that is excluded from the definition of an investment company under</w:t>
            </w:r>
          </w:p>
        </w:tc>
      </w:tr>
      <w:tr>
        <w:trPr>
          <w:trHeight w:val="222"/>
        </w:trPr>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20" w:type="dxa"/>
            <w:vAlign w:val="bottom"/>
          </w:tcPr>
          <w:p>
            <w:pPr>
              <w:ind w:left="140"/>
              <w:spacing w:after="0"/>
              <w:rPr>
                <w:sz w:val="20"/>
                <w:szCs w:val="20"/>
                <w:color w:val="auto"/>
              </w:rPr>
            </w:pPr>
            <w:r>
              <w:rPr>
                <w:rFonts w:ascii="Arial" w:cs="Arial" w:eastAsia="Arial" w:hAnsi="Arial"/>
                <w:sz w:val="18"/>
                <w:szCs w:val="18"/>
                <w:color w:val="auto"/>
                <w:w w:val="96"/>
              </w:rPr>
              <w:t>section 3(c)(114) of the Investment Company Act of 1940 (15 U.S.C. 80a-3);</w:t>
            </w:r>
          </w:p>
        </w:tc>
      </w:tr>
      <w:tr>
        <w:trPr>
          <w:trHeight w:val="471"/>
        </w:trPr>
        <w:tc>
          <w:tcPr>
            <w:tcW w:w="360" w:type="dxa"/>
            <w:vAlign w:val="bottom"/>
          </w:tcPr>
          <w:p>
            <w:pPr>
              <w:spacing w:after="0"/>
              <w:rPr>
                <w:sz w:val="20"/>
                <w:szCs w:val="20"/>
                <w:color w:val="auto"/>
              </w:rPr>
            </w:pPr>
            <w:r>
              <w:rPr>
                <w:rFonts w:ascii="Arial" w:cs="Arial" w:eastAsia="Arial" w:hAnsi="Arial"/>
                <w:sz w:val="18"/>
                <w:szCs w:val="18"/>
                <w:color w:val="auto"/>
              </w:rPr>
              <w:t>(j)</w:t>
            </w:r>
          </w:p>
        </w:tc>
        <w:tc>
          <w:tcPr>
            <w:tcW w:w="420" w:type="dxa"/>
            <w:vAlign w:val="bottom"/>
          </w:tcPr>
          <w:p>
            <w:pPr>
              <w:ind w:left="160"/>
              <w:spacing w:after="0"/>
              <w:rPr>
                <w:sz w:val="20"/>
                <w:szCs w:val="20"/>
                <w:color w:val="auto"/>
              </w:rPr>
            </w:pPr>
            <w:r>
              <w:rPr>
                <w:rFonts w:ascii="Arial" w:cs="Arial" w:eastAsia="Arial" w:hAnsi="Arial"/>
                <w:sz w:val="24"/>
                <w:szCs w:val="24"/>
                <w:color w:val="auto"/>
              </w:rPr>
              <w:t>o</w:t>
            </w:r>
          </w:p>
        </w:tc>
        <w:tc>
          <w:tcPr>
            <w:tcW w:w="6020" w:type="dxa"/>
            <w:vAlign w:val="bottom"/>
          </w:tcPr>
          <w:p>
            <w:pPr>
              <w:ind w:left="140"/>
              <w:spacing w:after="0"/>
              <w:rPr>
                <w:sz w:val="20"/>
                <w:szCs w:val="20"/>
                <w:color w:val="auto"/>
              </w:rPr>
            </w:pPr>
            <w:r>
              <w:rPr>
                <w:rFonts w:ascii="Arial" w:cs="Arial" w:eastAsia="Arial" w:hAnsi="Arial"/>
                <w:sz w:val="18"/>
                <w:szCs w:val="18"/>
                <w:color w:val="auto"/>
              </w:rPr>
              <w:t>Group, in accordance with 240.13d-1(b)(1)(ii)(J).</w:t>
            </w: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Item 4. Ownership</w:t>
      </w:r>
    </w:p>
    <w:p>
      <w:pPr>
        <w:spacing w:after="0" w:line="19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Common Stock:</w:t>
      </w:r>
    </w:p>
    <w:p>
      <w:pPr>
        <w:spacing w:after="0" w:line="185" w:lineRule="exact"/>
        <w:rPr>
          <w:sz w:val="20"/>
          <w:szCs w:val="20"/>
          <w:color w:val="auto"/>
        </w:rPr>
      </w:pPr>
    </w:p>
    <w:p>
      <w:pPr>
        <w:ind w:left="1860" w:hanging="231"/>
        <w:spacing w:after="0"/>
        <w:tabs>
          <w:tab w:leader="none" w:pos="1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Amount Beneficially Owned: </w:t>
      </w:r>
      <w:r>
        <w:rPr>
          <w:rFonts w:ascii="Arial" w:cs="Arial" w:eastAsia="Arial" w:hAnsi="Arial"/>
          <w:sz w:val="18"/>
          <w:szCs w:val="18"/>
          <w:u w:val="single" w:color="auto"/>
          <w:color w:val="auto"/>
        </w:rPr>
        <w:t>271,775</w:t>
      </w:r>
    </w:p>
    <w:p>
      <w:pPr>
        <w:spacing w:after="0" w:line="184" w:lineRule="exact"/>
        <w:rPr>
          <w:rFonts w:ascii="Arial" w:cs="Arial" w:eastAsia="Arial" w:hAnsi="Arial"/>
          <w:sz w:val="18"/>
          <w:szCs w:val="18"/>
          <w:color w:val="auto"/>
        </w:rPr>
      </w:pPr>
    </w:p>
    <w:p>
      <w:pPr>
        <w:ind w:left="1880" w:hanging="251"/>
        <w:spacing w:after="0"/>
        <w:tabs>
          <w:tab w:leader="none" w:pos="1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Percent of Class: </w:t>
      </w:r>
      <w:r>
        <w:rPr>
          <w:rFonts w:ascii="Arial" w:cs="Arial" w:eastAsia="Arial" w:hAnsi="Arial"/>
          <w:sz w:val="18"/>
          <w:szCs w:val="18"/>
          <w:u w:val="single" w:color="auto"/>
          <w:color w:val="auto"/>
        </w:rPr>
        <w:t>0.79%</w:t>
      </w:r>
    </w:p>
    <w:p>
      <w:pPr>
        <w:spacing w:after="0" w:line="184" w:lineRule="exact"/>
        <w:rPr>
          <w:rFonts w:ascii="Arial" w:cs="Arial" w:eastAsia="Arial" w:hAnsi="Arial"/>
          <w:sz w:val="18"/>
          <w:szCs w:val="18"/>
          <w:color w:val="auto"/>
        </w:rPr>
      </w:pPr>
    </w:p>
    <w:p>
      <w:pPr>
        <w:ind w:left="1860" w:hanging="231"/>
        <w:spacing w:after="0"/>
        <w:tabs>
          <w:tab w:leader="none" w:pos="1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joint filers have:</w:t>
      </w:r>
    </w:p>
    <w:p>
      <w:pPr>
        <w:spacing w:after="0" w:line="184" w:lineRule="exact"/>
        <w:rPr>
          <w:rFonts w:ascii="Arial" w:cs="Arial" w:eastAsia="Arial" w:hAnsi="Arial"/>
          <w:sz w:val="18"/>
          <w:szCs w:val="18"/>
          <w:color w:val="auto"/>
        </w:rPr>
      </w:pPr>
    </w:p>
    <w:p>
      <w:pPr>
        <w:ind w:left="1840" w:hanging="211"/>
        <w:spacing w:after="0"/>
        <w:tabs>
          <w:tab w:leader="none" w:pos="1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sole power to vote or to direct the vote: </w:t>
      </w:r>
      <w:r>
        <w:rPr>
          <w:rFonts w:ascii="Arial" w:cs="Arial" w:eastAsia="Arial" w:hAnsi="Arial"/>
          <w:sz w:val="18"/>
          <w:szCs w:val="18"/>
          <w:u w:val="single" w:color="auto"/>
          <w:color w:val="auto"/>
        </w:rPr>
        <w:t>271,775</w:t>
      </w:r>
    </w:p>
    <w:p>
      <w:pPr>
        <w:spacing w:after="0" w:line="184" w:lineRule="exact"/>
        <w:rPr>
          <w:rFonts w:ascii="Arial" w:cs="Arial" w:eastAsia="Arial" w:hAnsi="Arial"/>
          <w:sz w:val="18"/>
          <w:szCs w:val="18"/>
          <w:color w:val="auto"/>
        </w:rPr>
      </w:pPr>
    </w:p>
    <w:p>
      <w:pPr>
        <w:ind w:left="1880" w:hanging="251"/>
        <w:spacing w:after="0"/>
        <w:tabs>
          <w:tab w:leader="none" w:pos="1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shared power to vote of to direct the vote: </w:t>
      </w:r>
      <w:r>
        <w:rPr>
          <w:rFonts w:ascii="Arial" w:cs="Arial" w:eastAsia="Arial" w:hAnsi="Arial"/>
          <w:sz w:val="18"/>
          <w:szCs w:val="18"/>
          <w:u w:val="single" w:color="auto"/>
          <w:color w:val="auto"/>
        </w:rPr>
        <w:t>0</w:t>
      </w:r>
    </w:p>
    <w:p>
      <w:pPr>
        <w:spacing w:after="0" w:line="184" w:lineRule="exact"/>
        <w:rPr>
          <w:rFonts w:ascii="Arial" w:cs="Arial" w:eastAsia="Arial" w:hAnsi="Arial"/>
          <w:sz w:val="18"/>
          <w:szCs w:val="18"/>
          <w:color w:val="auto"/>
        </w:rPr>
      </w:pPr>
    </w:p>
    <w:p>
      <w:pPr>
        <w:ind w:left="1620" w:right="5220" w:firstLine="9"/>
        <w:spacing w:after="0" w:line="506" w:lineRule="auto"/>
        <w:tabs>
          <w:tab w:leader="none" w:pos="1927"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sole power to dispose or to direct the disposition of: </w:t>
      </w:r>
      <w:r>
        <w:rPr>
          <w:rFonts w:ascii="Arial" w:cs="Arial" w:eastAsia="Arial" w:hAnsi="Arial"/>
          <w:sz w:val="16"/>
          <w:szCs w:val="16"/>
          <w:u w:val="single" w:color="auto"/>
          <w:color w:val="auto"/>
        </w:rPr>
        <w:t>271,775</w:t>
      </w:r>
      <w:r>
        <w:rPr>
          <w:rFonts w:ascii="Arial" w:cs="Arial" w:eastAsia="Arial" w:hAnsi="Arial"/>
          <w:sz w:val="16"/>
          <w:szCs w:val="16"/>
          <w:color w:val="auto"/>
        </w:rPr>
        <w:t xml:space="preserve"> (iv) shared power to dispose of or to direct the disposition of: </w:t>
      </w:r>
      <w:r>
        <w:rPr>
          <w:rFonts w:ascii="Arial" w:cs="Arial" w:eastAsia="Arial" w:hAnsi="Arial"/>
          <w:sz w:val="16"/>
          <w:szCs w:val="16"/>
          <w:u w:val="single" w:color="auto"/>
          <w:color w:val="auto"/>
        </w:rPr>
        <w:t>0</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31" w:lineRule="exact"/>
        <w:rPr>
          <w:sz w:val="20"/>
          <w:szCs w:val="20"/>
          <w:color w:val="auto"/>
        </w:rPr>
      </w:pPr>
    </w:p>
    <w:p>
      <w:pPr>
        <w:ind w:left="1620"/>
        <w:spacing w:after="0" w:line="265" w:lineRule="auto"/>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Arial" w:cs="Arial" w:eastAsia="Arial" w:hAnsi="Arial"/>
          <w:sz w:val="24"/>
          <w:szCs w:val="24"/>
          <w:color w:val="auto"/>
        </w:rPr>
        <w:t>x</w:t>
      </w:r>
    </w:p>
    <w:p>
      <w:pPr>
        <w:spacing w:after="0" w:line="177"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191" w:lineRule="exact"/>
        <w:rPr>
          <w:sz w:val="20"/>
          <w:szCs w:val="20"/>
          <w:color w:val="auto"/>
        </w:rPr>
      </w:pPr>
    </w:p>
    <w:p>
      <w:pPr>
        <w:ind w:left="1620" w:right="20"/>
        <w:spacing w:after="0" w:line="306" w:lineRule="auto"/>
        <w:rPr>
          <w:sz w:val="20"/>
          <w:szCs w:val="20"/>
          <w:color w:val="auto"/>
        </w:rPr>
      </w:pPr>
      <w:r>
        <w:rPr>
          <w:rFonts w:ascii="Arial" w:cs="Arial" w:eastAsia="Arial" w:hAnsi="Arial"/>
          <w:sz w:val="16"/>
          <w:szCs w:val="16"/>
          <w:color w:val="auto"/>
        </w:rPr>
        <w:t>IA, a registered investment adviser, Corporate G.P., IA's sole general partner, and Shareholder, the sole shareholder of Corporate G.P., have the right or the power to direct the receipt of dividends from Common Stock, and to direct the receipt of proceeds from the sale of Common Stock to IA's investment advisory clients. No single investment advisory client of IA owns more than 5% of the Common Stock.</w:t>
      </w:r>
    </w:p>
    <w:p>
      <w:pPr>
        <w:spacing w:after="0" w:line="114" w:lineRule="exact"/>
        <w:rPr>
          <w:sz w:val="20"/>
          <w:szCs w:val="20"/>
          <w:color w:val="auto"/>
        </w:rPr>
      </w:pPr>
    </w:p>
    <w:p>
      <w:pPr>
        <w:ind w:left="1620" w:right="100"/>
        <w:spacing w:after="0" w:line="275"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w:t>
      </w:r>
    </w:p>
    <w:p>
      <w:pPr>
        <w:spacing w:after="0" w:line="180" w:lineRule="exact"/>
        <w:rPr>
          <w:sz w:val="20"/>
          <w:szCs w:val="20"/>
          <w:color w:val="auto"/>
        </w:rPr>
      </w:pPr>
    </w:p>
    <w:p>
      <w:pPr>
        <w:jc w:val="both"/>
        <w:ind w:left="1620" w:right="160"/>
        <w:spacing w:after="0" w:line="259" w:lineRule="auto"/>
        <w:rPr>
          <w:sz w:val="20"/>
          <w:szCs w:val="20"/>
          <w:color w:val="auto"/>
        </w:rPr>
      </w:pPr>
      <w:r>
        <w:rPr>
          <w:rFonts w:ascii="Arial" w:cs="Arial" w:eastAsia="Arial" w:hAnsi="Arial"/>
          <w:sz w:val="18"/>
          <w:szCs w:val="18"/>
          <w:color w:val="auto"/>
        </w:rPr>
        <w:t>Corporate G.P. and Shareholder are the equivalent of parent holding companies for purposes of the Schedule 13G. IA is the equivalent of Corporate G.P.'s direct subsidiary and Shareholder's indirect subsidiary, and IA acquired the security being reported on by Corporate G.P. and Shareholder. IA is a registered investment adviser. See Exhibit B.</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19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Not applicable.</w:t>
      </w:r>
    </w:p>
    <w:p>
      <w:pPr>
        <w:spacing w:after="0" w:line="179"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19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Not applicable.</w:t>
      </w:r>
    </w:p>
    <w:p>
      <w:pPr>
        <w:spacing w:after="0" w:line="179"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Item 10. Certification</w:t>
      </w:r>
    </w:p>
    <w:p>
      <w:pPr>
        <w:spacing w:after="0" w:line="19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The following certification shall be included if the statement is filed pursuant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240.13d-l (c):</w:t>
      </w:r>
    </w:p>
    <w:p>
      <w:pPr>
        <w:spacing w:after="0" w:line="185" w:lineRule="exact"/>
        <w:rPr>
          <w:sz w:val="20"/>
          <w:szCs w:val="20"/>
          <w:color w:val="auto"/>
        </w:rPr>
      </w:pPr>
    </w:p>
    <w:p>
      <w:pPr>
        <w:jc w:val="both"/>
        <w:ind w:left="1620"/>
        <w:spacing w:after="0" w:line="306"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14"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Date: January 20, 2005</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HUSIC CAPITAL MANAGEMENT</w:t>
      </w:r>
    </w:p>
    <w:p>
      <w:pPr>
        <w:spacing w:after="0" w:line="19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By: Frank J. Husic &amp; Co.</w:t>
      </w:r>
    </w:p>
    <w:p>
      <w:pPr>
        <w:spacing w:after="0" w:line="18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Its: General Partner</w:t>
      </w:r>
    </w:p>
    <w:p>
      <w:pPr>
        <w:spacing w:after="0" w:line="18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Lesley Jones</w:t>
      </w:r>
    </w:p>
    <w:p>
      <w:pPr>
        <w:sectPr>
          <w:pgSz w:w="11900" w:h="16838" w:orient="portrait"/>
          <w:cols w:equalWidth="0" w:num="1">
            <w:col w:w="11420"/>
          </w:cols>
          <w:pgMar w:left="240" w:top="131" w:right="239" w:bottom="0" w:gutter="0" w:footer="0" w:header="0"/>
        </w:sectPr>
      </w:pPr>
    </w:p>
    <w:bookmarkStart w:id="5" w:name="page6"/>
    <w:bookmarkEnd w:id="5"/>
    <w:p>
      <w:pPr>
        <w:ind w:left="5420"/>
        <w:spacing w:after="0"/>
        <w:rPr>
          <w:sz w:val="20"/>
          <w:szCs w:val="20"/>
          <w:color w:val="auto"/>
        </w:rPr>
      </w:pPr>
      <w:r>
        <w:rPr>
          <w:rFonts w:ascii="Arial" w:cs="Arial" w:eastAsia="Arial" w:hAnsi="Arial"/>
          <w:sz w:val="18"/>
          <w:szCs w:val="18"/>
          <w:color w:val="auto"/>
        </w:rPr>
        <w:t>Lesley Jones</w:t>
      </w:r>
    </w:p>
    <w:p>
      <w:pPr>
        <w:spacing w:after="0" w:line="18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Chief Compliance Officer</w:t>
      </w:r>
    </w:p>
    <w:p>
      <w:pPr>
        <w:spacing w:after="0" w:line="179"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FRANK J. HUSIC &amp; CO.</w:t>
      </w:r>
    </w:p>
    <w:p>
      <w:pPr>
        <w:spacing w:after="0" w:line="19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Lesley Jones</w:t>
      </w:r>
    </w:p>
    <w:p>
      <w:pPr>
        <w:spacing w:after="0" w:line="18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Lesley Jones</w:t>
      </w:r>
    </w:p>
    <w:p>
      <w:pPr>
        <w:spacing w:after="0" w:line="18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Chief Compliance Officer</w:t>
      </w:r>
    </w:p>
    <w:p>
      <w:pPr>
        <w:spacing w:after="0" w:line="179"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FRANK J. HUSIC</w:t>
      </w:r>
    </w:p>
    <w:p>
      <w:pPr>
        <w:spacing w:after="0" w:line="191" w:lineRule="exact"/>
        <w:rPr>
          <w:sz w:val="20"/>
          <w:szCs w:val="20"/>
          <w:color w:val="auto"/>
        </w:rPr>
      </w:pPr>
    </w:p>
    <w:p>
      <w:pPr>
        <w:ind w:left="5420"/>
        <w:spacing w:after="0"/>
        <w:rPr>
          <w:sz w:val="20"/>
          <w:szCs w:val="20"/>
          <w:color w:val="auto"/>
        </w:rPr>
      </w:pPr>
      <w:r>
        <w:rPr>
          <w:rFonts w:ascii="Arial" w:cs="Arial" w:eastAsia="Arial" w:hAnsi="Arial"/>
          <w:sz w:val="18"/>
          <w:szCs w:val="18"/>
          <w:u w:val="single" w:color="auto"/>
          <w:color w:val="auto"/>
        </w:rPr>
        <w:t>/s/ Frank J. Husic</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Identification and Classification of Members of the Group</w:t>
      </w:r>
    </w:p>
    <w:p>
      <w:pPr>
        <w:spacing w:after="0" w:line="19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Rule 13d-1(b)(ii)(J) and Rule 13d-1(k)(1) under the Securities and Exchange Act of 1934, the members of the group making this joint filing are identified and classified as follows:</w:t>
      </w:r>
    </w:p>
    <w:p>
      <w:pPr>
        <w:spacing w:after="0" w:line="217" w:lineRule="exact"/>
        <w:rPr>
          <w:sz w:val="20"/>
          <w:szCs w:val="20"/>
          <w:color w:val="auto"/>
        </w:rPr>
      </w:pPr>
    </w:p>
    <w:tbl>
      <w:tblPr>
        <w:tblLayout w:type="fixed"/>
        <w:tblInd w:w="146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89"/>
              </w:rPr>
              <w:t>Name</w:t>
            </w:r>
          </w:p>
        </w:tc>
        <w:tc>
          <w:tcPr>
            <w:tcW w:w="1780" w:type="dxa"/>
            <w:vAlign w:val="bottom"/>
          </w:tcPr>
          <w:p>
            <w:pPr>
              <w:spacing w:after="0"/>
              <w:rPr>
                <w:sz w:val="17"/>
                <w:szCs w:val="17"/>
                <w:color w:val="auto"/>
              </w:rPr>
            </w:pPr>
          </w:p>
        </w:tc>
        <w:tc>
          <w:tcPr>
            <w:tcW w:w="2520" w:type="dxa"/>
            <w:vAlign w:val="bottom"/>
            <w:gridSpan w:val="3"/>
          </w:tcPr>
          <w:p>
            <w:pPr>
              <w:jc w:val="center"/>
              <w:ind w:left="1372"/>
              <w:spacing w:after="0"/>
              <w:rPr>
                <w:sz w:val="20"/>
                <w:szCs w:val="20"/>
                <w:color w:val="auto"/>
              </w:rPr>
            </w:pPr>
            <w:r>
              <w:rPr>
                <w:rFonts w:ascii="Arial" w:cs="Arial" w:eastAsia="Arial" w:hAnsi="Arial"/>
                <w:sz w:val="18"/>
                <w:szCs w:val="18"/>
                <w:b w:val="1"/>
                <w:bCs w:val="1"/>
                <w:color w:val="auto"/>
                <w:w w:val="87"/>
              </w:rPr>
              <w:t>Classification</w:t>
            </w:r>
          </w:p>
        </w:tc>
      </w:tr>
      <w:tr>
        <w:trPr>
          <w:trHeight w:val="20"/>
        </w:trPr>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4"/>
        </w:trPr>
        <w:tc>
          <w:tcPr>
            <w:tcW w:w="2540" w:type="dxa"/>
            <w:vAlign w:val="bottom"/>
            <w:gridSpan w:val="3"/>
          </w:tcPr>
          <w:p>
            <w:pPr>
              <w:jc w:val="center"/>
              <w:ind w:right="1460"/>
              <w:spacing w:after="0"/>
              <w:rPr>
                <w:sz w:val="20"/>
                <w:szCs w:val="20"/>
                <w:color w:val="auto"/>
              </w:rPr>
            </w:pPr>
            <w:r>
              <w:rPr>
                <w:rFonts w:ascii="Arial" w:cs="Arial" w:eastAsia="Arial" w:hAnsi="Arial"/>
                <w:sz w:val="18"/>
                <w:szCs w:val="18"/>
                <w:color w:val="auto"/>
                <w:w w:val="90"/>
              </w:rPr>
              <w:t>Not applicable.</w:t>
            </w:r>
          </w:p>
        </w:tc>
        <w:tc>
          <w:tcPr>
            <w:tcW w:w="2520" w:type="dxa"/>
            <w:vAlign w:val="bottom"/>
            <w:gridSpan w:val="3"/>
          </w:tcPr>
          <w:p>
            <w:pPr>
              <w:jc w:val="center"/>
              <w:ind w:left="1352"/>
              <w:spacing w:after="0"/>
              <w:rPr>
                <w:sz w:val="20"/>
                <w:szCs w:val="20"/>
                <w:color w:val="auto"/>
              </w:rPr>
            </w:pPr>
            <w:r>
              <w:rPr>
                <w:rFonts w:ascii="Arial" w:cs="Arial" w:eastAsia="Arial" w:hAnsi="Arial"/>
                <w:sz w:val="18"/>
                <w:szCs w:val="18"/>
                <w:color w:val="auto"/>
                <w:w w:val="90"/>
              </w:rPr>
              <w:t>Not applicable.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B</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Joint Filing Agreement Pursuant to Rule 13d-1</w:t>
      </w:r>
    </w:p>
    <w:p>
      <w:pPr>
        <w:spacing w:after="0" w:line="200" w:lineRule="exact"/>
        <w:rPr>
          <w:sz w:val="20"/>
          <w:szCs w:val="20"/>
          <w:color w:val="auto"/>
        </w:rPr>
      </w:pPr>
    </w:p>
    <w:p>
      <w:pPr>
        <w:spacing w:after="0" w:line="38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This agreement is made pursuant to Rule 13d-1(b)(ii)(J) and Rule 13d-1(k)(1) under the Securities and Exchange Act of 1934 (the "Act") by and among the parties listed below, each referred to herein as a "Joint Filer." The Joint Filers agree that a statement of beneficial ownership as required by Sections 13(g) or 13(d) of the Act and the Rules thereunder may be filed on each of their behalf on Schedule 13G or Schedule 13D, as appropriate, and that said joint filing may thereafter be amended by further joint filings. The Joint Filers state that they each satisfy the requirements for making a joint filing under Rule 13d-1.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20, 2005</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HUSIC CAPITAL MANAGEMENT</w:t>
      </w:r>
    </w:p>
    <w:p>
      <w:pPr>
        <w:spacing w:after="0" w:line="19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By: Frank J. Husic &amp; Co.</w:t>
      </w:r>
    </w:p>
    <w:p>
      <w:pPr>
        <w:spacing w:after="0" w:line="18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Its: General Partner</w:t>
      </w:r>
    </w:p>
    <w:p>
      <w:pPr>
        <w:spacing w:after="0" w:line="18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Lesley Jones</w:t>
      </w:r>
    </w:p>
    <w:p>
      <w:pPr>
        <w:spacing w:after="0" w:line="18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Lesley Jones</w:t>
      </w:r>
    </w:p>
    <w:p>
      <w:pPr>
        <w:spacing w:after="0" w:line="18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Chief Compliance Officer</w:t>
      </w:r>
    </w:p>
    <w:p>
      <w:pPr>
        <w:spacing w:after="0" w:line="179"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FRANK J. HUSIC &amp; CO.</w:t>
      </w:r>
    </w:p>
    <w:p>
      <w:pPr>
        <w:spacing w:after="0" w:line="19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Lesley Jones</w:t>
      </w:r>
    </w:p>
    <w:p>
      <w:pPr>
        <w:spacing w:after="0" w:line="18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Lesley Jones</w:t>
      </w:r>
    </w:p>
    <w:p>
      <w:pPr>
        <w:spacing w:after="0" w:line="18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Chief Compliance Officer</w:t>
      </w:r>
    </w:p>
    <w:p>
      <w:pPr>
        <w:spacing w:after="0" w:line="179"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FRANK J. HUSIC</w:t>
      </w:r>
    </w:p>
    <w:p>
      <w:pPr>
        <w:spacing w:after="0" w:line="191" w:lineRule="exact"/>
        <w:rPr>
          <w:sz w:val="20"/>
          <w:szCs w:val="20"/>
          <w:color w:val="auto"/>
        </w:rPr>
      </w:pPr>
    </w:p>
    <w:p>
      <w:pPr>
        <w:ind w:left="5420"/>
        <w:spacing w:after="0"/>
        <w:rPr>
          <w:sz w:val="20"/>
          <w:szCs w:val="20"/>
          <w:color w:val="auto"/>
        </w:rPr>
      </w:pPr>
      <w:r>
        <w:rPr>
          <w:rFonts w:ascii="Arial" w:cs="Arial" w:eastAsia="Arial" w:hAnsi="Arial"/>
          <w:sz w:val="18"/>
          <w:szCs w:val="18"/>
          <w:u w:val="single" w:color="auto"/>
          <w:color w:val="auto"/>
        </w:rPr>
        <w:t>/s/ Frank J. Husic</w:t>
      </w:r>
    </w:p>
    <w:sectPr>
      <w:pgSz w:w="11900" w:h="16838" w:orient="portrait"/>
      <w:cols w:equalWidth="0" w:num="1">
        <w:col w:w="11420"/>
      </w:cols>
      <w:pgMar w:left="240" w:top="131" w:right="239" w:bottom="95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1"/>
      <w:numFmt w:val="bullet"/>
      <w:start w:val="1"/>
    </w:lvl>
  </w:abstractNum>
  <w:abstractNum w:abstractNumId="3">
    <w:nsid w:val="216231B"/>
    <w:multiLevelType w:val="hybridMultilevel"/>
    <w:lvl w:ilvl="0">
      <w:lvlJc w:val="left"/>
      <w:lvlText w:val="2"/>
      <w:numFmt w:val="bullet"/>
      <w:start w:val="1"/>
    </w:lvl>
  </w:abstractNum>
  <w:abstractNum w:abstractNumId="4">
    <w:nsid w:val="1F16E9E8"/>
    <w:multiLevelType w:val="hybridMultilevel"/>
    <w:lvl w:ilvl="0">
      <w:lvlJc w:val="left"/>
      <w:lvlText w:val="9"/>
      <w:numFmt w:val="bullet"/>
      <w:start w:val="1"/>
    </w:lvl>
  </w:abstractNum>
  <w:abstractNum w:abstractNumId="5">
    <w:nsid w:val="1190CDE7"/>
    <w:multiLevelType w:val="hybridMultilevel"/>
    <w:lvl w:ilvl="0">
      <w:lvlJc w:val="left"/>
      <w:lvlText w:val="1"/>
      <w:numFmt w:val="bullet"/>
      <w:start w:val="1"/>
    </w:lvl>
  </w:abstractNum>
  <w:abstractNum w:abstractNumId="6">
    <w:nsid w:val="66EF438D"/>
    <w:multiLevelType w:val="hybridMultilevel"/>
    <w:lvl w:ilvl="0">
      <w:lvlJc w:val="left"/>
      <w:lvlText w:val="2"/>
      <w:numFmt w:val="bullet"/>
      <w:start w:val="1"/>
    </w:lvl>
  </w:abstractNum>
  <w:abstractNum w:abstractNumId="7">
    <w:nsid w:val="140E0F76"/>
    <w:multiLevelType w:val="hybridMultilevel"/>
    <w:lvl w:ilvl="0">
      <w:lvlJc w:val="left"/>
      <w:lvlText w:val="9"/>
      <w:numFmt w:val="bullet"/>
      <w:start w:val="1"/>
    </w:lvl>
  </w:abstractNum>
  <w:abstractNum w:abstractNumId="8">
    <w:nsid w:val="3352255A"/>
    <w:multiLevelType w:val="hybridMultilevel"/>
    <w:lvl w:ilvl="0">
      <w:lvlJc w:val="left"/>
      <w:lvlText w:val="1"/>
      <w:numFmt w:val="bullet"/>
      <w:start w:val="1"/>
    </w:lvl>
  </w:abstractNum>
  <w:abstractNum w:abstractNumId="9">
    <w:nsid w:val="109CF92E"/>
    <w:multiLevelType w:val="hybridMultilevel"/>
    <w:lvl w:ilvl="0">
      <w:lvlJc w:val="left"/>
      <w:lvlText w:val="2"/>
      <w:numFmt w:val="bullet"/>
      <w:start w:val="1"/>
    </w:lvl>
  </w:abstractNum>
  <w:abstractNum w:abstractNumId="10">
    <w:nsid w:val="DED7263"/>
    <w:multiLevelType w:val="hybridMultilevel"/>
    <w:lvl w:ilvl="0">
      <w:lvlJc w:val="left"/>
      <w:lvlText w:val="(%1)"/>
      <w:numFmt w:val="lowerRoman"/>
      <w:start w:val="2"/>
    </w:lvl>
  </w:abstractNum>
  <w:abstractNum w:abstractNumId="11">
    <w:nsid w:val="7FDCC233"/>
    <w:multiLevelType w:val="hybridMultilevel"/>
    <w:lvl w:ilvl="0">
      <w:lvlJc w:val="left"/>
      <w:lvlText w:val="%1."/>
      <w:numFmt w:val="lowerLetter"/>
      <w:start w:val="3"/>
    </w:lvl>
  </w:abstractNum>
  <w:abstractNum w:abstractNumId="12">
    <w:nsid w:val="1BEFD79F"/>
    <w:multiLevelType w:val="hybridMultilevel"/>
    <w:lvl w:ilvl="0">
      <w:lvlJc w:val="left"/>
      <w:lvlText w:val="(%1)"/>
      <w:numFmt w:val="lowerLetter"/>
      <w:start w:val="7"/>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9"/>
    </w:lvl>
  </w:abstractNum>
  <w:abstractNum w:abstractNumId="15">
    <w:nsid w:val="4E6AFB66"/>
    <w:multiLevelType w:val="hybridMultilevel"/>
    <w:lvl w:ilvl="0">
      <w:lvlJc w:val="left"/>
      <w:lvlText w:val="(%1)"/>
      <w:numFmt w:val="lowerLetter"/>
      <w:start w:val="35"/>
    </w:lvl>
  </w:abstractNum>
  <w:abstractNum w:abstractNumId="16">
    <w:nsid w:val="25E45D3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2019-12-20T00:46:17Z</dcterms:created>
  <dcterms:modified xsi:type="dcterms:W3CDTF">2019-12-20T00:46:17Z</dcterms:modified>
</cp:coreProperties>
</file>