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CANNELL CAPITAL LLC</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2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320" w:type="dxa"/>
            <w:vAlign w:val="bottom"/>
            <w:tcBorders>
              <w:top w:val="single" w:sz="8" w:color="EEEEEE"/>
            </w:tcBorders>
            <w:vMerge w:val="restart"/>
          </w:tcPr>
          <w:p>
            <w:pPr>
              <w:ind w:left="6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320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07/17/2019</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0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245 MERIWETHER CIRCLE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360" w:space="72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2"/>
          </w:tcPr>
          <w:p>
            <w:pPr>
              <w:ind w:left="30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20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60"/>
              <w:spacing w:after="0"/>
              <w:rPr>
                <w:sz w:val="20"/>
                <w:szCs w:val="20"/>
                <w:color w:val="auto"/>
              </w:rPr>
            </w:pPr>
            <w:r>
              <w:rPr>
                <w:rFonts w:ascii="Arial" w:cs="Arial" w:eastAsia="Arial" w:hAnsi="Arial"/>
                <w:sz w:val="18"/>
                <w:szCs w:val="18"/>
                <w:color w:val="0000FF"/>
              </w:rPr>
              <w:t>07/17/2019</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0000FF"/>
              </w:rPr>
              <w:t>104</w:t>
            </w:r>
          </w:p>
        </w:tc>
        <w:tc>
          <w:tcPr>
            <w:tcW w:w="8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0000FF"/>
              </w:rPr>
              <w:t>A</w:t>
            </w:r>
          </w:p>
        </w:tc>
        <w:tc>
          <w:tcPr>
            <w:tcW w:w="6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1.81</w:t>
            </w:r>
          </w:p>
        </w:tc>
        <w:tc>
          <w:tcPr>
            <w:tcW w:w="6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color w:val="0000FF"/>
                <w:w w:val="84"/>
              </w:rPr>
              <w:t>5,412,858</w:t>
            </w:r>
          </w:p>
        </w:tc>
        <w:tc>
          <w:tcPr>
            <w:tcW w:w="960" w:type="dxa"/>
            <w:vAlign w:val="bottom"/>
          </w:tcPr>
          <w:p>
            <w:pPr>
              <w:ind w:left="56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60"/>
              <w:spacing w:after="0"/>
              <w:rPr>
                <w:sz w:val="20"/>
                <w:szCs w:val="20"/>
                <w:color w:val="auto"/>
              </w:rPr>
            </w:pPr>
            <w:r>
              <w:rPr>
                <w:rFonts w:ascii="Arial" w:cs="Arial" w:eastAsia="Arial" w:hAnsi="Arial"/>
                <w:sz w:val="18"/>
                <w:szCs w:val="18"/>
                <w:color w:val="0000FF"/>
              </w:rPr>
              <w:t>07/22/2019</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0000FF"/>
              </w:rPr>
              <w:t>822</w:t>
            </w:r>
          </w:p>
        </w:tc>
        <w:tc>
          <w:tcPr>
            <w:tcW w:w="8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0000FF"/>
              </w:rPr>
              <w:t>A</w:t>
            </w:r>
          </w:p>
        </w:tc>
        <w:tc>
          <w:tcPr>
            <w:tcW w:w="6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1.81</w:t>
            </w:r>
          </w:p>
        </w:tc>
        <w:tc>
          <w:tcPr>
            <w:tcW w:w="6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color w:val="0000FF"/>
                <w:w w:val="84"/>
              </w:rPr>
              <w:t>5,413,680</w:t>
            </w:r>
          </w:p>
        </w:tc>
        <w:tc>
          <w:tcPr>
            <w:tcW w:w="960" w:type="dxa"/>
            <w:vAlign w:val="bottom"/>
          </w:tcPr>
          <w:p>
            <w:pPr>
              <w:ind w:left="56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0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2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July 22, 2019, Tonga Partners, LP, Cuttyhunk II Fund. Tristan Partners, LP, and Tristan Offshore Fund, Ltd (collectively the "Cannell Investment Vehicles") owned in the aggregate 5,413,680 shares of the common stock of Destination XL Group, Inc.</w:t>
      </w:r>
    </w:p>
    <w:p>
      <w:pPr>
        <w:spacing w:after="0" w:line="30" w:lineRule="exact"/>
        <w:rPr>
          <w:rFonts w:ascii="Arial" w:cs="Arial" w:eastAsia="Arial" w:hAnsi="Arial"/>
          <w:sz w:val="14"/>
          <w:szCs w:val="14"/>
          <w:color w:val="008000"/>
        </w:rPr>
      </w:pPr>
    </w:p>
    <w:p>
      <w:pPr>
        <w:ind w:left="40" w:right="3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July 22, 2019, Mr. Cannell beneficially owns 5,413,680 shares. Mr. Cannell's interest in the securities reported herein is limited to the extent of his pecuniary interest in each of the Cannell Investment Vehicles, if any.</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07/25/2019</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2019-12-23T18:57:17Z</dcterms:created>
  <dcterms:modified xsi:type="dcterms:W3CDTF">2019-12-23T18:57:17Z</dcterms:modified>
</cp:coreProperties>
</file>