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11/16/2022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23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3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V</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11/16/2022</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40" w:type="dxa"/>
            <w:vAlign w:val="bottom"/>
          </w:tcPr>
          <w:p>
            <w:pPr>
              <w:spacing w:after="0"/>
              <w:rPr>
                <w:sz w:val="21"/>
                <w:szCs w:val="21"/>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150,000</w:t>
            </w:r>
            <w:r>
              <w:rPr>
                <w:rFonts w:ascii="Times New Roman" w:cs="Times New Roman" w:eastAsia="Times New Roman" w:hAnsi="Times New Roman"/>
                <w:sz w:val="22"/>
                <w:szCs w:val="22"/>
                <w:color w:val="008000"/>
                <w:vertAlign w:val="superscript"/>
              </w:rPr>
              <w:t>(2)(3)</w:t>
            </w:r>
            <w:r>
              <w:rPr>
                <w:rFonts w:ascii="Times New Roman" w:cs="Times New Roman" w:eastAsia="Times New Roman" w:hAnsi="Times New Roman"/>
                <w:sz w:val="17"/>
                <w:szCs w:val="17"/>
                <w:color w:val="0000FF"/>
              </w:rPr>
              <w:t xml:space="preserve">    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6.6783</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9,720,434</w:t>
            </w:r>
            <w:r>
              <w:rPr>
                <w:rFonts w:ascii="Times New Roman" w:cs="Times New Roman" w:eastAsia="Times New Roman" w:hAnsi="Times New Roman"/>
                <w:sz w:val="22"/>
                <w:szCs w:val="22"/>
                <w:color w:val="008000"/>
                <w:w w:val="99"/>
                <w:vertAlign w:val="superscript"/>
              </w:rPr>
              <w:t>(2)(3)</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08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5,918,525 shares of Common Stock of the Issuer (the Shares) held by SSFQP, 1,857,880 Shares held by Cay and 1,944,029 Shares held by SSPE.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5,918,525 shares of Common Stock of the Issuer (the Shares) held by SSFQP, 1,857,880 Shares held by Cay and 1,944,029 Shares held by SSPE.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2022-11-18T17:27:59Z</dcterms:created>
  <dcterms:modified xsi:type="dcterms:W3CDTF">2022-11-18T17:27:59Z</dcterms:modified>
</cp:coreProperties>
</file>