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274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2749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Cooney John F</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CANTON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6"/>
          <w:szCs w:val="16"/>
          <w:color w:val="0000FF"/>
        </w:rPr>
        <w:t>02021</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0"/>
        </w:trPr>
        <w:tc>
          <w:tcPr>
            <w:tcW w:w="3820" w:type="dxa"/>
            <w:vAlign w:val="bottom"/>
            <w:gridSpan w:val="4"/>
          </w:tcPr>
          <w:p>
            <w:pPr>
              <w:ind w:left="60"/>
              <w:spacing w:after="0" w:line="205"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04/01/2024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SVP, Chief Accounting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60"/>
        <w:spacing w:after="0" w:line="28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78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8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860" w:type="dxa"/>
            <w:vAlign w:val="bottom"/>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04/01/2024</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1,730</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70,363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80" w:type="dxa"/>
            <w:vAlign w:val="bottom"/>
          </w:tcPr>
          <w:p>
            <w:pPr>
              <w:spacing w:after="0"/>
              <w:rPr>
                <w:sz w:val="11"/>
                <w:szCs w:val="11"/>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6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8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right"/>
              <w:ind w:right="57"/>
              <w:spacing w:after="0"/>
              <w:rPr>
                <w:sz w:val="20"/>
                <w:szCs w:val="20"/>
                <w:color w:val="auto"/>
              </w:rPr>
            </w:pPr>
            <w:r>
              <w:rPr>
                <w:rFonts w:ascii="Times New Roman" w:cs="Times New Roman" w:eastAsia="Times New Roman" w:hAnsi="Times New Roman"/>
                <w:sz w:val="17"/>
                <w:szCs w:val="17"/>
                <w:color w:val="0000FF"/>
              </w:rPr>
              <w:t>1,730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04/01/2024</w:t>
            </w:r>
          </w:p>
        </w:tc>
        <w:tc>
          <w:tcPr>
            <w:tcW w:w="1100" w:type="dxa"/>
            <w:vAlign w:val="bottom"/>
          </w:tcPr>
          <w:p>
            <w:pPr>
              <w:spacing w:after="0"/>
              <w:rPr>
                <w:sz w:val="5"/>
                <w:szCs w:val="5"/>
                <w:color w:val="auto"/>
              </w:rPr>
            </w:pPr>
          </w:p>
        </w:tc>
        <w:tc>
          <w:tcPr>
            <w:tcW w:w="760" w:type="dxa"/>
            <w:vAlign w:val="bottom"/>
            <w:vMerge w:val="restart"/>
          </w:tcPr>
          <w:p>
            <w:pPr>
              <w:jc w:val="center"/>
              <w:ind w:right="281"/>
              <w:spacing w:after="0" w:line="141" w:lineRule="exact"/>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tcPr>
          <w:p>
            <w:pPr>
              <w:spacing w:after="0"/>
              <w:rPr>
                <w:sz w:val="5"/>
                <w:szCs w:val="5"/>
                <w:color w:val="auto"/>
              </w:rPr>
            </w:pPr>
          </w:p>
        </w:tc>
        <w:tc>
          <w:tcPr>
            <w:tcW w:w="4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1,730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1" w:lineRule="exact"/>
              <w:rPr>
                <w:sz w:val="20"/>
                <w:szCs w:val="20"/>
                <w:color w:val="auto"/>
              </w:rPr>
            </w:pPr>
            <w:r>
              <w:rPr>
                <w:rFonts w:ascii="Times New Roman" w:cs="Times New Roman" w:eastAsia="Times New Roman" w:hAnsi="Times New Roman"/>
                <w:sz w:val="13"/>
                <w:szCs w:val="13"/>
                <w:color w:val="0000FF"/>
              </w:rPr>
              <w:t>3,461</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9,788</w:t>
            </w:r>
            <w:r>
              <w:rPr>
                <w:rFonts w:ascii="Times New Roman" w:cs="Times New Roman" w:eastAsia="Times New Roman" w:hAnsi="Times New Roman"/>
                <w:sz w:val="21"/>
                <w:szCs w:val="21"/>
                <w:color w:val="008000"/>
                <w:w w:val="98"/>
                <w:vertAlign w:val="superscript"/>
              </w:rPr>
              <w:t>(2)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60"/>
              <w:spacing w:after="0" w:line="128" w:lineRule="exact"/>
              <w:rPr>
                <w:sz w:val="20"/>
                <w:szCs w:val="20"/>
                <w:color w:val="auto"/>
              </w:rPr>
            </w:pPr>
            <w:r>
              <w:rPr>
                <w:rFonts w:ascii="Times New Roman" w:cs="Times New Roman" w:eastAsia="Times New Roman" w:hAnsi="Times New Roman"/>
                <w:sz w:val="13"/>
                <w:szCs w:val="13"/>
                <w:color w:val="0000FF"/>
              </w:rPr>
              <w:t>04/01/2024</w:t>
            </w:r>
          </w:p>
        </w:tc>
        <w:tc>
          <w:tcPr>
            <w:tcW w:w="1100" w:type="dxa"/>
            <w:vAlign w:val="bottom"/>
          </w:tcPr>
          <w:p>
            <w:pPr>
              <w:spacing w:after="0"/>
              <w:rPr>
                <w:sz w:val="11"/>
                <w:szCs w:val="11"/>
                <w:color w:val="auto"/>
              </w:rPr>
            </w:pPr>
          </w:p>
        </w:tc>
        <w:tc>
          <w:tcPr>
            <w:tcW w:w="760" w:type="dxa"/>
            <w:vAlign w:val="bottom"/>
          </w:tcPr>
          <w:p>
            <w:pPr>
              <w:jc w:val="center"/>
              <w:ind w:right="281"/>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9,788</w:t>
            </w:r>
          </w:p>
        </w:tc>
        <w:tc>
          <w:tcPr>
            <w:tcW w:w="4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tcPr>
          <w:p>
            <w:pPr>
              <w:jc w:val="right"/>
              <w:ind w:right="39"/>
              <w:spacing w:after="0" w:line="128" w:lineRule="exact"/>
              <w:rPr>
                <w:sz w:val="20"/>
                <w:szCs w:val="20"/>
                <w:color w:val="auto"/>
              </w:rPr>
            </w:pPr>
            <w:r>
              <w:rPr>
                <w:rFonts w:ascii="Times New Roman" w:cs="Times New Roman" w:eastAsia="Times New Roman" w:hAnsi="Times New Roman"/>
                <w:sz w:val="13"/>
                <w:szCs w:val="13"/>
                <w:color w:val="0000FF"/>
              </w:rPr>
              <w:t>04/01/2034</w:t>
            </w:r>
          </w:p>
        </w:tc>
        <w:tc>
          <w:tcPr>
            <w:tcW w:w="6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gridSpan w:val="2"/>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9,788</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-2178050</wp:posOffset>
            </wp:positionV>
            <wp:extent cx="29210" cy="2183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837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2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for time-based compensation granted to the Reporting Person on April 9, 2022 under the 2022-2024 Long-Term Incentive Plan. The remaining RSUs vest and become exercisable on April 1, 2025 and April 1, 2026.</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42" w:lineRule="exact"/>
        <w:rPr>
          <w:rFonts w:ascii="Times New Roman" w:cs="Times New Roman" w:eastAsia="Times New Roman" w:hAnsi="Times New Roman"/>
          <w:sz w:val="13"/>
          <w:szCs w:val="13"/>
          <w:color w:val="008000"/>
        </w:rPr>
      </w:pPr>
    </w:p>
    <w:p>
      <w:pPr>
        <w:ind w:left="40" w:right="42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represent the time-based portion of the 2024-2026 Long-Term Incentive Plan Award for the Reporting Person. The RSUs vest and become exercisable in four equal installments on April 1, 2025, April 1, 2026, April 1, 2027 and April 1, 2028.</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John F. Cooney</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04/10/2024</w:t>
            </w:r>
          </w:p>
        </w:tc>
      </w:tr>
      <w:tr>
        <w:trPr>
          <w:trHeight w:val="20"/>
        </w:trPr>
        <w:tc>
          <w:tcPr>
            <w:tcW w:w="10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341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2024-04-10T15:35:25Z</dcterms:created>
  <dcterms:modified xsi:type="dcterms:W3CDTF">2024-04-10T15:35:25Z</dcterms:modified>
</cp:coreProperties>
</file>