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779"/>
        <w:spacing w:after="0" w:line="235" w:lineRule="auto"/>
        <w:rPr>
          <w:sz w:val="20"/>
          <w:szCs w:val="20"/>
          <w:color w:val="auto"/>
        </w:rPr>
      </w:pPr>
      <w:r>
        <w:rPr>
          <w:rFonts w:ascii="Courier New" w:cs="Courier New" w:eastAsia="Courier New" w:hAnsi="Courier New"/>
          <w:sz w:val="18"/>
          <w:szCs w:val="18"/>
          <w:color w:val="auto"/>
        </w:rPr>
        <w:t>As filed, via EDGAR, with the Securities and Exchange Commission on July 20, 1999.</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14A</w:t>
      </w:r>
    </w:p>
    <w:p>
      <w:pPr>
        <w:ind w:left="3060"/>
        <w:spacing w:after="0" w:line="238" w:lineRule="auto"/>
        <w:rPr>
          <w:sz w:val="20"/>
          <w:szCs w:val="20"/>
          <w:color w:val="auto"/>
        </w:rPr>
      </w:pPr>
      <w:r>
        <w:rPr>
          <w:rFonts w:ascii="Courier New" w:cs="Courier New" w:eastAsia="Courier New" w:hAnsi="Courier New"/>
          <w:sz w:val="18"/>
          <w:szCs w:val="18"/>
          <w:color w:val="auto"/>
        </w:rPr>
        <w:t>(Rule 14a-101)</w:t>
      </w:r>
    </w:p>
    <w:p>
      <w:pPr>
        <w:ind w:left="1800"/>
        <w:spacing w:after="0"/>
        <w:rPr>
          <w:sz w:val="20"/>
          <w:szCs w:val="20"/>
          <w:color w:val="auto"/>
        </w:rPr>
      </w:pPr>
      <w:r>
        <w:rPr>
          <w:rFonts w:ascii="Courier New" w:cs="Courier New" w:eastAsia="Courier New" w:hAnsi="Courier New"/>
          <w:sz w:val="18"/>
          <w:szCs w:val="18"/>
          <w:color w:val="auto"/>
        </w:rPr>
        <w:t>INFORMATION REQUIRED IN PROXY STATEMENT</w:t>
      </w:r>
    </w:p>
    <w:p>
      <w:pPr>
        <w:ind w:left="2540"/>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128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22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7"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JEWELCOR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7" w:lineRule="exact"/>
        <w:rPr>
          <w:sz w:val="24"/>
          <w:szCs w:val="24"/>
          <w:color w:val="auto"/>
        </w:rPr>
      </w:pPr>
    </w:p>
    <w:p>
      <w:pPr>
        <w:ind w:left="540" w:right="24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Fee computed on table below per Exchange Act Rules 14a-6(i)(1) and 0-11.</w:t>
      </w:r>
    </w:p>
    <w:p>
      <w:pPr>
        <w:spacing w:after="0" w:line="203"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960" w:right="177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both"/>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960" w:hanging="531"/>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ectPr>
          <w:pgSz w:w="11900" w:h="16838" w:orient="portrait"/>
          <w:cols w:equalWidth="0" w:num="1">
            <w:col w:w="10219"/>
          </w:cols>
          <w:pgMar w:left="240" w:top="452"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JACQUELINE QUIGLEY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(561) 447-4713</w:t>
      </w:r>
    </w:p>
    <w:p>
      <w:pPr>
        <w:spacing w:after="0" w:line="200" w:lineRule="exact"/>
        <w:rPr>
          <w:sz w:val="24"/>
          <w:szCs w:val="24"/>
          <w:color w:val="auto"/>
        </w:rPr>
      </w:pPr>
    </w:p>
    <w:p>
      <w:pPr>
        <w:sectPr>
          <w:pgSz w:w="11900" w:h="16838" w:orient="portrait"/>
          <w:cols w:equalWidth="0" w:num="3">
            <w:col w:w="3600" w:space="720"/>
            <w:col w:w="840" w:space="220"/>
            <w:col w:w="4839"/>
          </w:cols>
          <w:pgMar w:left="240" w:top="452" w:right="1440" w:bottom="0" w:gutter="0" w:footer="0" w:header="0"/>
          <w:type w:val="continuous"/>
        </w:sect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4"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TO COMMENCE PROXY SOLICITATION</w:t>
      </w:r>
    </w:p>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 ANNUAL MEETING OF</w:t>
      </w:r>
    </w:p>
    <w:p>
      <w:pPr>
        <w:ind w:left="3580"/>
        <w:spacing w:after="0" w:line="238" w:lineRule="auto"/>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452" w:right="1440" w:bottom="0" w:gutter="0" w:footer="0" w:header="0"/>
          <w:type w:val="continuous"/>
        </w:sectPr>
      </w:pPr>
    </w:p>
    <w:bookmarkStart w:id="1" w:name="page2"/>
    <w:bookmarkEnd w:id="1"/>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WILKES BARRE, PENNSYLVANIA, July 20, 1999 -- Jewelcor Management, Inc. ("JMI") announced today that it had filed with the Securities and Exchange Commission a preliminary proxy statement relating to a contemplated solicitation by JMI of proxies in connection with the upcoming annual meeting of stockholders of Designs, Inc. (NASDAQ: DESI). JMI intends to solicit proxies to elect a new slate of directors, in opposition to DESI's current Board, and to adopt a shareholder proposal recommending termination of DESI's "poison pill" or Shareholder Rights Agreement. The annual meeting is currently scheduled to be held on September 13, 1999. JMI owns 1,570,200 shares, or approximately 9.9%, of DESI's outstanding Common Stock. Material filed with the Securities and Exchange Commission is available through the Commission's website at http://www.sec.gov.</w:t>
      </w:r>
    </w:p>
    <w:p>
      <w:pPr>
        <w:spacing w:after="0" w:line="1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CERTAIN INFORMATION CONCERNING PARTICIPANTS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is a list of the names and stockholdings, if any, of persons who may be deemed to be "participants" in JMI's solicitation with respect to the Designs, Inc. annual meeting. JMI, a Nevada corporation, is a wholly owned subsidiary of Jewelcor, Inc., a Pennsylvania corporation which is a wholly owned subsidiary of S. H. Holdings, Inc., a Delaware corporation. Seymour Holtzman and Evelyn Holtzman, husband and wife, own, as tenants by the entirety, a controlling interest of S. H. Holdings, Inc. The individuals named as nominees in JMI's preliminary proxy material are Seymour Holtzman, Joseph Pennacchio, John J. Schultz, Peter R. McMullin, Jeremiah P. Murphy, Jr. and Robert L. Patron. As noted, JMI owns 1,570,200 shares of Designs, Inc. Common Stock. None of the named individuals otherwise owns any such Common Stock.</w:t>
      </w:r>
    </w:p>
    <w:p>
      <w:pPr>
        <w:sectPr>
          <w:pgSz w:w="11900" w:h="16838" w:orient="portrait"/>
          <w:cols w:equalWidth="0" w:num="1">
            <w:col w:w="10219"/>
          </w:cols>
          <w:pgMar w:left="240" w:top="344" w:right="1440" w:bottom="1440" w:gutter="0" w:footer="0" w:header="0"/>
        </w:sectPr>
      </w:pPr>
    </w:p>
    <w:bookmarkStart w:id="2" w:name="page3"/>
    <w:bookmarkEnd w:id="2"/>
    <w:p>
      <w:pPr>
        <w:ind w:right="1779" w:firstLine="527"/>
        <w:spacing w:after="0" w:line="235" w:lineRule="auto"/>
        <w:rPr>
          <w:sz w:val="20"/>
          <w:szCs w:val="20"/>
          <w:color w:val="auto"/>
        </w:rPr>
      </w:pPr>
      <w:r>
        <w:rPr>
          <w:rFonts w:ascii="Courier New" w:cs="Courier New" w:eastAsia="Courier New" w:hAnsi="Courier New"/>
          <w:sz w:val="18"/>
          <w:szCs w:val="18"/>
          <w:color w:val="auto"/>
        </w:rPr>
        <w:t>JMI has retained D.F. King &amp; Co., Inc. to act as its proxy solicitation firm in connection with DESI's annual meeting of shareholders.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2019-12-12T07:36:21Z</dcterms:created>
  <dcterms:modified xsi:type="dcterms:W3CDTF">2019-12-12T07:36:21Z</dcterms:modified>
</cp:coreProperties>
</file>