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August 19,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92"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92"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On August 19, 2004, the Company announced that it had signed an asset purchase agreement, subject to buyer's due diligence and other normal closing conditions, to acquire privately held Rochester Big &amp; Tall. The purchase price is $15 million in cash and the assumption of bank and subordinated debt of approximately $5 million, in addition to the assumption of identified operating liabilities such as accounts payable and accrued liabilities. There is a potential payment over a three-year period of an additional $4 million, which is subject to an earn-out provision. Assuming satisfaction of all closing conditions, the acquisition is targeted to close by October 31, 2004.</w:t>
      </w:r>
    </w:p>
    <w:p>
      <w:pPr>
        <w:spacing w:after="0" w:line="215" w:lineRule="exact"/>
        <w:rPr>
          <w:sz w:val="24"/>
          <w:szCs w:val="24"/>
          <w:color w:val="auto"/>
        </w:rPr>
      </w:pPr>
    </w:p>
    <w:p>
      <w:pPr>
        <w:ind w:left="960" w:right="2739" w:hanging="104"/>
        <w:spacing w:after="0" w:line="235" w:lineRule="auto"/>
        <w:rPr>
          <w:sz w:val="20"/>
          <w:szCs w:val="20"/>
          <w:color w:val="auto"/>
        </w:rPr>
      </w:pPr>
      <w:r>
        <w:rPr>
          <w:rFonts w:ascii="Courier New" w:cs="Courier New" w:eastAsia="Courier New" w:hAnsi="Courier New"/>
          <w:sz w:val="18"/>
          <w:szCs w:val="18"/>
          <w:color w:val="auto"/>
        </w:rPr>
        <w:t>A copy of the release is attached hereto as Exhibit 99.2 and is incorporated by reference herein.</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1280" w:hanging="429"/>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540" w:right="2419" w:hanging="84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99.1Press Release announcing Casual Male Retail Group, Inc.'s Second Quarter Fiscal 2004 Results</w:t>
      </w:r>
    </w:p>
    <w:p>
      <w:pPr>
        <w:spacing w:after="0" w:line="208" w:lineRule="exact"/>
        <w:rPr>
          <w:sz w:val="24"/>
          <w:szCs w:val="24"/>
          <w:color w:val="auto"/>
        </w:rPr>
      </w:pPr>
    </w:p>
    <w:p>
      <w:pPr>
        <w:ind w:left="1060" w:right="3999" w:hanging="1052"/>
        <w:spacing w:after="0" w:line="236" w:lineRule="auto"/>
        <w:rPr>
          <w:sz w:val="20"/>
          <w:szCs w:val="20"/>
          <w:color w:val="auto"/>
        </w:rPr>
      </w:pPr>
      <w:r>
        <w:rPr>
          <w:rFonts w:ascii="Courier New" w:cs="Courier New" w:eastAsia="Courier New" w:hAnsi="Courier New"/>
          <w:sz w:val="18"/>
          <w:szCs w:val="18"/>
          <w:color w:val="auto"/>
        </w:rPr>
        <w:t>99.2 Press Release announcing that Casual Male Retail Group, Inc. signed an asset purchase agreement to acquire Rochester Big and Tall.</w:t>
      </w:r>
    </w:p>
    <w:p>
      <w:pPr>
        <w:spacing w:after="0" w:line="200" w:lineRule="exact"/>
        <w:rPr>
          <w:sz w:val="24"/>
          <w:szCs w:val="24"/>
          <w:color w:val="auto"/>
        </w:rPr>
      </w:pPr>
    </w:p>
    <w:p>
      <w:pPr>
        <w:spacing w:after="0" w:line="206"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 August 19, 2004, Casual Male Retail Group, Inc. (the "Company") issued</w:t>
      </w:r>
    </w:p>
    <w:p>
      <w:pPr>
        <w:spacing w:after="0" w:line="4"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 press release announcing operating results for the second quarter of fiscal 2004 and for the six months ended July 31, 2004.</w:t>
      </w:r>
    </w:p>
    <w:p>
      <w:pPr>
        <w:spacing w:after="0" w:line="208" w:lineRule="exact"/>
        <w:rPr>
          <w:sz w:val="24"/>
          <w:szCs w:val="24"/>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press release contains certain non-GAAP measures which the Company believes is important for investors to help gain a better understanding of the Company.</w:t>
      </w:r>
    </w:p>
    <w:p>
      <w:pPr>
        <w:sectPr>
          <w:pgSz w:w="11900" w:h="16892"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The release includes a reconciliation of such non-GAAP measures.</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copy of the press release is attached hereto as Exhibit 99.1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and Chief Financial Officer</w:t>
      </w:r>
    </w:p>
    <w:p>
      <w:pPr>
        <w:spacing w:after="0" w:line="200" w:lineRule="exact"/>
        <w:rPr>
          <w:sz w:val="20"/>
          <w:szCs w:val="20"/>
          <w:color w:val="auto"/>
        </w:rPr>
      </w:pPr>
    </w:p>
    <w:p>
      <w:pPr>
        <w:spacing w:after="0" w:line="2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19, 2004</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Company Contact: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 ANNOUNCES SECOND QUARTER</w:t>
      </w:r>
    </w:p>
    <w:p>
      <w:pPr>
        <w:jc w:val="center"/>
        <w:ind w:right="1679"/>
        <w:spacing w:after="0" w:line="238" w:lineRule="auto"/>
        <w:rPr>
          <w:sz w:val="20"/>
          <w:szCs w:val="20"/>
          <w:color w:val="auto"/>
        </w:rPr>
      </w:pPr>
      <w:r>
        <w:rPr>
          <w:rFonts w:ascii="Courier New" w:cs="Courier New" w:eastAsia="Courier New" w:hAnsi="Courier New"/>
          <w:sz w:val="18"/>
          <w:szCs w:val="18"/>
          <w:color w:val="auto"/>
        </w:rPr>
        <w:t>FISCAL 2004 RESULTS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CANTON, Mass., August 19, 2004 -- Casual Male Retail Group, Inc. (NASDAQ/NMS: "CMRG" -), retail brand operator of Casual Male Big &amp; Tall, the exclusive retailer of George Foreman's clothing collection, and, subject to the consummation of an asset purchase agreement, Rochester Big and Tall, today announced its operating results for the second quarter and six months ended July 31, 2004. For the second quarter of fiscal 2004, the Company reported income from continuing operations of $0.7 million, or $0.02 per share, compared to $0.6 million, or $0.02 per share for the second quarter of fiscal 2003, after assuming a normalized tax rate of 37%.</w:t>
      </w:r>
    </w:p>
    <w:p>
      <w:pPr>
        <w:spacing w:after="0" w:line="215"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For the second quarter of fiscal 2004, the Company reported net income of $99,000, or $0.00 per share, compared to a net income of $658,000, or $0.02 per share, for the second quarter of fiscal 2003. For the six months ended July 31, 2004, the Company reported a net loss of $5.0 million, or $(0.14) per share, as compared to a net loss of $2.1 million, or $(0.06) per share for the six months of the prior year. During the second quarter of 2004 and for the six months ended July 31, 2004, the Company recorded a loss from discontinued operations of approximately $1.0 million, or $(0.03) per share and $2.1 million, or $(0.06) per share, related to the continued closure of the Levis(r)/Dockers(r) outlet stores.</w:t>
      </w:r>
    </w:p>
    <w:p>
      <w:pPr>
        <w:spacing w:after="0" w:line="386"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As previously reported, comparable store sales for Casual Male Big &amp; Tall business increased 4.8% for the second quarter of fiscal 2004 and increased 6.9% for the six months ended July 31, 2004.</w:t>
      </w:r>
    </w:p>
    <w:p>
      <w:pPr>
        <w:spacing w:after="0" w:line="209"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During the second quarter of fiscal 2004, the Company completed the sale of its 50.5% joint venture interest in the Ecko Unltd.(r) outlet and full price retail stores to its joint venture partner Ecko.Complex, LLC. In connection with the sale, the Company received a partial cash payment of 10% at closing and will receive the balance of the proceeds in monthly installments over the next twelve months at an 8% interest rate. Included in operating results for the second quarter of fiscal 2004 is a gain of $3.1 million related to the sale. Offsetting the one time gain were expenses of $1.9 million associated with the early retirement of long-term debt, and a write-off of $1.0 million for previously incurred costs for an intended spin-off of the Company's subsidiary LP Innovations, Inc., which has been postponed.</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"Casual Male's sales during the first half of the year benefited greatly from the new merchandising strategies, which featured the George Foreman Comfort Zone and Signature Collection apparel lines. However, a significant marketing investment of approximately $4.5 million was made in connection with the launch of the George Foreman line which boosted the Company's SG&amp;A costs," stated Dennis R. Hernreich, Executive Vice President and COO/CFO of CMRG. "We expect that the gross margin improvement made in the second quarter will continue into the second half of the year. Moreover, the significant marketing investment concluded in the first half of the year and accordingly, SG&amp;A expense levels are expected to moderate during the balance of the year."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by Business Segment</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following table reflects operating results by segment for the Company's second quarter and six months of fiscal 2004 and for the corresponding periods of the prior year. These segment results have been prepared on a basis consistent with the presentation in the Company's recent Form 10-K and Form 10-Q filings.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three months</w:t>
      </w:r>
    </w:p>
    <w:p>
      <w:pPr>
        <w:spacing w:after="0"/>
        <w:tabs>
          <w:tab w:leader="none" w:pos="2620" w:val="left"/>
          <w:tab w:leader="none" w:pos="5680" w:val="left"/>
        </w:tabs>
        <w:rPr>
          <w:sz w:val="20"/>
          <w:szCs w:val="20"/>
          <w:color w:val="auto"/>
        </w:rPr>
      </w:pPr>
      <w:r>
        <w:rPr>
          <w:rFonts w:ascii="Courier New" w:cs="Courier New" w:eastAsia="Courier New" w:hAnsi="Courier New"/>
          <w:sz w:val="18"/>
          <w:szCs w:val="18"/>
          <w:color w:val="auto"/>
        </w:rPr>
        <w:t>ended:</w:t>
      </w:r>
      <w:r>
        <w:rPr>
          <w:sz w:val="20"/>
          <w:szCs w:val="20"/>
          <w:color w:val="auto"/>
        </w:rPr>
        <w:tab/>
      </w:r>
      <w:r>
        <w:rPr>
          <w:rFonts w:ascii="Courier New" w:cs="Courier New" w:eastAsia="Courier New" w:hAnsi="Courier New"/>
          <w:sz w:val="18"/>
          <w:szCs w:val="18"/>
          <w:color w:val="auto"/>
        </w:rPr>
        <w:t>July 31, 2004</w:t>
      </w:r>
      <w:r>
        <w:rPr>
          <w:sz w:val="20"/>
          <w:szCs w:val="20"/>
          <w:color w:val="auto"/>
        </w:rPr>
        <w:tab/>
      </w:r>
      <w:r>
        <w:rPr>
          <w:rFonts w:ascii="Courier New" w:cs="Courier New" w:eastAsia="Courier New" w:hAnsi="Courier New"/>
          <w:sz w:val="16"/>
          <w:szCs w:val="16"/>
          <w:color w:val="auto"/>
        </w:rPr>
        <w:t>August 2, 2003</w:t>
      </w:r>
    </w:p>
    <w:p>
      <w:pPr>
        <w:spacing w:after="0"/>
        <w:tabs>
          <w:tab w:leader="none" w:pos="2840" w:val="left"/>
          <w:tab w:leader="none" w:pos="6100" w:val="left"/>
        </w:tabs>
        <w:rPr>
          <w:sz w:val="20"/>
          <w:szCs w:val="20"/>
          <w:color w:val="auto"/>
        </w:rPr>
      </w:pPr>
      <w:r>
        <w:rPr>
          <w:rFonts w:ascii="Courier New" w:cs="Courier New" w:eastAsia="Courier New" w:hAnsi="Courier New"/>
          <w:sz w:val="18"/>
          <w:szCs w:val="18"/>
          <w:color w:val="auto"/>
        </w:rPr>
        <w:t>(in millions)</w:t>
      </w:r>
      <w:r>
        <w:rPr>
          <w:sz w:val="20"/>
          <w:szCs w:val="20"/>
          <w:color w:val="auto"/>
        </w:rPr>
        <w:tab/>
      </w:r>
      <w:r>
        <w:rPr>
          <w:rFonts w:ascii="Courier New" w:cs="Courier New" w:eastAsia="Courier New" w:hAnsi="Courier New"/>
          <w:sz w:val="18"/>
          <w:szCs w:val="18"/>
          <w:color w:val="auto"/>
        </w:rPr>
        <w:t>Other</w:t>
      </w:r>
      <w:r>
        <w:rPr>
          <w:sz w:val="20"/>
          <w:szCs w:val="20"/>
          <w:color w:val="auto"/>
        </w:rPr>
        <w:tab/>
      </w:r>
      <w:r>
        <w:rPr>
          <w:rFonts w:ascii="Courier New" w:cs="Courier New" w:eastAsia="Courier New" w:hAnsi="Courier New"/>
          <w:sz w:val="16"/>
          <w:szCs w:val="16"/>
          <w:color w:val="auto"/>
        </w:rPr>
        <w:t>Other</w:t>
      </w:r>
    </w:p>
    <w:p>
      <w:pPr>
        <w:ind w:left="1900"/>
        <w:spacing w:after="0"/>
        <w:tabs>
          <w:tab w:leader="none" w:pos="2720" w:val="left"/>
          <w:tab w:leader="none" w:pos="5040" w:val="left"/>
          <w:tab w:leader="none" w:pos="6000" w:val="left"/>
        </w:tabs>
        <w:rPr>
          <w:sz w:val="20"/>
          <w:szCs w:val="20"/>
          <w:color w:val="auto"/>
        </w:rPr>
      </w:pPr>
      <w:r>
        <w:rPr>
          <w:rFonts w:ascii="Courier New" w:cs="Courier New" w:eastAsia="Courier New" w:hAnsi="Courier New"/>
          <w:sz w:val="18"/>
          <w:szCs w:val="18"/>
          <w:color w:val="auto"/>
        </w:rPr>
        <w:t>Casual</w:t>
        <w:tab/>
        <w:t>Branded</w:t>
      </w:r>
      <w:r>
        <w:rPr>
          <w:sz w:val="20"/>
          <w:szCs w:val="20"/>
          <w:color w:val="auto"/>
        </w:rPr>
        <w:tab/>
      </w:r>
      <w:r>
        <w:rPr>
          <w:rFonts w:ascii="Courier New" w:cs="Courier New" w:eastAsia="Courier New" w:hAnsi="Courier New"/>
          <w:sz w:val="18"/>
          <w:szCs w:val="18"/>
          <w:color w:val="auto"/>
        </w:rPr>
        <w:t>Casual</w:t>
      </w:r>
      <w:r>
        <w:rPr>
          <w:sz w:val="20"/>
          <w:szCs w:val="20"/>
          <w:color w:val="auto"/>
        </w:rPr>
        <w:tab/>
      </w:r>
      <w:r>
        <w:rPr>
          <w:rFonts w:ascii="Courier New" w:cs="Courier New" w:eastAsia="Courier New" w:hAnsi="Courier New"/>
          <w:sz w:val="16"/>
          <w:szCs w:val="16"/>
          <w:color w:val="auto"/>
        </w:rPr>
        <w:t>Branded</w:t>
      </w:r>
    </w:p>
    <w:p>
      <w:pPr>
        <w:ind w:left="2000"/>
        <w:spacing w:after="0"/>
        <w:tabs>
          <w:tab w:leader="none" w:pos="2720" w:val="left"/>
          <w:tab w:leader="none" w:pos="3880" w:val="left"/>
          <w:tab w:leader="none" w:pos="5260" w:val="left"/>
          <w:tab w:leader="none" w:pos="6000" w:val="left"/>
          <w:tab w:leader="none" w:pos="7040" w:val="left"/>
        </w:tabs>
        <w:rPr>
          <w:sz w:val="20"/>
          <w:szCs w:val="20"/>
          <w:color w:val="auto"/>
        </w:rPr>
      </w:pPr>
      <w:r>
        <w:rPr>
          <w:rFonts w:ascii="Courier New" w:cs="Courier New" w:eastAsia="Courier New" w:hAnsi="Courier New"/>
          <w:sz w:val="18"/>
          <w:szCs w:val="18"/>
          <w:color w:val="auto"/>
        </w:rPr>
        <w:t>Male</w:t>
        <w:tab/>
        <w:t>Apparel</w:t>
      </w:r>
      <w:r>
        <w:rPr>
          <w:sz w:val="20"/>
          <w:szCs w:val="20"/>
          <w:color w:val="auto"/>
        </w:rPr>
        <w:tab/>
      </w:r>
      <w:r>
        <w:rPr>
          <w:rFonts w:ascii="Courier New" w:cs="Courier New" w:eastAsia="Courier New" w:hAnsi="Courier New"/>
          <w:sz w:val="18"/>
          <w:szCs w:val="18"/>
          <w:color w:val="auto"/>
        </w:rPr>
        <w:t>Combined</w:t>
      </w:r>
      <w:r>
        <w:rPr>
          <w:sz w:val="20"/>
          <w:szCs w:val="20"/>
          <w:color w:val="auto"/>
        </w:rPr>
        <w:tab/>
      </w:r>
      <w:r>
        <w:rPr>
          <w:rFonts w:ascii="Courier New" w:cs="Courier New" w:eastAsia="Courier New" w:hAnsi="Courier New"/>
          <w:sz w:val="18"/>
          <w:szCs w:val="18"/>
          <w:color w:val="auto"/>
        </w:rPr>
        <w:t>Male</w:t>
      </w:r>
      <w:r>
        <w:rPr>
          <w:sz w:val="20"/>
          <w:szCs w:val="20"/>
          <w:color w:val="auto"/>
        </w:rPr>
        <w:tab/>
      </w:r>
      <w:r>
        <w:rPr>
          <w:rFonts w:ascii="Courier New" w:cs="Courier New" w:eastAsia="Courier New" w:hAnsi="Courier New"/>
          <w:sz w:val="18"/>
          <w:szCs w:val="18"/>
          <w:color w:val="auto"/>
        </w:rPr>
        <w:t>Apparel</w:t>
      </w:r>
      <w:r>
        <w:rPr>
          <w:sz w:val="20"/>
          <w:szCs w:val="20"/>
          <w:color w:val="auto"/>
        </w:rPr>
        <w:tab/>
      </w:r>
      <w:r>
        <w:rPr>
          <w:rFonts w:ascii="Courier New" w:cs="Courier New" w:eastAsia="Courier New" w:hAnsi="Courier New"/>
          <w:sz w:val="16"/>
          <w:szCs w:val="16"/>
          <w:color w:val="auto"/>
        </w:rPr>
        <w:t>Combined</w:t>
      </w:r>
    </w:p>
    <w:p>
      <w:pPr>
        <w:ind w:left="1800"/>
        <w:spacing w:after="0"/>
        <w:tabs>
          <w:tab w:leader="none" w:pos="2840" w:val="left"/>
          <w:tab w:leader="none" w:pos="4000" w:val="left"/>
          <w:tab w:leader="none" w:pos="5040" w:val="left"/>
          <w:tab w:leader="none" w:pos="6100" w:val="left"/>
          <w:tab w:leader="none" w:pos="7160" w:val="left"/>
        </w:tabs>
        <w:rPr>
          <w:sz w:val="20"/>
          <w:szCs w:val="20"/>
          <w:color w:val="auto"/>
        </w:rPr>
      </w:pPr>
      <w:r>
        <w:rPr>
          <w:rFonts w:ascii="Courier New" w:cs="Courier New" w:eastAsia="Courier New" w:hAnsi="Courier New"/>
          <w:sz w:val="18"/>
          <w:szCs w:val="18"/>
          <w:color w:val="auto"/>
        </w:rPr>
        <w:t>business</w:t>
        <w:tab/>
        <w:t>business</w:t>
      </w:r>
      <w:r>
        <w:rPr>
          <w:sz w:val="20"/>
          <w:szCs w:val="20"/>
          <w:color w:val="auto"/>
        </w:rPr>
        <w:tab/>
      </w: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8"/>
          <w:szCs w:val="18"/>
          <w:color w:val="auto"/>
        </w:rPr>
        <w:t>business</w:t>
        <w:tab/>
        <w:t>business</w:t>
      </w:r>
      <w:r>
        <w:rPr>
          <w:sz w:val="20"/>
          <w:szCs w:val="20"/>
          <w:color w:val="auto"/>
        </w:rPr>
        <w:tab/>
      </w:r>
      <w:r>
        <w:rPr>
          <w:rFonts w:ascii="Courier New" w:cs="Courier New" w:eastAsia="Courier New" w:hAnsi="Courier New"/>
          <w:sz w:val="16"/>
          <w:szCs w:val="16"/>
          <w:color w:val="auto"/>
        </w:rPr>
        <w:t>Company</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780" w:val="left"/>
          <w:tab w:leader="none" w:pos="2100" w:val="left"/>
          <w:tab w:leader="none" w:pos="2720" w:val="left"/>
          <w:tab w:leader="none" w:pos="3040" w:val="left"/>
          <w:tab w:leader="none" w:pos="3880" w:val="left"/>
          <w:tab w:leader="none" w:pos="4200" w:val="left"/>
          <w:tab w:leader="none" w:pos="5040" w:val="left"/>
          <w:tab w:leader="none" w:pos="5360" w:val="left"/>
          <w:tab w:leader="none" w:pos="6100" w:val="left"/>
          <w:tab w:leader="none" w:pos="6420" w:val="left"/>
          <w:tab w:leader="none" w:pos="7160" w:val="left"/>
        </w:tabs>
        <w:rPr>
          <w:sz w:val="20"/>
          <w:szCs w:val="20"/>
          <w:color w:val="auto"/>
        </w:rPr>
      </w:pPr>
      <w:r>
        <w:rPr>
          <w:rFonts w:ascii="Courier New" w:cs="Courier New" w:eastAsia="Courier New" w:hAnsi="Courier New"/>
          <w:sz w:val="18"/>
          <w:szCs w:val="18"/>
          <w:color w:val="auto"/>
        </w:rPr>
        <w:t>Sales</w:t>
      </w:r>
      <w:r>
        <w:rPr>
          <w:sz w:val="20"/>
          <w:szCs w:val="20"/>
          <w:color w:val="auto"/>
        </w:rPr>
        <w:tab/>
      </w:r>
      <w:r>
        <w:rPr>
          <w:rFonts w:ascii="Courier New" w:cs="Courier New" w:eastAsia="Courier New" w:hAnsi="Courier New"/>
          <w:sz w:val="18"/>
          <w:szCs w:val="18"/>
          <w:color w:val="auto"/>
        </w:rPr>
        <w:t>$</w:t>
        <w:tab/>
        <w:t>81.5</w:t>
        <w:tab/>
        <w:t>$</w:t>
        <w:tab/>
        <w:t>25.1</w:t>
      </w:r>
      <w:r>
        <w:rPr>
          <w:sz w:val="20"/>
          <w:szCs w:val="20"/>
          <w:color w:val="auto"/>
        </w:rPr>
        <w:tab/>
      </w:r>
      <w:r>
        <w:rPr>
          <w:rFonts w:ascii="Courier New" w:cs="Courier New" w:eastAsia="Courier New" w:hAnsi="Courier New"/>
          <w:sz w:val="18"/>
          <w:szCs w:val="18"/>
          <w:color w:val="auto"/>
        </w:rPr>
        <w:t>$</w:t>
        <w:tab/>
        <w:t>106.6</w:t>
      </w:r>
      <w:r>
        <w:rPr>
          <w:sz w:val="20"/>
          <w:szCs w:val="20"/>
          <w:color w:val="auto"/>
        </w:rPr>
        <w:tab/>
      </w:r>
      <w:r>
        <w:rPr>
          <w:rFonts w:ascii="Courier New" w:cs="Courier New" w:eastAsia="Courier New" w:hAnsi="Courier New"/>
          <w:sz w:val="18"/>
          <w:szCs w:val="18"/>
          <w:color w:val="auto"/>
        </w:rPr>
        <w:t>$</w:t>
        <w:tab/>
        <w:t>78.9</w:t>
      </w:r>
      <w:r>
        <w:rPr>
          <w:sz w:val="20"/>
          <w:szCs w:val="20"/>
          <w:color w:val="auto"/>
        </w:rPr>
        <w:tab/>
      </w:r>
      <w:r>
        <w:rPr>
          <w:rFonts w:ascii="Courier New" w:cs="Courier New" w:eastAsia="Courier New" w:hAnsi="Courier New"/>
          <w:sz w:val="18"/>
          <w:szCs w:val="18"/>
          <w:color w:val="auto"/>
        </w:rPr>
        <w:t>$</w:t>
        <w:tab/>
        <w:t>21.6</w:t>
      </w:r>
      <w:r>
        <w:rPr>
          <w:sz w:val="20"/>
          <w:szCs w:val="20"/>
          <w:color w:val="auto"/>
        </w:rPr>
        <w:tab/>
      </w:r>
      <w:r>
        <w:rPr>
          <w:rFonts w:ascii="Courier New" w:cs="Courier New" w:eastAsia="Courier New" w:hAnsi="Courier New"/>
          <w:sz w:val="16"/>
          <w:szCs w:val="16"/>
          <w:color w:val="auto"/>
        </w:rPr>
        <w:t>$ 100.5</w:t>
      </w:r>
    </w:p>
    <w:p>
      <w:pPr>
        <w:spacing w:after="0" w:line="238" w:lineRule="auto"/>
        <w:rPr>
          <w:sz w:val="20"/>
          <w:szCs w:val="20"/>
          <w:color w:val="auto"/>
        </w:rPr>
      </w:pPr>
      <w:r>
        <w:rPr>
          <w:rFonts w:ascii="Courier New" w:cs="Courier New" w:eastAsia="Courier New" w:hAnsi="Courier New"/>
          <w:sz w:val="18"/>
          <w:szCs w:val="18"/>
          <w:color w:val="auto"/>
        </w:rPr>
        <w:t>Gross margin,</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net of</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w:t>
            </w:r>
          </w:p>
        </w:tc>
        <w:tc>
          <w:tcPr>
            <w:tcW w:w="3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w:t>
            </w:r>
          </w:p>
        </w:tc>
        <w:tc>
          <w:tcPr>
            <w:tcW w:w="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40.2</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32.2</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5.2</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37.4</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Gross margin rate</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w:t>
            </w:r>
          </w:p>
        </w:tc>
        <w:tc>
          <w:tcPr>
            <w:tcW w:w="38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23.9%</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w:t>
            </w:r>
          </w:p>
        </w:tc>
        <w:tc>
          <w:tcPr>
            <w:tcW w:w="3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24.1%</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administrative</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w:t>
            </w:r>
          </w:p>
        </w:tc>
        <w:tc>
          <w:tcPr>
            <w:tcW w:w="3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w:t>
            </w:r>
          </w:p>
        </w:tc>
        <w:tc>
          <w:tcPr>
            <w:tcW w:w="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31.4</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3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0.6</w:t>
            </w:r>
          </w:p>
        </w:tc>
        <w:tc>
          <w:tcPr>
            <w:tcW w:w="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0.6</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800" w:type="dxa"/>
            <w:vAlign w:val="bottom"/>
          </w:tcPr>
          <w:p>
            <w:pPr>
              <w:spacing w:after="0"/>
              <w:rPr>
                <w:sz w:val="17"/>
                <w:szCs w:val="17"/>
                <w:color w:val="auto"/>
              </w:rPr>
            </w:pPr>
          </w:p>
        </w:tc>
        <w:tc>
          <w:tcPr>
            <w:tcW w:w="6220" w:type="dxa"/>
            <w:vAlign w:val="bottom"/>
            <w:gridSpan w:val="11"/>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(0.8)</w:t>
            </w:r>
          </w:p>
        </w:tc>
        <w:tc>
          <w:tcPr>
            <w:tcW w:w="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800" w:type="dxa"/>
            <w:vAlign w:val="bottom"/>
          </w:tcPr>
          <w:p>
            <w:pPr>
              <w:spacing w:after="0"/>
              <w:rPr>
                <w:sz w:val="17"/>
                <w:szCs w:val="17"/>
                <w:color w:val="auto"/>
              </w:rPr>
            </w:pPr>
          </w:p>
        </w:tc>
        <w:tc>
          <w:tcPr>
            <w:tcW w:w="6220" w:type="dxa"/>
            <w:vAlign w:val="bottom"/>
            <w:gridSpan w:val="11"/>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For the six months</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ended: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July 31, 2004</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August 2, 2003</w:t>
            </w:r>
          </w:p>
        </w:tc>
        <w:tc>
          <w:tcPr>
            <w:tcW w:w="6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Other</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Casual</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Branded</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Casual</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Branded</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Male</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Apparel</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Combined</w:t>
            </w:r>
          </w:p>
        </w:tc>
        <w:tc>
          <w:tcPr>
            <w:tcW w:w="38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Male</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Apparel</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Combined</w:t>
            </w:r>
          </w:p>
        </w:tc>
      </w:tr>
      <w:tr>
        <w:trPr>
          <w:trHeight w:val="203"/>
        </w:trPr>
        <w:tc>
          <w:tcPr>
            <w:tcW w:w="1800" w:type="dxa"/>
            <w:vAlign w:val="bottom"/>
          </w:tcPr>
          <w:p>
            <w:pPr>
              <w:spacing w:after="0"/>
              <w:rPr>
                <w:sz w:val="17"/>
                <w:szCs w:val="17"/>
                <w:color w:val="auto"/>
              </w:rPr>
            </w:pP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business</w:t>
            </w: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w:t>
            </w:r>
          </w:p>
        </w:tc>
        <w:tc>
          <w:tcPr>
            <w:tcW w:w="11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Company</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business</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business</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1800" w:type="dxa"/>
            <w:vAlign w:val="bottom"/>
          </w:tcPr>
          <w:p>
            <w:pPr>
              <w:spacing w:after="0"/>
              <w:rPr>
                <w:sz w:val="17"/>
                <w:szCs w:val="17"/>
                <w:color w:val="auto"/>
              </w:rPr>
            </w:pPr>
          </w:p>
        </w:tc>
        <w:tc>
          <w:tcPr>
            <w:tcW w:w="6220" w:type="dxa"/>
            <w:vAlign w:val="bottom"/>
            <w:gridSpan w:val="11"/>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159.6</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48.0</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207.6</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151.7</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39.0</w:t>
            </w:r>
          </w:p>
        </w:tc>
        <w:tc>
          <w:tcPr>
            <w:tcW w:w="1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$ 190.7</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Gross margin, net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of occupancy costs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w:t>
            </w:r>
          </w:p>
        </w:tc>
        <w:tc>
          <w:tcPr>
            <w:tcW w:w="38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w:t>
            </w:r>
          </w:p>
        </w:tc>
        <w:tc>
          <w:tcPr>
            <w:tcW w:w="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77.1</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62.4</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8.6</w:t>
            </w:r>
          </w:p>
        </w:tc>
        <w:tc>
          <w:tcPr>
            <w:tcW w:w="36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71.0</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Gross margin rate</w:t>
            </w:r>
          </w:p>
        </w:tc>
        <w:tc>
          <w:tcPr>
            <w:tcW w:w="200" w:type="dxa"/>
            <w:vAlign w:val="bottom"/>
          </w:tcPr>
          <w:p>
            <w:pPr>
              <w:spacing w:after="0"/>
              <w:rPr>
                <w:sz w:val="17"/>
                <w:szCs w:val="17"/>
                <w:color w:val="auto"/>
              </w:rPr>
            </w:pPr>
          </w:p>
        </w:tc>
        <w:tc>
          <w:tcPr>
            <w:tcW w:w="10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41.4%</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23.1%</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w:t>
            </w:r>
          </w:p>
        </w:tc>
        <w:tc>
          <w:tcPr>
            <w:tcW w:w="3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w:t>
            </w:r>
          </w:p>
        </w:tc>
        <w:tc>
          <w:tcPr>
            <w:tcW w:w="3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37.2%</w:t>
            </w:r>
          </w:p>
        </w:tc>
      </w:tr>
      <w:tr>
        <w:trPr>
          <w:trHeight w:val="203"/>
        </w:trPr>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59.6</w:t>
            </w:r>
          </w:p>
        </w:tc>
        <w:tc>
          <w:tcPr>
            <w:tcW w:w="38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w:t>
            </w:r>
          </w:p>
        </w:tc>
        <w:tc>
          <w:tcPr>
            <w:tcW w:w="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71.5</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10.5</w:t>
            </w:r>
          </w:p>
        </w:tc>
        <w:tc>
          <w:tcPr>
            <w:tcW w:w="36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63.1</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38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36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w:t>
            </w:r>
          </w:p>
        </w:tc>
        <w:tc>
          <w:tcPr>
            <w:tcW w:w="3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0.8</w:t>
            </w:r>
          </w:p>
        </w:tc>
        <w:tc>
          <w:tcPr>
            <w:tcW w:w="36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800" w:type="dxa"/>
            <w:vAlign w:val="bottom"/>
          </w:tcPr>
          <w:p>
            <w:pPr>
              <w:spacing w:after="0"/>
              <w:rPr>
                <w:sz w:val="17"/>
                <w:szCs w:val="17"/>
                <w:color w:val="auto"/>
              </w:rPr>
            </w:pPr>
          </w:p>
        </w:tc>
        <w:tc>
          <w:tcPr>
            <w:tcW w:w="6220" w:type="dxa"/>
            <w:vAlign w:val="bottom"/>
            <w:gridSpan w:val="11"/>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1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(2.0)</w:t>
            </w:r>
          </w:p>
        </w:tc>
        <w:tc>
          <w:tcPr>
            <w:tcW w:w="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(2.7)</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800" w:type="dxa"/>
            <w:vAlign w:val="bottom"/>
          </w:tcPr>
          <w:p>
            <w:pPr>
              <w:spacing w:after="0"/>
              <w:rPr>
                <w:sz w:val="17"/>
                <w:szCs w:val="17"/>
                <w:color w:val="auto"/>
              </w:rPr>
            </w:pPr>
          </w:p>
        </w:tc>
        <w:tc>
          <w:tcPr>
            <w:tcW w:w="6220" w:type="dxa"/>
            <w:vAlign w:val="bottom"/>
            <w:gridSpan w:val="11"/>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209"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In addition to the financial measures prepared in accordance with generally accepted accounting principles (GAAP), our above discussion refers to a normalized tax rate, which is a non-GAAP measure. Normalized tax basis reflects a 37% effective tax rate on pre-tax income. The Company believes that the inclusion of such non-GAAP measure helps investors to gain a better understanding of the Company's performance, especially when comparing such results to previous periods or forecasts. However, the non-GAAP financial measures included in this press release are not meant to be considered superior to or as a substitute for results of operations prepared in accordance with GAAP. The following table shows the reconciliation of the income from continuing operations for the second quarter of fiscal 2004 and fiscal 2003 on a GAAP basis effected for the adjustment for normalized taxes: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For the three months ended:</w:t>
            </w:r>
          </w:p>
        </w:tc>
        <w:tc>
          <w:tcPr>
            <w:tcW w:w="258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July 31 ,2004</w:t>
            </w:r>
          </w:p>
        </w:tc>
        <w:tc>
          <w:tcPr>
            <w:tcW w:w="300" w:type="dxa"/>
            <w:vAlign w:val="bottom"/>
          </w:tcPr>
          <w:p>
            <w:pPr>
              <w:spacing w:after="0"/>
              <w:rPr>
                <w:sz w:val="17"/>
                <w:szCs w:val="17"/>
                <w:color w:val="auto"/>
              </w:rPr>
            </w:pPr>
          </w:p>
        </w:tc>
        <w:tc>
          <w:tcPr>
            <w:tcW w:w="21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w w:val="96"/>
              </w:rPr>
              <w:t>August 2, 2003</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w:t>
            </w: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data)</w:t>
            </w:r>
          </w:p>
        </w:tc>
        <w:tc>
          <w:tcPr>
            <w:tcW w:w="1520" w:type="dxa"/>
            <w:vAlign w:val="bottom"/>
          </w:tcPr>
          <w:p>
            <w:pPr>
              <w:spacing w:after="0"/>
              <w:rPr>
                <w:sz w:val="17"/>
                <w:szCs w:val="17"/>
                <w:color w:val="auto"/>
              </w:rPr>
            </w:pPr>
          </w:p>
        </w:tc>
        <w:tc>
          <w:tcPr>
            <w:tcW w:w="10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Per share</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Per share</w:t>
            </w:r>
          </w:p>
        </w:tc>
      </w:tr>
      <w:tr>
        <w:trPr>
          <w:trHeight w:val="203"/>
        </w:trPr>
        <w:tc>
          <w:tcPr>
            <w:tcW w:w="3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basic and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basic and</w:t>
            </w:r>
          </w:p>
        </w:tc>
      </w:tr>
      <w:tr>
        <w:trPr>
          <w:trHeight w:val="203"/>
        </w:trPr>
        <w:tc>
          <w:tcPr>
            <w:tcW w:w="3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diluted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diluted</w:t>
            </w:r>
          </w:p>
        </w:tc>
      </w:tr>
      <w:tr>
        <w:trPr>
          <w:trHeight w:val="203"/>
        </w:trPr>
        <w:tc>
          <w:tcPr>
            <w:tcW w:w="3020" w:type="dxa"/>
            <w:vAlign w:val="bottom"/>
          </w:tcPr>
          <w:p>
            <w:pPr>
              <w:spacing w:after="0"/>
              <w:rPr>
                <w:sz w:val="17"/>
                <w:szCs w:val="17"/>
                <w:color w:val="auto"/>
              </w:rPr>
            </w:pP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w:t>
            </w: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1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$1,123</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$0.03</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993</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assuming normalized</w:t>
            </w: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tax rate of 37%</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(415)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(0.01)</w:t>
            </w:r>
          </w:p>
        </w:tc>
        <w:tc>
          <w:tcPr>
            <w:tcW w:w="3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3020" w:type="dxa"/>
            <w:vAlign w:val="bottom"/>
          </w:tcPr>
          <w:p>
            <w:pPr>
              <w:spacing w:after="0"/>
              <w:rPr>
                <w:sz w:val="17"/>
                <w:szCs w:val="17"/>
                <w:color w:val="auto"/>
              </w:rPr>
            </w:pPr>
          </w:p>
        </w:tc>
        <w:tc>
          <w:tcPr>
            <w:tcW w:w="500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income from</w:t>
            </w: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continuing operations, after</w:t>
            </w: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normalized tax rate</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$708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626</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3020" w:type="dxa"/>
            <w:vAlign w:val="bottom"/>
          </w:tcPr>
          <w:p>
            <w:pPr>
              <w:spacing w:after="0"/>
              <w:rPr>
                <w:sz w:val="17"/>
                <w:szCs w:val="17"/>
                <w:color w:val="auto"/>
              </w:rPr>
            </w:pPr>
          </w:p>
        </w:tc>
        <w:tc>
          <w:tcPr>
            <w:tcW w:w="500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1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34,485</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35,839</w:t>
            </w:r>
          </w:p>
        </w:tc>
      </w:tr>
      <w:tr>
        <w:trPr>
          <w:trHeight w:val="203"/>
        </w:trPr>
        <w:tc>
          <w:tcPr>
            <w:tcW w:w="3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1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36,099</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36,891</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72" w:lineRule="auto"/>
        <w:rPr>
          <w:sz w:val="20"/>
          <w:szCs w:val="20"/>
          <w:color w:val="auto"/>
        </w:rPr>
      </w:pPr>
      <w:r>
        <w:rPr>
          <w:rFonts w:ascii="Courier New" w:cs="Courier New" w:eastAsia="Courier New" w:hAnsi="Courier New"/>
          <w:sz w:val="16"/>
          <w:szCs w:val="16"/>
          <w:color w:val="auto"/>
        </w:rPr>
        <w:t>CMRG will conduct a conference call to discuss its second quarter earnings results today at 11:00 a.m. Eastern Time at www.casualmale.com/investor.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86"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CMRG, the largest retailer of big and tall men's apparel, operates 489 Casual Male Big &amp; Tall stores, the Casual Male e-commerce site, Casual</w:t>
      </w:r>
    </w:p>
    <w:p>
      <w:pPr>
        <w:sectPr>
          <w:pgSz w:w="11900" w:h="16838" w:orient="portrait"/>
          <w:cols w:equalWidth="0" w:num="1">
            <w:col w:w="10219"/>
          </w:cols>
          <w:pgMar w:left="240" w:top="136" w:right="1440" w:bottom="0" w:gutter="0" w:footer="0" w:header="0"/>
        </w:sectPr>
      </w:pPr>
    </w:p>
    <w:bookmarkStart w:id="4" w:name="page5"/>
    <w:bookmarkEnd w:id="4"/>
    <w:p>
      <w:pPr>
        <w:ind w:right="2419"/>
        <w:spacing w:after="0" w:line="237" w:lineRule="auto"/>
        <w:rPr>
          <w:sz w:val="20"/>
          <w:szCs w:val="20"/>
          <w:color w:val="auto"/>
        </w:rPr>
      </w:pPr>
      <w:r>
        <w:rPr>
          <w:rFonts w:ascii="Courier New" w:cs="Courier New" w:eastAsia="Courier New" w:hAnsi="Courier New"/>
          <w:sz w:val="18"/>
          <w:szCs w:val="18"/>
          <w:color w:val="auto"/>
        </w:rPr>
        <w:t>Male catalog business, and 48 Levi's(r) Outlet by Designs and Dockers(r) Outlet by Designs stores, throughout the United States and Puerto Rico. The Company is headquartered in Canton, Massachusetts and its common stock is listed on the Nasdaq National Market under the symbol "CMRG."</w:t>
      </w:r>
    </w:p>
    <w:p>
      <w:pPr>
        <w:spacing w:after="0" w:line="5"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This press release contains forward-looking statements within the meaning of the federal securities laws, including statements about gross margin improvement and SG&amp;A expense levels.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in this press release and elsewhere as a result of numerous risks and uncertainties. The Company encourages readers to refer to its prior filings with the Securities and Exchange Commission, including, without limitation, its Current Report on Form 8-K filed on April 14, 2004, that set forth certain risks and uncertainties that may have an impact on future results and direction of the Company.</w:t>
      </w:r>
    </w:p>
    <w:p>
      <w:pPr>
        <w:ind w:left="3380"/>
        <w:spacing w:after="0"/>
        <w:tabs>
          <w:tab w:leader="none" w:pos="4200" w:val="left"/>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190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2000"/>
        <w:spacing w:after="0"/>
        <w:rPr>
          <w:sz w:val="20"/>
          <w:szCs w:val="20"/>
          <w:color w:val="auto"/>
        </w:rPr>
      </w:pPr>
      <w:r>
        <w:rPr>
          <w:rFonts w:ascii="Courier New" w:cs="Courier New" w:eastAsia="Courier New" w:hAnsi="Courier New"/>
          <w:sz w:val="18"/>
          <w:szCs w:val="18"/>
          <w:color w:val="auto"/>
        </w:rPr>
        <w:t>(In thousands, except per share data)</w:t>
      </w:r>
    </w:p>
    <w:tbl>
      <w:tblPr>
        <w:tblLayout w:type="fixed"/>
        <w:tblInd w:w="0" w:type="dxa"/>
        <w:tblCellMar>
          <w:top w:w="0" w:type="dxa"/>
          <w:left w:w="0" w:type="dxa"/>
          <w:bottom w:w="0" w:type="dxa"/>
          <w:right w:w="0" w:type="dxa"/>
        </w:tblCellMar>
      </w:tblPr>
      <w:tr>
        <w:trPr>
          <w:trHeight w:val="202"/>
        </w:trPr>
        <w:tc>
          <w:tcPr>
            <w:tcW w:w="2440" w:type="dxa"/>
            <w:vAlign w:val="bottom"/>
          </w:tcPr>
          <w:p>
            <w:pPr>
              <w:spacing w:after="0"/>
              <w:rPr>
                <w:sz w:val="17"/>
                <w:szCs w:val="17"/>
                <w:color w:val="auto"/>
              </w:rPr>
            </w:pPr>
          </w:p>
        </w:tc>
        <w:tc>
          <w:tcPr>
            <w:tcW w:w="220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(Unaudited)</w:t>
            </w: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08"/>
        </w:trPr>
        <w:tc>
          <w:tcPr>
            <w:tcW w:w="2440" w:type="dxa"/>
            <w:vAlign w:val="bottom"/>
          </w:tcPr>
          <w:p>
            <w:pPr>
              <w:spacing w:after="0"/>
              <w:rPr>
                <w:sz w:val="24"/>
                <w:szCs w:val="24"/>
                <w:color w:val="auto"/>
              </w:rPr>
            </w:pPr>
          </w:p>
        </w:tc>
        <w:tc>
          <w:tcPr>
            <w:tcW w:w="3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For the three months ended</w:t>
            </w:r>
          </w:p>
        </w:tc>
        <w:tc>
          <w:tcPr>
            <w:tcW w:w="2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For the six months ended</w:t>
            </w:r>
          </w:p>
        </w:tc>
      </w:tr>
      <w:tr>
        <w:trPr>
          <w:trHeight w:val="203"/>
        </w:trPr>
        <w:tc>
          <w:tcPr>
            <w:tcW w:w="2440" w:type="dxa"/>
            <w:vAlign w:val="bottom"/>
          </w:tcPr>
          <w:p>
            <w:pPr>
              <w:spacing w:after="0"/>
              <w:rPr>
                <w:sz w:val="17"/>
                <w:szCs w:val="17"/>
                <w:color w:val="auto"/>
              </w:rPr>
            </w:pPr>
          </w:p>
        </w:tc>
        <w:tc>
          <w:tcPr>
            <w:tcW w:w="2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7/31/2004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8/2/2003</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7/31/2004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8/2/2003</w:t>
            </w:r>
          </w:p>
        </w:tc>
      </w:tr>
      <w:tr>
        <w:trPr>
          <w:trHeight w:val="203"/>
        </w:trPr>
        <w:tc>
          <w:tcPr>
            <w:tcW w:w="2440" w:type="dxa"/>
            <w:vAlign w:val="bottom"/>
          </w:tcPr>
          <w:p>
            <w:pPr>
              <w:spacing w:after="0"/>
              <w:rPr>
                <w:sz w:val="17"/>
                <w:szCs w:val="17"/>
                <w:color w:val="auto"/>
              </w:rPr>
            </w:pPr>
          </w:p>
        </w:tc>
        <w:tc>
          <w:tcPr>
            <w:tcW w:w="3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2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$ 106,569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$ 100,530</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$ 207,576</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$ 190,651</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including occupancy</w:t>
            </w:r>
          </w:p>
        </w:tc>
        <w:tc>
          <w:tcPr>
            <w:tcW w:w="2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66,362</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63,146</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130,514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19,603</w:t>
            </w:r>
          </w:p>
        </w:tc>
      </w:tr>
      <w:tr>
        <w:trPr>
          <w:trHeight w:val="203"/>
        </w:trPr>
        <w:tc>
          <w:tcPr>
            <w:tcW w:w="2440" w:type="dxa"/>
            <w:vAlign w:val="bottom"/>
          </w:tcPr>
          <w:p>
            <w:pPr>
              <w:spacing w:after="0"/>
              <w:rPr>
                <w:sz w:val="17"/>
                <w:szCs w:val="17"/>
                <w:color w:val="auto"/>
              </w:rPr>
            </w:pPr>
          </w:p>
        </w:tc>
        <w:tc>
          <w:tcPr>
            <w:tcW w:w="2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1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40,207</w:t>
            </w:r>
          </w:p>
        </w:tc>
        <w:tc>
          <w:tcPr>
            <w:tcW w:w="320" w:type="dxa"/>
            <w:vAlign w:val="bottom"/>
          </w:tcPr>
          <w:p>
            <w:pPr>
              <w:spacing w:after="0"/>
              <w:rPr>
                <w:sz w:val="17"/>
                <w:szCs w:val="17"/>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37,384</w:t>
            </w:r>
          </w:p>
        </w:tc>
        <w:tc>
          <w:tcPr>
            <w:tcW w:w="460" w:type="dxa"/>
            <w:vAlign w:val="bottom"/>
          </w:tcPr>
          <w:p>
            <w:pPr>
              <w:spacing w:after="0"/>
              <w:rPr>
                <w:sz w:val="17"/>
                <w:szCs w:val="17"/>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77,062</w:t>
            </w:r>
          </w:p>
        </w:tc>
        <w:tc>
          <w:tcPr>
            <w:tcW w:w="26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71,048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34,962</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31,392</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71,516</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63,055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2,807</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2,043</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5,294</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3,943</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37,769</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33,435</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76,810</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66,998</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1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2,438</w:t>
            </w:r>
          </w:p>
        </w:tc>
        <w:tc>
          <w:tcPr>
            <w:tcW w:w="32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3,949</w:t>
            </w:r>
          </w:p>
        </w:tc>
        <w:tc>
          <w:tcPr>
            <w:tcW w:w="4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252</w:t>
            </w:r>
          </w:p>
        </w:tc>
        <w:tc>
          <w:tcPr>
            <w:tcW w:w="2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4,050</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Other income, net</w:t>
            </w:r>
          </w:p>
        </w:tc>
        <w:tc>
          <w:tcPr>
            <w:tcW w:w="420" w:type="dxa"/>
            <w:vAlign w:val="bottom"/>
          </w:tcPr>
          <w:p>
            <w:pPr>
              <w:spacing w:after="0"/>
              <w:rPr>
                <w:sz w:val="24"/>
                <w:szCs w:val="24"/>
                <w:color w:val="auto"/>
              </w:rPr>
            </w:pP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308</w:t>
            </w:r>
          </w:p>
        </w:tc>
        <w:tc>
          <w:tcPr>
            <w:tcW w:w="320" w:type="dxa"/>
            <w:vAlign w:val="bottom"/>
          </w:tcPr>
          <w:p>
            <w:pPr>
              <w:spacing w:after="0"/>
              <w:rPr>
                <w:sz w:val="24"/>
                <w:szCs w:val="24"/>
                <w:color w:val="auto"/>
              </w:rPr>
            </w:pPr>
          </w:p>
        </w:tc>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308</w:t>
            </w:r>
          </w:p>
        </w:tc>
        <w:tc>
          <w:tcPr>
            <w:tcW w:w="260" w:type="dxa"/>
            <w:vAlign w:val="bottom"/>
          </w:tcPr>
          <w:p>
            <w:pPr>
              <w:spacing w:after="0"/>
              <w:rPr>
                <w:sz w:val="24"/>
                <w:szCs w:val="24"/>
                <w:color w:val="auto"/>
              </w:rPr>
            </w:pP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(1,977)</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(2,976)</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(4,157)</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(5,861)</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 continuing</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before minority</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4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769</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973</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(3,597)</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(1,811)</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42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(354)</w:t>
            </w:r>
          </w:p>
        </w:tc>
        <w:tc>
          <w:tcPr>
            <w:tcW w:w="3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w:t>
            </w:r>
          </w:p>
        </w:tc>
        <w:tc>
          <w:tcPr>
            <w:tcW w:w="4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(701)</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(92)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420" w:type="dxa"/>
            <w:vAlign w:val="bottom"/>
          </w:tcPr>
          <w:p>
            <w:pPr>
              <w:spacing w:after="0"/>
              <w:rPr>
                <w:sz w:val="17"/>
                <w:szCs w:val="17"/>
                <w:color w:val="auto"/>
              </w:rPr>
            </w:pP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4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1,123</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993</w:t>
            </w:r>
          </w:p>
        </w:tc>
        <w:tc>
          <w:tcPr>
            <w:tcW w:w="4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(2,896)</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(1,719)</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w w:val="97"/>
              </w:rPr>
              <w:t>Loss from discontinued operations</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(1,024)</w:t>
            </w:r>
          </w:p>
        </w:tc>
        <w:tc>
          <w:tcPr>
            <w:tcW w:w="3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(335)</w:t>
            </w:r>
          </w:p>
        </w:tc>
        <w:tc>
          <w:tcPr>
            <w:tcW w:w="4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(2,099)</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(378)</w:t>
            </w:r>
          </w:p>
        </w:tc>
      </w:tr>
      <w:tr>
        <w:trPr>
          <w:trHeight w:val="203"/>
        </w:trPr>
        <w:tc>
          <w:tcPr>
            <w:tcW w:w="3480" w:type="dxa"/>
            <w:vAlign w:val="bottom"/>
          </w:tcPr>
          <w:p>
            <w:pPr>
              <w:spacing w:after="0"/>
              <w:rPr>
                <w:sz w:val="17"/>
                <w:szCs w:val="17"/>
                <w:color w:val="auto"/>
              </w:rPr>
            </w:pP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658</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(4,995)</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(2,097)</w:t>
            </w:r>
          </w:p>
        </w:tc>
      </w:tr>
      <w:tr>
        <w:trPr>
          <w:trHeight w:val="203"/>
        </w:trPr>
        <w:tc>
          <w:tcPr>
            <w:tcW w:w="348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Net income (loss) per share</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 basic and diluted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0.03</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0.03</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(0.08)</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discontinued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($0.03)</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($0.01)</w:t>
            </w: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($0.06)</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3480" w:type="dxa"/>
            <w:vAlign w:val="bottom"/>
          </w:tcPr>
          <w:p>
            <w:pPr>
              <w:spacing w:after="0"/>
              <w:rPr>
                <w:sz w:val="17"/>
                <w:szCs w:val="17"/>
                <w:color w:val="auto"/>
              </w:rPr>
            </w:pP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0.00</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0.02</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(0.14)</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(0.06)</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Weighted-average number</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of common shares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34,485</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35,839</w:t>
            </w:r>
          </w:p>
        </w:tc>
        <w:tc>
          <w:tcPr>
            <w:tcW w:w="4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34,805</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35,796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36,099</w:t>
            </w:r>
          </w:p>
        </w:tc>
        <w:tc>
          <w:tcPr>
            <w:tcW w:w="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36,891</w:t>
            </w:r>
          </w:p>
        </w:tc>
        <w:tc>
          <w:tcPr>
            <w:tcW w:w="4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34,805</w:t>
            </w:r>
          </w:p>
        </w:tc>
        <w:tc>
          <w:tcPr>
            <w:tcW w:w="2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35,796</w:t>
            </w:r>
          </w:p>
        </w:tc>
      </w:tr>
      <w:tr>
        <w:trPr>
          <w:trHeight w:val="405"/>
        </w:trPr>
        <w:tc>
          <w:tcPr>
            <w:tcW w:w="5860" w:type="dxa"/>
            <w:vAlign w:val="bottom"/>
            <w:gridSpan w:val="5"/>
          </w:tcPr>
          <w:p>
            <w:pPr>
              <w:jc w:val="right"/>
              <w:ind w:right="292"/>
              <w:spacing w:after="0"/>
              <w:rPr>
                <w:sz w:val="20"/>
                <w:szCs w:val="20"/>
                <w:color w:val="auto"/>
              </w:rPr>
            </w:pPr>
            <w:r>
              <w:rPr>
                <w:rFonts w:ascii="Courier New" w:cs="Courier New" w:eastAsia="Courier New" w:hAnsi="Courier New"/>
                <w:sz w:val="18"/>
                <w:szCs w:val="18"/>
                <w:color w:val="auto"/>
              </w:rPr>
              <w:t>CASUAL MALE RETAIL GROUP, INC.</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860" w:type="dxa"/>
            <w:vAlign w:val="bottom"/>
            <w:gridSpan w:val="5"/>
          </w:tcPr>
          <w:p>
            <w:pPr>
              <w:jc w:val="right"/>
              <w:ind w:right="392"/>
              <w:spacing w:after="0" w:line="203" w:lineRule="exact"/>
              <w:rPr>
                <w:sz w:val="20"/>
                <w:szCs w:val="20"/>
                <w:color w:val="auto"/>
              </w:rPr>
            </w:pPr>
            <w:r>
              <w:rPr>
                <w:rFonts w:ascii="Courier New" w:cs="Courier New" w:eastAsia="Courier New" w:hAnsi="Courier New"/>
                <w:sz w:val="18"/>
                <w:szCs w:val="18"/>
                <w:color w:val="auto"/>
              </w:rPr>
              <w:t>CONSOLIDATED BALANCE SHEETS</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860" w:type="dxa"/>
            <w:vAlign w:val="bottom"/>
            <w:gridSpan w:val="5"/>
          </w:tcPr>
          <w:p>
            <w:pPr>
              <w:jc w:val="right"/>
              <w:ind w:right="72"/>
              <w:spacing w:after="0" w:line="203" w:lineRule="exact"/>
              <w:rPr>
                <w:sz w:val="20"/>
                <w:szCs w:val="20"/>
                <w:color w:val="auto"/>
              </w:rPr>
            </w:pPr>
            <w:r>
              <w:rPr>
                <w:rFonts w:ascii="Courier New" w:cs="Courier New" w:eastAsia="Courier New" w:hAnsi="Courier New"/>
                <w:sz w:val="18"/>
                <w:szCs w:val="18"/>
                <w:color w:val="auto"/>
              </w:rPr>
              <w:t>July 31, 2004 and January 31, 2004</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08"/>
        </w:trPr>
        <w:tc>
          <w:tcPr>
            <w:tcW w:w="3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July 31,</w:t>
            </w:r>
          </w:p>
        </w:tc>
        <w:tc>
          <w:tcPr>
            <w:tcW w:w="900" w:type="dxa"/>
            <w:vAlign w:val="bottom"/>
          </w:tcPr>
          <w:p>
            <w:pPr>
              <w:spacing w:after="0"/>
              <w:rPr>
                <w:sz w:val="24"/>
                <w:szCs w:val="24"/>
                <w:color w:val="auto"/>
              </w:rPr>
            </w:pP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January 31,</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2004</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2004</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14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Cash and investments</w:t>
            </w:r>
          </w:p>
        </w:tc>
        <w:tc>
          <w:tcPr>
            <w:tcW w:w="420" w:type="dxa"/>
            <w:vAlign w:val="bottom"/>
          </w:tcPr>
          <w:p>
            <w:pPr>
              <w:spacing w:after="0"/>
              <w:rPr>
                <w:sz w:val="24"/>
                <w:szCs w:val="24"/>
                <w:color w:val="auto"/>
              </w:rPr>
            </w:pP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5,832</w:t>
            </w:r>
          </w:p>
        </w:tc>
        <w:tc>
          <w:tcPr>
            <w:tcW w:w="9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4,179</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87,452</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98,673</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42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17,407</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10,831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42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66,713</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68,345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intangibles</w:t>
            </w:r>
          </w:p>
        </w:tc>
        <w:tc>
          <w:tcPr>
            <w:tcW w:w="42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81,256</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81,306</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8,664</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9,408</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90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42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$ 267,324</w:t>
            </w:r>
          </w:p>
        </w:tc>
        <w:tc>
          <w:tcPr>
            <w:tcW w:w="90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$ 272,742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90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w w:val="99"/>
              </w:rPr>
              <w:t>LIABILITIES AND STOCKHOLDERS' EQUITY</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5"/>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Accounts payable, accrued expenses</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46,426</w:t>
            </w:r>
          </w:p>
        </w:tc>
        <w:tc>
          <w:tcPr>
            <w:tcW w:w="900" w:type="dxa"/>
            <w:vAlign w:val="bottom"/>
          </w:tcPr>
          <w:p>
            <w:pPr>
              <w:spacing w:after="0"/>
              <w:rPr>
                <w:sz w:val="17"/>
                <w:szCs w:val="17"/>
                <w:color w:val="auto"/>
              </w:rPr>
            </w:pP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59,155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42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33,878</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3,623</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reserves</w:t>
            </w:r>
          </w:p>
        </w:tc>
        <w:tc>
          <w:tcPr>
            <w:tcW w:w="42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2,645</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2,945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Portion</w:t>
            </w:r>
          </w:p>
        </w:tc>
        <w:tc>
          <w:tcPr>
            <w:tcW w:w="42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114,071</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122,374</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3,804</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42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70,304</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80,841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14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267,324</w:t>
            </w:r>
          </w:p>
        </w:tc>
        <w:tc>
          <w:tcPr>
            <w:tcW w:w="90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$ 272,742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14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38" w:orient="portrait"/>
          <w:cols w:equalWidth="0" w:num="1">
            <w:col w:w="10219"/>
          </w:cols>
          <w:pgMar w:left="240" w:top="136" w:right="1440" w:bottom="335"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Company Contact: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Casual Male Retail Group, Inc. Agrees to Acquire Rochester Big and Tall</w:t>
      </w:r>
    </w:p>
    <w:p>
      <w:pPr>
        <w:spacing w:after="0" w:line="200" w:lineRule="exact"/>
        <w:rPr>
          <w:sz w:val="20"/>
          <w:szCs w:val="20"/>
          <w:color w:val="auto"/>
        </w:rPr>
      </w:pPr>
    </w:p>
    <w:p>
      <w:pPr>
        <w:spacing w:after="0" w:line="226" w:lineRule="exact"/>
        <w:rPr>
          <w:sz w:val="20"/>
          <w:szCs w:val="20"/>
          <w:color w:val="auto"/>
        </w:rPr>
      </w:pPr>
    </w:p>
    <w:p>
      <w:pPr>
        <w:jc w:val="both"/>
        <w:ind w:right="3259"/>
        <w:spacing w:after="0" w:line="268" w:lineRule="auto"/>
        <w:rPr>
          <w:sz w:val="20"/>
          <w:szCs w:val="20"/>
          <w:color w:val="auto"/>
        </w:rPr>
      </w:pPr>
      <w:r>
        <w:rPr>
          <w:rFonts w:ascii="Courier New" w:cs="Courier New" w:eastAsia="Courier New" w:hAnsi="Courier New"/>
          <w:sz w:val="16"/>
          <w:szCs w:val="16"/>
          <w:color w:val="auto"/>
        </w:rPr>
        <w:t>CANTON, MA. and SAN FRANCISCO, CA. August 19, 2004 -- Casual Male Retail Group, Inc. (NASDAQ/NMS: "CMRG" ), retail brand operator of Casual Male Big &amp; Tall, the exclusive retailer of George Foreman's clothing collection, and Rochester Big and Tall Clothing, Inc.</w:t>
      </w:r>
    </w:p>
    <w:p>
      <w:pPr>
        <w:spacing w:after="0" w:line="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("Rochester"), the worldwide fashion leader for the discriminating big and tall man, today announced that Casual Male has signed an asset purchase agreement, subject to buyer's due diligence and other normal closing conditions, to acquire privately held Rochester. The purchase price is $15 million in cash and the assumption of bank and subordinated debt of approximately $5 million, in addition to the assumption of identified operating liabilities such as accounts payable and accrued liabilities. There is a potential payment over a three-year period of an additional $4 million, which is subject to an earn-out provision. Assuming satisfaction of all closing conditions, the acquisition is targeted to close by October 31, 2004.</w:t>
      </w:r>
    </w:p>
    <w:p>
      <w:pPr>
        <w:spacing w:after="0" w:line="216"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Seymour Holtzman, Chairman of Casual Male Retail Group, Inc. said, "The acquisition of Rochester provides an incredible opportunity to expand our business into the higher end of the big and tall market and increase our market share in this highly fragmented industry. This is another step in our plan to transform Casual Male into a company of global significance."</w:t>
      </w:r>
    </w:p>
    <w:p>
      <w:pPr>
        <w:spacing w:after="0" w:line="21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"We believe the acquisition will be accretive to Casual Male's 2004 earnings," said David Levin, CEO and President of Casual Male. Mr. Levin further stated, "Rochester is the premier big and tall operator specializing in suits and sportswear with 21 locations in major cities in the United States, one in London, England, and a growing catalog and e-commerce business. By capitalizing on the significant synergies in merchandising, marketing and direct to consumer business, we expect there to be significant expansion opportunities for Rochester in the United States and international markets."</w:t>
      </w:r>
    </w:p>
    <w:p>
      <w:pPr>
        <w:spacing w:after="0" w:line="21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Rochester Big and Tall Clothing was founded in 1906 in San Francisco and has been providing quality apparel and accessories for the hard-to-fit discriminating man. Robert L. Sockolov, President and Chief Executive Officer of the family owned business, will join the Board of Directors of Casual Male at the close of the transaction. Mr. Sockolov said, "Casual Male provides the perfect vehicle to grow our family business into a much larger enterprise. The existing executive management team of myself, Bill Sockolov, Steve Sockolov and John Soares will be joining forces with Casual Male to realize our goal as the worldwide fashion leader for the big and tall man."</w:t>
      </w:r>
    </w:p>
    <w:p>
      <w:pPr>
        <w:spacing w:after="0" w:line="215"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Rochester had unaudited annual sales for the year ended June 30, 2004 of $65 million and an operating income (which includes depreciation of approximately $1 million) in the $2 to $2.5 million range. This acquisition advances Casual Male's goal of increasing its overall market share with the addition of complementary businesses. The Rochester customer is a sophisticated consumer who shops name brands such as Versace, Ermenegildo Zegna, Burberry and Polo Ralph Lauren, whereas the Casual Male customer shops primarily for moderately priced casual clothing.</w:t>
      </w:r>
    </w:p>
    <w:p>
      <w:pPr>
        <w:spacing w:after="0" w:line="214"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Casual Male will discuss the Rochester acquisition and its second quarter earnings on Thursday, August 19, 2004 at 11:00 a.m. EDT. To listen to the web cast, go to www.casualmale.com/investor and click on the second quarter earnings icon.</w:t>
      </w:r>
    </w:p>
    <w:p>
      <w:pPr>
        <w:spacing w:after="0" w:line="207" w:lineRule="exact"/>
        <w:rPr>
          <w:sz w:val="20"/>
          <w:szCs w:val="20"/>
          <w:color w:val="auto"/>
        </w:rPr>
      </w:pPr>
    </w:p>
    <w:p>
      <w:pPr>
        <w:ind w:right="2619"/>
        <w:spacing w:after="0" w:line="272" w:lineRule="auto"/>
        <w:rPr>
          <w:sz w:val="20"/>
          <w:szCs w:val="20"/>
          <w:color w:val="auto"/>
        </w:rPr>
      </w:pPr>
      <w:r>
        <w:rPr>
          <w:rFonts w:ascii="Courier New" w:cs="Courier New" w:eastAsia="Courier New" w:hAnsi="Courier New"/>
          <w:sz w:val="16"/>
          <w:szCs w:val="16"/>
          <w:color w:val="auto"/>
        </w:rPr>
        <w:t>CMRG, the largest retailer of big and tall men's apparel, operates 489 Casual Male Big &amp; Tall stores, the Casual Male e-commerce site, Casual Male catalog business, and 48 Levi's(r) Outlet by Designs and Dockers(r) Outlet by Designs stores throughout the United States and Puerto Rico. The Company is headquartered in Canton, Massachusetts and its common stock is listed on the Nasdaq National Market under the symbol "CMRG."</w:t>
      </w:r>
    </w:p>
    <w:p>
      <w:pPr>
        <w:spacing w:after="0" w:line="186"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federal securities laws, including statements about the</w:t>
      </w:r>
    </w:p>
    <w:p>
      <w:pPr>
        <w:sectPr>
          <w:pgSz w:w="11900" w:h="16838" w:orient="portrait"/>
          <w:cols w:equalWidth="0" w:num="1">
            <w:col w:w="10219"/>
          </w:cols>
          <w:pgMar w:left="240" w:top="136" w:right="1440" w:bottom="0" w:gutter="0" w:footer="0" w:header="0"/>
        </w:sectPr>
      </w:pPr>
    </w:p>
    <w:bookmarkStart w:id="7" w:name="page8"/>
    <w:bookmarkEnd w:id="7"/>
    <w:p>
      <w:pPr>
        <w:ind w:right="2739"/>
        <w:spacing w:after="0" w:line="269" w:lineRule="auto"/>
        <w:rPr>
          <w:sz w:val="20"/>
          <w:szCs w:val="20"/>
          <w:color w:val="auto"/>
        </w:rPr>
      </w:pPr>
      <w:r>
        <w:rPr>
          <w:rFonts w:ascii="Courier New" w:cs="Courier New" w:eastAsia="Courier New" w:hAnsi="Courier New"/>
          <w:sz w:val="16"/>
          <w:szCs w:val="16"/>
          <w:color w:val="auto"/>
        </w:rPr>
        <w:t>timing of the acquisition and the accretive nature of the acquisition to Casual Male.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in this press release due to numerous factors, including, without limitation, the ability to satisfy the conditions to the consummation of the acquisition, the operational integration associated with the acquisition and other risks generally associated with such transactions. Furthermore, the Company encourages readers to refer to its prior filings with the Securities and Exchange Commission, including, without limitation, its Current Report on Form 8-K filed on April 14, 2004, that set forth certain risks and uncertainties that may have an impact on future results and direction of the Company.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2019-12-19T22:11:35Z</dcterms:created>
  <dcterms:modified xsi:type="dcterms:W3CDTF">2019-12-19T22:11:35Z</dcterms:modified>
</cp:coreProperties>
</file>