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and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5)*</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Chilton Investment Company, LLC</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1266 East Main Street, 7th Floor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Stamford, CT 06902</w:t>
      </w:r>
    </w:p>
    <w:p>
      <w:pPr>
        <w:ind w:left="4120" w:hanging="636"/>
        <w:spacing w:after="0"/>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352-4000</w:t>
      </w: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 and</w:t>
      </w:r>
    </w:p>
    <w:p>
      <w:pPr>
        <w:ind w:left="3480"/>
        <w:spacing w:after="0"/>
        <w:rPr>
          <w:sz w:val="20"/>
          <w:szCs w:val="20"/>
          <w:color w:val="auto"/>
        </w:rPr>
      </w:pPr>
      <w:r>
        <w:rPr>
          <w:rFonts w:ascii="Courier New" w:cs="Courier New" w:eastAsia="Courier New" w:hAnsi="Courier New"/>
          <w:sz w:val="18"/>
          <w:szCs w:val="18"/>
          <w:color w:val="auto"/>
        </w:rPr>
        <w:t>Communications)</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19, 2007</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|_|.</w:t>
      </w:r>
    </w:p>
    <w:p>
      <w:pPr>
        <w:spacing w:after="0" w:line="82" w:lineRule="exact"/>
        <w:rPr>
          <w:sz w:val="24"/>
          <w:szCs w:val="24"/>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66"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779"/>
        <w:spacing w:after="0" w:line="318"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w:t>
            </w:r>
          </w:p>
        </w:tc>
        <w:tc>
          <w:tcPr>
            <w:tcW w:w="19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SCHEDULE 13D</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960" w:type="dxa"/>
            <w:vAlign w:val="bottom"/>
            <w:vMerge w:val="continue"/>
          </w:tcPr>
          <w:p>
            <w:pPr>
              <w:spacing w:after="0"/>
              <w:rPr>
                <w:sz w:val="17"/>
                <w:szCs w:val="17"/>
                <w:color w:val="auto"/>
              </w:rPr>
            </w:pPr>
          </w:p>
        </w:tc>
        <w:tc>
          <w:tcPr>
            <w:tcW w:w="33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Page 2 of 4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w:t>
            </w:r>
          </w:p>
        </w:tc>
        <w:tc>
          <w:tcPr>
            <w:tcW w:w="196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Chilton Investment Company, LLC</w:t>
      </w:r>
    </w:p>
    <w:p>
      <w:pPr>
        <w:spacing w:after="0" w:line="31"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(a) |_| (b) |X|</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AF, OO</w:t>
      </w:r>
    </w:p>
    <w:p>
      <w:pPr>
        <w:spacing w:after="0" w:line="31"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319" w:hanging="52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IF DISCLOSURE OF LEGAL PROCEEDINGS IS REQUIRED PURSUANT TO ITEMS 2(d) or 2(e)</w:t>
      </w:r>
    </w:p>
    <w:p>
      <w:pPr>
        <w:spacing w:after="0" w:line="5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18" w:right="1440" w:bottom="0" w:gutter="0" w:footer="0" w:header="0"/>
        </w:sectPr>
      </w:pPr>
    </w:p>
    <w:bookmarkStart w:id="1" w:name="page2"/>
    <w:bookmarkEnd w:id="1"/>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Courier New" w:cs="Courier New" w:eastAsia="Courier New" w:hAnsi="Courier New"/>
                <w:sz w:val="18"/>
                <w:szCs w:val="18"/>
                <w:color w:val="auto"/>
              </w:rPr>
              <w:t>8,360,163</w:t>
            </w:r>
          </w:p>
        </w:tc>
        <w:tc>
          <w:tcPr>
            <w:tcW w:w="0" w:type="dxa"/>
            <w:vAlign w:val="bottom"/>
          </w:tcPr>
          <w:p>
            <w:pPr>
              <w:spacing w:after="0"/>
              <w:rPr>
                <w:sz w:val="1"/>
                <w:szCs w:val="1"/>
                <w:color w:val="auto"/>
              </w:rPr>
            </w:pPr>
          </w:p>
        </w:tc>
      </w:tr>
      <w:tr>
        <w:trPr>
          <w:trHeight w:val="203"/>
        </w:trPr>
        <w:tc>
          <w:tcPr>
            <w:tcW w:w="1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360" w:type="dxa"/>
            <w:vAlign w:val="bottom"/>
            <w:vMerge w:val="continue"/>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w:t>
            </w:r>
          </w:p>
        </w:tc>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40" w:type="dxa"/>
            <w:vAlign w:val="bottom"/>
          </w:tcPr>
          <w:p>
            <w:pPr>
              <w:spacing w:after="0"/>
              <w:rPr>
                <w:sz w:val="17"/>
                <w:szCs w:val="17"/>
                <w:color w:val="auto"/>
              </w:rPr>
            </w:pPr>
          </w:p>
        </w:tc>
        <w:tc>
          <w:tcPr>
            <w:tcW w:w="612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74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vMerge w:val="restart"/>
          </w:tcPr>
          <w:p>
            <w:pPr>
              <w:ind w:left="120"/>
              <w:spacing w:after="0"/>
              <w:rPr>
                <w:sz w:val="20"/>
                <w:szCs w:val="20"/>
                <w:color w:val="auto"/>
              </w:rPr>
            </w:pPr>
            <w:r>
              <w:rPr>
                <w:rFonts w:ascii="Courier New" w:cs="Courier New" w:eastAsia="Courier New" w:hAnsi="Courier New"/>
                <w:sz w:val="4"/>
                <w:szCs w:val="4"/>
                <w:color w:val="auto"/>
                <w:w w:val="76"/>
                <w:vertAlign w:val="subscript"/>
              </w:rPr>
              <w:t>9</w:t>
            </w:r>
            <w:r>
              <w:rPr>
                <w:rFonts w:ascii="Courier New" w:cs="Courier New" w:eastAsia="Courier New" w:hAnsi="Courier New"/>
                <w:sz w:val="2"/>
                <w:szCs w:val="2"/>
                <w:color w:val="auto"/>
                <w:w w:val="76"/>
              </w:rPr>
              <w:t>----------------------------------------------------------------</w:t>
            </w:r>
          </w:p>
        </w:tc>
        <w:tc>
          <w:tcPr>
            <w:tcW w:w="61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6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vMerge w:val="continue"/>
          </w:tcPr>
          <w:p>
            <w:pPr>
              <w:spacing w:after="0"/>
              <w:rPr>
                <w:sz w:val="17"/>
                <w:szCs w:val="17"/>
                <w:color w:val="auto"/>
              </w:rPr>
            </w:pPr>
          </w:p>
        </w:tc>
        <w:tc>
          <w:tcPr>
            <w:tcW w:w="6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40" w:type="dxa"/>
            <w:vAlign w:val="bottom"/>
          </w:tcPr>
          <w:p>
            <w:pPr>
              <w:spacing w:after="0"/>
              <w:rPr>
                <w:sz w:val="17"/>
                <w:szCs w:val="17"/>
                <w:color w:val="auto"/>
              </w:rPr>
            </w:pPr>
          </w:p>
        </w:tc>
        <w:tc>
          <w:tcPr>
            <w:tcW w:w="6120" w:type="dxa"/>
            <w:vAlign w:val="bottom"/>
            <w:vMerge w:val="restart"/>
          </w:tcPr>
          <w:p>
            <w:pPr>
              <w:spacing w:after="0"/>
              <w:rPr>
                <w:sz w:val="20"/>
                <w:szCs w:val="20"/>
                <w:color w:val="auto"/>
              </w:rPr>
            </w:pPr>
            <w:r>
              <w:rPr>
                <w:rFonts w:ascii="Courier New" w:cs="Courier New" w:eastAsia="Courier New" w:hAnsi="Courier New"/>
                <w:sz w:val="18"/>
                <w:szCs w:val="18"/>
                <w:color w:val="auto"/>
              </w:rPr>
              <w:t>8,360,163</w:t>
            </w:r>
          </w:p>
        </w:tc>
        <w:tc>
          <w:tcPr>
            <w:tcW w:w="0" w:type="dxa"/>
            <w:vAlign w:val="bottom"/>
          </w:tcPr>
          <w:p>
            <w:pPr>
              <w:spacing w:after="0"/>
              <w:rPr>
                <w:sz w:val="1"/>
                <w:szCs w:val="1"/>
                <w:color w:val="auto"/>
              </w:rPr>
            </w:pPr>
          </w:p>
        </w:tc>
      </w:tr>
      <w:tr>
        <w:trPr>
          <w:trHeight w:val="203"/>
        </w:trPr>
        <w:tc>
          <w:tcPr>
            <w:tcW w:w="136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60" w:type="dxa"/>
            <w:vAlign w:val="bottom"/>
          </w:tcPr>
          <w:p>
            <w:pPr>
              <w:spacing w:after="0"/>
              <w:rPr>
                <w:sz w:val="20"/>
                <w:szCs w:val="20"/>
                <w:color w:val="auto"/>
              </w:rPr>
            </w:pPr>
          </w:p>
        </w:tc>
        <w:tc>
          <w:tcPr>
            <w:tcW w:w="68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ind w:left="2320" w:hanging="627"/>
        <w:spacing w:after="0"/>
        <w:tabs>
          <w:tab w:leader="none" w:pos="23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8,360,163</w:t>
      </w:r>
    </w:p>
    <w:p>
      <w:pPr>
        <w:spacing w:after="0" w:line="3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IF THE AGGREGATE AMOUNT IN ROW (11) EXCLUDES CERTAIN SHARES |_|</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20.1%</w:t>
      </w:r>
    </w:p>
    <w:p>
      <w:pPr>
        <w:spacing w:after="0" w:line="3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(See Instructions)</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8"/>
              </w:rPr>
              <w:t>----------------------------</w:t>
            </w:r>
          </w:p>
        </w:tc>
        <w:tc>
          <w:tcPr>
            <w:tcW w:w="18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SCHEDULE 13D</w:t>
            </w:r>
          </w:p>
        </w:tc>
        <w:tc>
          <w:tcPr>
            <w:tcW w:w="3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84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3</w:t>
            </w: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of 4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8"/>
              </w:rPr>
              <w:t>----------------------------</w:t>
            </w:r>
          </w:p>
        </w:tc>
        <w:tc>
          <w:tcPr>
            <w:tcW w:w="1840" w:type="dxa"/>
            <w:vAlign w:val="bottom"/>
          </w:tcPr>
          <w:p>
            <w:pPr>
              <w:spacing w:after="0"/>
              <w:rPr>
                <w:sz w:val="24"/>
                <w:szCs w:val="2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1.</w:t>
            </w:r>
          </w:p>
        </w:tc>
        <w:tc>
          <w:tcPr>
            <w:tcW w:w="2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Security and Issuer.</w:t>
            </w:r>
          </w:p>
        </w:tc>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63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Pursuant to Rule 13d-2(b) of Regulation 13D-G under the</w:t>
            </w:r>
          </w:p>
        </w:tc>
        <w:tc>
          <w:tcPr>
            <w:tcW w:w="21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Securities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line="170" w:lineRule="exact"/>
              <w:rPr>
                <w:sz w:val="20"/>
                <w:szCs w:val="20"/>
                <w:color w:val="auto"/>
              </w:rPr>
            </w:pPr>
            <w:r>
              <w:rPr>
                <w:rFonts w:ascii="Courier New" w:cs="Courier New" w:eastAsia="Courier New" w:hAnsi="Courier New"/>
                <w:sz w:val="18"/>
                <w:szCs w:val="18"/>
                <w:color w:val="auto"/>
                <w:w w:val="99"/>
              </w:rPr>
              <w:t>Exchange Act of 1934,</w:t>
            </w:r>
          </w:p>
        </w:tc>
        <w:tc>
          <w:tcPr>
            <w:tcW w:w="4100" w:type="dxa"/>
            <w:vAlign w:val="bottom"/>
            <w:gridSpan w:val="2"/>
          </w:tcPr>
          <w:p>
            <w:pPr>
              <w:ind w:left="40"/>
              <w:spacing w:after="0" w:line="170" w:lineRule="exact"/>
              <w:rPr>
                <w:sz w:val="20"/>
                <w:szCs w:val="20"/>
                <w:color w:val="auto"/>
              </w:rPr>
            </w:pPr>
            <w:r>
              <w:rPr>
                <w:rFonts w:ascii="Courier New" w:cs="Courier New" w:eastAsia="Courier New" w:hAnsi="Courier New"/>
                <w:sz w:val="18"/>
                <w:szCs w:val="18"/>
                <w:color w:val="auto"/>
                <w:w w:val="98"/>
              </w:rPr>
              <w:t>as amended, the Schedule 13G initially</w:t>
            </w:r>
          </w:p>
        </w:tc>
        <w:tc>
          <w:tcPr>
            <w:tcW w:w="9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filed on</w:t>
            </w:r>
          </w:p>
        </w:tc>
        <w:tc>
          <w:tcPr>
            <w:tcW w:w="90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w w:val="94"/>
              </w:rPr>
              <w:t>November</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10, 2005, by Chilton Investment Company, LLC</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"Reporting</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r>
      <w:tr>
        <w:trPr>
          <w:trHeight w:val="23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respect to the Common</w:t>
            </w:r>
          </w:p>
        </w:tc>
        <w:tc>
          <w:tcPr>
            <w:tcW w:w="2420" w:type="dxa"/>
            <w:vAlign w:val="bottom"/>
          </w:tcPr>
          <w:p>
            <w:pPr>
              <w:ind w:left="40"/>
              <w:spacing w:after="0"/>
              <w:rPr>
                <w:sz w:val="20"/>
                <w:szCs w:val="20"/>
                <w:color w:val="auto"/>
              </w:rPr>
            </w:pPr>
            <w:r>
              <w:rPr>
                <w:rFonts w:ascii="Courier New" w:cs="Courier New" w:eastAsia="Courier New" w:hAnsi="Courier New"/>
                <w:sz w:val="18"/>
                <w:szCs w:val="18"/>
                <w:color w:val="auto"/>
                <w:w w:val="99"/>
              </w:rPr>
              <w:t>Stock, $0.01 par value</w:t>
            </w:r>
          </w:p>
        </w:tc>
        <w:tc>
          <w:tcPr>
            <w:tcW w:w="26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 "Common Stock"), of</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Casual</w:t>
            </w:r>
          </w:p>
        </w:tc>
      </w:tr>
    </w:tbl>
    <w:p>
      <w:pPr>
        <w:ind w:right="1779"/>
        <w:spacing w:after="0" w:line="247" w:lineRule="auto"/>
        <w:rPr>
          <w:sz w:val="20"/>
          <w:szCs w:val="20"/>
          <w:color w:val="auto"/>
        </w:rPr>
      </w:pPr>
      <w:r>
        <w:rPr>
          <w:rFonts w:ascii="Courier New" w:cs="Courier New" w:eastAsia="Courier New" w:hAnsi="Courier New"/>
          <w:sz w:val="18"/>
          <w:szCs w:val="18"/>
          <w:color w:val="auto"/>
        </w:rPr>
        <w:t>Male Retail Group, Inc., a Delaware corporation (the "Schedule 13G"), as amended by Amendment No. 1 to the Schedule 13G filed on February 14, 2006, replaced by the Schedule 13D filed on May 9, 2006 (the "Schedule 13D"), as amended by Amendment No.1 to the Schedule 13D filed on June 9, 2006, Amendment No. 2 to the Schedule 13D filed on June 29, 2006 and Amendment No. 3 to the 13D filed on April 13, 2006 and Amendment No. 4 to the 13D filed on July 19, 2007, replaced by Amendment No. 2 to the Schedule 13G filed on July 20, 2007 is hereby replaced by this Amendment No. 5 to the Schedule 13D to report a change in beneficial ownership. The Schedule 13D is amended as follows:</w:t>
      </w:r>
    </w:p>
    <w:p>
      <w:pPr>
        <w:spacing w:after="0" w:line="1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5(a) is hereby supplemented by the addition of the following:</w:t>
      </w:r>
    </w:p>
    <w:p>
      <w:pPr>
        <w:spacing w:after="0" w:line="31" w:lineRule="exact"/>
        <w:rPr>
          <w:sz w:val="20"/>
          <w:szCs w:val="20"/>
          <w:color w:val="auto"/>
        </w:rPr>
      </w:pPr>
    </w:p>
    <w:p>
      <w:pPr>
        <w:ind w:right="1879" w:firstLine="8"/>
        <w:spacing w:after="0" w:line="295"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 Reporting Person is deemed to be the beneficial owner (through its control of the Client Accounts) of 8,360,163 shares representing 20.1% of the Issuer's Common Stock. The foregoing calculations are based on 41,561,080 shares of Common Stock issued and outstanding as of August 17, 2007 according to publicly available filings of the Issuer.</w:t>
      </w:r>
    </w:p>
    <w:p>
      <w:pPr>
        <w:spacing w:after="0" w:line="7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5(c) is hereby supplemented by the addition of the following:</w:t>
      </w:r>
    </w:p>
    <w:p>
      <w:pPr>
        <w:spacing w:after="0" w:line="201" w:lineRule="exact"/>
        <w:rPr>
          <w:sz w:val="20"/>
          <w:szCs w:val="20"/>
          <w:color w:val="auto"/>
        </w:rPr>
      </w:pPr>
    </w:p>
    <w:p>
      <w:pPr>
        <w:ind w:right="1779" w:firstLine="1272"/>
        <w:spacing w:after="0" w:line="402" w:lineRule="auto"/>
        <w:tabs>
          <w:tab w:leader="none" w:pos="16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and the price per share of all transactions effected by the Reporting Person during the last sixty days are as follows:</w:t>
      </w:r>
    </w:p>
    <w:p>
      <w:pPr>
        <w:spacing w:after="0" w:line="1" w:lineRule="exact"/>
        <w:rPr>
          <w:sz w:val="20"/>
          <w:szCs w:val="20"/>
          <w:color w:val="auto"/>
        </w:rPr>
      </w:pPr>
    </w:p>
    <w:p>
      <w:pPr>
        <w:ind w:left="1280" w:right="1999" w:hanging="640"/>
        <w:spacing w:after="0" w:line="34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27, 2007, 4,800 shares of Common Stock were sold through Weeden Securities at a price per share of $11.0000.</w:t>
      </w:r>
    </w:p>
    <w:p>
      <w:pPr>
        <w:spacing w:after="0" w:line="18" w:lineRule="exact"/>
        <w:rPr>
          <w:rFonts w:ascii="Courier New" w:cs="Courier New" w:eastAsia="Courier New" w:hAnsi="Courier New"/>
          <w:sz w:val="18"/>
          <w:szCs w:val="18"/>
          <w:color w:val="auto"/>
        </w:rPr>
      </w:pPr>
    </w:p>
    <w:p>
      <w:pPr>
        <w:ind w:left="1280" w:right="2319" w:hanging="640"/>
        <w:spacing w:after="0" w:line="34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27, 2007, 97 shares of Common Stock were sold through B-Trade at a price per share of $10.0400.</w:t>
      </w:r>
    </w:p>
    <w:p>
      <w:pPr>
        <w:spacing w:after="0" w:line="18" w:lineRule="exact"/>
        <w:rPr>
          <w:rFonts w:ascii="Courier New" w:cs="Courier New" w:eastAsia="Courier New" w:hAnsi="Courier New"/>
          <w:sz w:val="18"/>
          <w:szCs w:val="18"/>
          <w:color w:val="auto"/>
        </w:rPr>
      </w:pPr>
    </w:p>
    <w:p>
      <w:pPr>
        <w:ind w:left="1280" w:right="2419" w:hanging="640"/>
        <w:spacing w:after="0" w:line="34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27, 2007, 3 shares of Common Stock were sold through Credit Suisse at a price per share of $10.0300.</w:t>
      </w:r>
    </w:p>
    <w:p>
      <w:pPr>
        <w:spacing w:after="0" w:line="18" w:lineRule="exact"/>
        <w:rPr>
          <w:rFonts w:ascii="Courier New" w:cs="Courier New" w:eastAsia="Courier New" w:hAnsi="Courier New"/>
          <w:sz w:val="18"/>
          <w:szCs w:val="18"/>
          <w:color w:val="auto"/>
        </w:rPr>
      </w:pPr>
    </w:p>
    <w:p>
      <w:pPr>
        <w:ind w:left="1280" w:right="1779" w:hanging="640"/>
        <w:spacing w:after="0" w:line="34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4, 2007, 5,782 shares of Common Stock were sold through Bank of America at a price per share of $10.1421.</w:t>
      </w:r>
    </w:p>
    <w:p>
      <w:pPr>
        <w:spacing w:after="0" w:line="18" w:lineRule="exact"/>
        <w:rPr>
          <w:rFonts w:ascii="Courier New" w:cs="Courier New" w:eastAsia="Courier New" w:hAnsi="Courier New"/>
          <w:sz w:val="18"/>
          <w:szCs w:val="18"/>
          <w:color w:val="auto"/>
        </w:rPr>
      </w:pPr>
    </w:p>
    <w:p>
      <w:pPr>
        <w:ind w:left="1280" w:right="2519" w:hanging="640"/>
        <w:spacing w:after="0" w:line="402"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4, 2007, 84,332 shares of Common Stock were sold through Knight Securities at a price per share of $9.9322.</w:t>
      </w:r>
    </w:p>
    <w:p>
      <w:pPr>
        <w:ind w:left="1280" w:right="2099" w:hanging="640"/>
        <w:spacing w:after="0" w:line="34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5, 2007, 2,168 shares of Common Stock were purchased through JP Morgan at a price per share of $9.7762.</w:t>
      </w:r>
    </w:p>
    <w:p>
      <w:pPr>
        <w:sectPr>
          <w:pgSz w:w="11900" w:h="16838" w:orient="portrait"/>
          <w:cols w:equalWidth="0" w:num="1">
            <w:col w:w="10219"/>
          </w:cols>
          <w:pgMar w:left="240" w:top="68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8"/>
              </w:rPr>
              <w:t>----------------------------</w:t>
            </w:r>
          </w:p>
        </w:tc>
        <w:tc>
          <w:tcPr>
            <w:tcW w:w="19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SCHEDULE 13D</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940" w:type="dxa"/>
            <w:vAlign w:val="bottom"/>
            <w:vMerge w:val="continue"/>
          </w:tcPr>
          <w:p>
            <w:pPr>
              <w:spacing w:after="0"/>
              <w:rPr>
                <w:sz w:val="17"/>
                <w:szCs w:val="17"/>
                <w:color w:val="auto"/>
              </w:rPr>
            </w:pPr>
          </w:p>
        </w:tc>
        <w:tc>
          <w:tcPr>
            <w:tcW w:w="32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Page 4 of 4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8"/>
              </w:rPr>
              <w:t>----------------------------</w:t>
            </w:r>
          </w:p>
        </w:tc>
        <w:tc>
          <w:tcPr>
            <w:tcW w:w="194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280" w:right="219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1, 2007, 31,787 shares of Common Stock were purchased through Credit Suisse at a price per share of $9.6334.</w:t>
      </w:r>
    </w:p>
    <w:p>
      <w:pPr>
        <w:ind w:left="1280" w:right="251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2, 2007, 357 shares of Common Stock were purchased through Credit Suisse at a price per share of $9.7844.</w:t>
      </w:r>
    </w:p>
    <w:p>
      <w:pPr>
        <w:ind w:left="1280" w:right="1999" w:hanging="640"/>
        <w:spacing w:after="0" w:line="34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3, 2007, 3,929 shares of Common Stock were sold through Credit Suisse at a price per share of $9.1949.</w:t>
      </w:r>
    </w:p>
    <w:p>
      <w:pPr>
        <w:spacing w:after="0" w:line="18" w:lineRule="exact"/>
        <w:rPr>
          <w:rFonts w:ascii="Courier New" w:cs="Courier New" w:eastAsia="Courier New" w:hAnsi="Courier New"/>
          <w:sz w:val="18"/>
          <w:szCs w:val="18"/>
          <w:color w:val="auto"/>
        </w:rPr>
      </w:pPr>
    </w:p>
    <w:p>
      <w:pPr>
        <w:ind w:left="1280" w:right="251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3, 2007, 640 shares of Common Stock were purchased through Credit Suisse at a price per share of $9.3219.</w:t>
      </w:r>
    </w:p>
    <w:p>
      <w:pPr>
        <w:ind w:left="1280" w:right="231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4, 2007, 1,601 shares of Common Stock were purchased through Lehman Brothers at a price per share of $9.2408.</w:t>
      </w:r>
    </w:p>
    <w:p>
      <w:pPr>
        <w:ind w:left="1280" w:right="2199" w:hanging="640"/>
        <w:spacing w:after="0" w:line="34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5, 2007, 75,400 shares of Common Stock were purchased through ITG Channel at a price per share of $8.8440.</w:t>
      </w:r>
    </w:p>
    <w:p>
      <w:pPr>
        <w:spacing w:after="0" w:line="18" w:lineRule="exact"/>
        <w:rPr>
          <w:rFonts w:ascii="Courier New" w:cs="Courier New" w:eastAsia="Courier New" w:hAnsi="Courier New"/>
          <w:sz w:val="18"/>
          <w:szCs w:val="18"/>
          <w:color w:val="auto"/>
        </w:rPr>
      </w:pPr>
    </w:p>
    <w:p>
      <w:pPr>
        <w:ind w:left="1280" w:right="209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5, 2007, 125,000 shares of Common Stock were purchased through Jefferies &amp; Co. at a price per share of $9.0040.</w:t>
      </w:r>
    </w:p>
    <w:p>
      <w:pPr>
        <w:ind w:left="1280" w:right="219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5, 2007, 41,300 shares of Common Stock were purchased through Lehman Brothers at a price per share of $9.2008.</w:t>
      </w:r>
    </w:p>
    <w:p>
      <w:pPr>
        <w:ind w:left="1280" w:right="219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8, 2007, 25,000 shares of Common Stock were purchased through Jefferies &amp; Co. at a price per share of $8.9739.</w:t>
      </w:r>
    </w:p>
    <w:p>
      <w:pPr>
        <w:ind w:left="1280" w:right="231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8, 2007, 1,100 shares of Common Stock were purchased through Lehman Brothers at a price per share of $8.8982.</w:t>
      </w:r>
    </w:p>
    <w:p>
      <w:pPr>
        <w:ind w:left="1280" w:right="251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8, 2007, 785 shares of Common Stock were purchased through Credit Suisse at a price per share of $8.9511.</w:t>
      </w:r>
    </w:p>
    <w:p>
      <w:pPr>
        <w:ind w:left="1280" w:right="1879" w:hanging="640"/>
        <w:spacing w:after="0" w:line="34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10, 2007, 4,932 shares of Common Stock were sold through Credit Suisse at a price per share of $8.4672.</w:t>
      </w:r>
    </w:p>
    <w:p>
      <w:pPr>
        <w:spacing w:after="0" w:line="18" w:lineRule="exact"/>
        <w:rPr>
          <w:rFonts w:ascii="Courier New" w:cs="Courier New" w:eastAsia="Courier New" w:hAnsi="Courier New"/>
          <w:sz w:val="18"/>
          <w:szCs w:val="18"/>
          <w:color w:val="auto"/>
        </w:rPr>
      </w:pPr>
    </w:p>
    <w:p>
      <w:pPr>
        <w:ind w:left="1280" w:right="209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11, 2007, 32,200 shares of Common Stock were purchased through Credit Suisse at a price per share of $8.5424.</w:t>
      </w:r>
    </w:p>
    <w:p>
      <w:pPr>
        <w:ind w:left="1280" w:right="2419" w:hanging="640"/>
        <w:spacing w:after="0" w:line="40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17, 2007, 829 shares of Common Stock were purchased through Credit Suisse at a price per share of $8.0080.</w:t>
      </w:r>
    </w:p>
    <w:p>
      <w:pPr>
        <w:ind w:left="1280" w:right="1879" w:hanging="640"/>
        <w:spacing w:after="0" w:line="34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17, 2007, 2,413 shares of Common Stock were sold through Bank of America at a price per share of $7.9844.</w:t>
      </w:r>
    </w:p>
    <w:p>
      <w:pPr>
        <w:spacing w:after="0" w:line="18" w:lineRule="exact"/>
        <w:rPr>
          <w:rFonts w:ascii="Courier New" w:cs="Courier New" w:eastAsia="Courier New" w:hAnsi="Courier New"/>
          <w:sz w:val="18"/>
          <w:szCs w:val="18"/>
          <w:color w:val="auto"/>
        </w:rPr>
      </w:pPr>
    </w:p>
    <w:p>
      <w:pPr>
        <w:ind w:left="1280" w:right="1999" w:hanging="640"/>
        <w:spacing w:after="0" w:line="34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19, 2007, 307,000 shares of Common Stock were purchased through Susquehanna at a price per share of $7.5517.</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23, 2007</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0" w:lineRule="exact"/>
        <w:rPr>
          <w:sz w:val="20"/>
          <w:szCs w:val="20"/>
          <w:color w:val="auto"/>
        </w:rPr>
      </w:pPr>
    </w:p>
    <w:p>
      <w:pPr>
        <w:spacing w:after="0" w:line="204" w:lineRule="exact"/>
        <w:rPr>
          <w:sz w:val="20"/>
          <w:szCs w:val="20"/>
          <w:color w:val="auto"/>
        </w:rPr>
      </w:pPr>
    </w:p>
    <w:p>
      <w:pPr>
        <w:jc w:val="center"/>
        <w:ind w:left="10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Steinthal</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James Steinthal</w:t>
      </w:r>
    </w:p>
    <w:p>
      <w:pPr>
        <w:ind w:left="4120"/>
        <w:spacing w:after="0"/>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1">
        <w:col w:w="10219"/>
      </w:cols>
      <w:pgMar w:left="240" w:top="6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20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2"/>
      <w:numFmt w:val="decimal"/>
      <w:start w:val="10"/>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o"/>
      <w:numFmt w:val="bullet"/>
      <w:start w:val="1"/>
    </w:lvl>
  </w:abstractNum>
  <w:abstractNum w:abstractNumId="15">
    <w:nsid w:val="6B68079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2019-12-20T01:00:46Z</dcterms:created>
  <dcterms:modified xsi:type="dcterms:W3CDTF">2019-12-20T01:00:46Z</dcterms:modified>
</cp:coreProperties>
</file>