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177165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173990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300"/>
        </w:trPr>
        <w:tc>
          <w:tcPr>
            <w:tcW w:w="3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Trading</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9"/>
        </w:trPr>
        <w:tc>
          <w:tcPr>
            <w:tcW w:w="306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symbol(s)</w:t>
            </w:r>
          </w:p>
        </w:tc>
        <w:tc>
          <w:tcPr>
            <w:tcW w:w="2920" w:type="dxa"/>
            <w:vAlign w:val="bottom"/>
            <w:tcBorders>
              <w:bottom w:val="single" w:sz="8" w:color="auto"/>
              <w:right w:val="single" w:sz="8" w:color="auto"/>
            </w:tcBorders>
          </w:tcPr>
          <w:p>
            <w:pPr>
              <w:spacing w:after="0"/>
              <w:rPr>
                <w:sz w:val="18"/>
                <w:szCs w:val="18"/>
                <w:color w:val="auto"/>
              </w:rPr>
            </w:pPr>
          </w:p>
        </w:tc>
      </w:tr>
      <w:tr>
        <w:trPr>
          <w:trHeight w:val="203"/>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DXLG</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r>
        <w:trPr>
          <w:trHeight w:val="64"/>
        </w:trPr>
        <w:tc>
          <w:tcPr>
            <w:tcW w:w="3060" w:type="dxa"/>
            <w:vAlign w:val="bottom"/>
            <w:tcBorders>
              <w:left w:val="single" w:sz="8" w:color="auto"/>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1.01 Entry into a Material Definitive Agreement.</w:t>
      </w:r>
    </w:p>
    <w:p>
      <w:pPr>
        <w:spacing w:after="0" w:line="212" w:lineRule="exact"/>
        <w:rPr>
          <w:sz w:val="20"/>
          <w:szCs w:val="20"/>
          <w:color w:val="auto"/>
        </w:rPr>
      </w:pPr>
    </w:p>
    <w:p>
      <w:pPr>
        <w:ind w:right="840"/>
        <w:spacing w:after="0" w:line="328" w:lineRule="auto"/>
        <w:rPr>
          <w:sz w:val="20"/>
          <w:szCs w:val="20"/>
          <w:color w:val="auto"/>
        </w:rPr>
      </w:pPr>
      <w:r>
        <w:rPr>
          <w:rFonts w:ascii="Arial" w:cs="Arial" w:eastAsia="Arial" w:hAnsi="Arial"/>
          <w:sz w:val="19"/>
          <w:szCs w:val="19"/>
          <w:color w:val="auto"/>
        </w:rPr>
        <w:t>On May 31, 2019, Destination XL Group, Inc. (the “Company”) amended its credit facility with Bank of America, N.A by executing the First Amendment to the Seventh Amended and Restated Credit Agreement (the “First Amendment”).</w:t>
      </w:r>
    </w:p>
    <w:p>
      <w:pPr>
        <w:spacing w:after="0" w:line="105"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The First Amendment amends the definition of Borrowing Base to include 85% of the face amount of “Eligible Amazon Receivables”, as defined in the First Amendment, net of applicable receivables reserves, but in no event shall such amount exceed $8.0 million.</w:t>
      </w:r>
    </w:p>
    <w:p>
      <w:pPr>
        <w:spacing w:after="0" w:line="186"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color w:val="auto"/>
        </w:rPr>
        <w:t>The foregoing description of the First Amendment does not purport to be complete and is qualified in its entirety by reference to the full text of the First Amendment, which is filed herewith as Exhibit 10.1 and is incorporated herein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9"/>
              </w:rPr>
              <w:t>Description</w:t>
            </w:r>
          </w:p>
        </w:tc>
        <w:tc>
          <w:tcPr>
            <w:tcW w:w="7560" w:type="dxa"/>
            <w:vAlign w:val="bottom"/>
            <w:gridSpan w:val="4"/>
          </w:tcPr>
          <w:p>
            <w:pPr>
              <w:spacing w:after="0"/>
              <w:rPr>
                <w:sz w:val="21"/>
                <w:szCs w:val="2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10.1</w:t>
            </w:r>
          </w:p>
        </w:tc>
        <w:tc>
          <w:tcPr>
            <w:tcW w:w="680" w:type="dxa"/>
            <w:vAlign w:val="bottom"/>
          </w:tcPr>
          <w:p>
            <w:pPr>
              <w:spacing w:after="0"/>
              <w:rPr>
                <w:sz w:val="24"/>
                <w:szCs w:val="24"/>
                <w:color w:val="auto"/>
              </w:rPr>
            </w:pPr>
          </w:p>
        </w:tc>
        <w:tc>
          <w:tcPr>
            <w:tcW w:w="9740" w:type="dxa"/>
            <w:vAlign w:val="bottom"/>
            <w:gridSpan w:val="7"/>
          </w:tcPr>
          <w:p>
            <w:pPr>
              <w:spacing w:after="0"/>
              <w:rPr>
                <w:rFonts w:ascii="Arial" w:cs="Arial" w:eastAsia="Arial" w:hAnsi="Arial"/>
                <w:sz w:val="22"/>
                <w:szCs w:val="22"/>
                <w:color w:val="0000EE"/>
                <w:w w:val="91"/>
              </w:rPr>
            </w:pPr>
            <w:hyperlink w:anchor="page4">
              <w:r>
                <w:rPr>
                  <w:rFonts w:ascii="Arial" w:cs="Arial" w:eastAsia="Arial" w:hAnsi="Arial"/>
                  <w:sz w:val="22"/>
                  <w:szCs w:val="22"/>
                  <w:color w:val="0000EE"/>
                  <w:w w:val="91"/>
                </w:rPr>
                <w:t>First Amendment to Seventh Amended and Restated Credit Facility dated as of May 31, 2019, by and among</w:t>
              </w:r>
            </w:hyperlink>
          </w:p>
        </w:tc>
      </w:tr>
      <w:tr>
        <w:trPr>
          <w:trHeight w:val="223"/>
        </w:trPr>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140" w:type="dxa"/>
            <w:vAlign w:val="bottom"/>
            <w:tcBorders>
              <w:top w:val="single" w:sz="8" w:color="0000EE"/>
              <w:bottom w:val="single" w:sz="8" w:color="0000EE"/>
            </w:tcBorders>
            <w:gridSpan w:val="5"/>
          </w:tcPr>
          <w:p>
            <w:pPr>
              <w:spacing w:after="0" w:line="223" w:lineRule="exact"/>
              <w:rPr>
                <w:rFonts w:ascii="Arial" w:cs="Arial" w:eastAsia="Arial" w:hAnsi="Arial"/>
                <w:sz w:val="22"/>
                <w:szCs w:val="22"/>
                <w:color w:val="0000EE"/>
                <w:w w:val="90"/>
              </w:rPr>
            </w:pPr>
            <w:hyperlink w:anchor="page4">
              <w:r>
                <w:rPr>
                  <w:rFonts w:ascii="Arial" w:cs="Arial" w:eastAsia="Arial" w:hAnsi="Arial"/>
                  <w:sz w:val="22"/>
                  <w:szCs w:val="22"/>
                  <w:color w:val="0000EE"/>
                  <w:w w:val="90"/>
                </w:rPr>
                <w:t>Bank of America, N.A., as Administrative Agent and Collateral Agent, the Lenders identified therein, the</w:t>
              </w:r>
            </w:hyperlink>
          </w:p>
        </w:tc>
        <w:tc>
          <w:tcPr>
            <w:tcW w:w="30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80" w:type="dxa"/>
            <w:vAlign w:val="bottom"/>
            <w:tcBorders>
              <w:bottom w:val="single" w:sz="8" w:color="0000EE"/>
            </w:tcBorders>
            <w:gridSpan w:val="4"/>
          </w:tcPr>
          <w:p>
            <w:pPr>
              <w:spacing w:after="0" w:line="223" w:lineRule="exact"/>
              <w:rPr>
                <w:rFonts w:ascii="Arial" w:cs="Arial" w:eastAsia="Arial" w:hAnsi="Arial"/>
                <w:sz w:val="22"/>
                <w:szCs w:val="22"/>
                <w:color w:val="0000EE"/>
                <w:w w:val="89"/>
              </w:rPr>
            </w:pPr>
            <w:hyperlink w:anchor="page4">
              <w:r>
                <w:rPr>
                  <w:rFonts w:ascii="Arial" w:cs="Arial" w:eastAsia="Arial" w:hAnsi="Arial"/>
                  <w:sz w:val="22"/>
                  <w:szCs w:val="22"/>
                  <w:color w:val="0000EE"/>
                  <w:w w:val="89"/>
                </w:rPr>
                <w:t>Company, as Lead Borrower, the Company and CMRG Apparel, LLC, as Borrowers, and the Guarantors</w:t>
              </w:r>
            </w:hyperlink>
          </w:p>
        </w:tc>
        <w:tc>
          <w:tcPr>
            <w:tcW w:w="660" w:type="dxa"/>
            <w:vAlign w:val="bottom"/>
            <w:gridSpan w:val="3"/>
          </w:tcPr>
          <w:p>
            <w:pPr>
              <w:spacing w:after="0"/>
              <w:rPr>
                <w:sz w:val="19"/>
                <w:szCs w:val="19"/>
                <w:color w:val="auto"/>
              </w:rPr>
            </w:pPr>
          </w:p>
        </w:tc>
      </w:tr>
      <w:tr>
        <w:trPr>
          <w:trHeight w:val="223"/>
        </w:trPr>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740" w:type="dxa"/>
            <w:vAlign w:val="bottom"/>
            <w:gridSpan w:val="7"/>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identified therein.</w:t>
              </w:r>
            </w:hyperlink>
          </w:p>
        </w:tc>
      </w:tr>
      <w:tr>
        <w:trPr>
          <w:trHeight w:val="1270"/>
        </w:trPr>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40" w:val="left"/>
          <w:tab w:leader="none" w:pos="586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June 6, 2019</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wp:posOffset>
            </wp:positionV>
            <wp:extent cx="3009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20"/>
        <w:spacing w:after="0"/>
        <w:rPr>
          <w:sz w:val="20"/>
          <w:szCs w:val="20"/>
          <w:color w:val="auto"/>
        </w:rPr>
      </w:pPr>
      <w:r>
        <w:rPr>
          <w:rFonts w:ascii="Arial" w:cs="Arial" w:eastAsia="Arial" w:hAnsi="Arial"/>
          <w:sz w:val="14"/>
          <w:szCs w:val="14"/>
          <w:b w:val="1"/>
          <w:bCs w:val="1"/>
          <w:color w:val="auto"/>
        </w:rPr>
        <w:t>Robert S. Molloy</w:t>
      </w:r>
    </w:p>
    <w:p>
      <w:pPr>
        <w:jc w:val="center"/>
        <w:ind w:left="662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62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280"/>
          </w:cols>
          <w:pgMar w:left="240" w:top="33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10.1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FIRST AMENDMENT TO SEVENTH AMENDED AND RESTATED CREDIT AGREEMENT</w:t>
      </w:r>
    </w:p>
    <w:p>
      <w:pPr>
        <w:spacing w:after="0" w:line="193"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FIRST AMENDMENT TO SEVENTH AMENDED AND RESTATED CREDIT AGREEMENT (this “</w:t>
      </w:r>
      <w:r>
        <w:rPr>
          <w:rFonts w:ascii="Arial" w:cs="Arial" w:eastAsia="Arial" w:hAnsi="Arial"/>
          <w:sz w:val="22"/>
          <w:szCs w:val="22"/>
          <w:u w:val="single" w:color="auto"/>
          <w:color w:val="auto"/>
        </w:rPr>
        <w:t>First</w:t>
      </w:r>
      <w:r>
        <w:rPr>
          <w:rFonts w:ascii="Arial" w:cs="Arial" w:eastAsia="Arial" w:hAnsi="Arial"/>
          <w:sz w:val="22"/>
          <w:szCs w:val="22"/>
          <w:color w:val="auto"/>
        </w:rPr>
        <w:t xml:space="preserve">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dated as of May 31, 2019, by and among </w:t>
      </w:r>
      <w:r>
        <w:rPr>
          <w:rFonts w:ascii="Arial" w:cs="Arial" w:eastAsia="Arial" w:hAnsi="Arial"/>
          <w:sz w:val="22"/>
          <w:szCs w:val="22"/>
          <w:b w:val="1"/>
          <w:bCs w:val="1"/>
          <w:color w:val="auto"/>
        </w:rPr>
        <w:t>DESTINATION XL GROUP, INC.</w:t>
      </w:r>
      <w:r>
        <w:rPr>
          <w:rFonts w:ascii="Arial" w:cs="Arial" w:eastAsia="Arial" w:hAnsi="Arial"/>
          <w:sz w:val="22"/>
          <w:szCs w:val="22"/>
          <w:color w:val="auto"/>
        </w:rPr>
        <w:t>, a Delaware corporation, for itself and as Lead Borrower (in such capacity, the “</w:t>
      </w:r>
      <w:r>
        <w:rPr>
          <w:rFonts w:ascii="Arial" w:cs="Arial" w:eastAsia="Arial" w:hAnsi="Arial"/>
          <w:sz w:val="22"/>
          <w:szCs w:val="22"/>
          <w:u w:val="single" w:color="auto"/>
          <w:color w:val="auto"/>
        </w:rPr>
        <w:t>Lead Borrower</w:t>
      </w:r>
      <w:r>
        <w:rPr>
          <w:rFonts w:ascii="Arial" w:cs="Arial" w:eastAsia="Arial" w:hAnsi="Arial"/>
          <w:sz w:val="22"/>
          <w:szCs w:val="22"/>
          <w:color w:val="auto"/>
        </w:rPr>
        <w:t>”) for the other Borrowers party thereto from time to time (individually, a “</w:t>
      </w:r>
      <w:r>
        <w:rPr>
          <w:rFonts w:ascii="Arial" w:cs="Arial" w:eastAsia="Arial" w:hAnsi="Arial"/>
          <w:sz w:val="22"/>
          <w:szCs w:val="22"/>
          <w:u w:val="single" w:color="auto"/>
          <w:color w:val="auto"/>
        </w:rPr>
        <w:t>Borrower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Borrowers</w:t>
      </w:r>
      <w:r>
        <w:rPr>
          <w:rFonts w:ascii="Arial" w:cs="Arial" w:eastAsia="Arial" w:hAnsi="Arial"/>
          <w:sz w:val="22"/>
          <w:szCs w:val="22"/>
          <w:color w:val="auto"/>
        </w:rPr>
        <w:t xml:space="preserve">”), the Borrowers party thereto from time to time, the Guarantors party hereto from time to time, the Lenders party hereto and </w:t>
      </w:r>
      <w:r>
        <w:rPr>
          <w:rFonts w:ascii="Arial" w:cs="Arial" w:eastAsia="Arial" w:hAnsi="Arial"/>
          <w:sz w:val="22"/>
          <w:szCs w:val="22"/>
          <w:b w:val="1"/>
          <w:bCs w:val="1"/>
          <w:color w:val="auto"/>
        </w:rPr>
        <w:t>BANK OF AMERICA, N.A.</w:t>
      </w:r>
      <w:r>
        <w:rPr>
          <w:rFonts w:ascii="Arial" w:cs="Arial" w:eastAsia="Arial" w:hAnsi="Arial"/>
          <w:sz w:val="22"/>
          <w:szCs w:val="22"/>
          <w:color w:val="auto"/>
        </w:rPr>
        <w:t>, as Administrative Agent and Collateral Agent (in such capacities, the “</w:t>
      </w:r>
      <w:r>
        <w:rPr>
          <w:rFonts w:ascii="Arial" w:cs="Arial" w:eastAsia="Arial" w:hAnsi="Arial"/>
          <w:sz w:val="22"/>
          <w:szCs w:val="22"/>
          <w:u w:val="single" w:color="auto"/>
          <w:color w:val="auto"/>
        </w:rPr>
        <w:t>Agent</w:t>
      </w:r>
      <w:r>
        <w:rPr>
          <w:rFonts w:ascii="Arial" w:cs="Arial" w:eastAsia="Arial" w:hAnsi="Arial"/>
          <w:sz w:val="22"/>
          <w:szCs w:val="22"/>
          <w:color w:val="auto"/>
        </w:rPr>
        <w:t>”).</w:t>
      </w:r>
    </w:p>
    <w:p>
      <w:pPr>
        <w:spacing w:after="0" w:line="175" w:lineRule="exact"/>
        <w:rPr>
          <w:sz w:val="20"/>
          <w:szCs w:val="20"/>
          <w:color w:val="auto"/>
        </w:rPr>
      </w:pPr>
    </w:p>
    <w:p>
      <w:pPr>
        <w:jc w:val="center"/>
        <w:ind w:left="880"/>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179" w:lineRule="exact"/>
        <w:rPr>
          <w:sz w:val="20"/>
          <w:szCs w:val="20"/>
          <w:color w:val="auto"/>
        </w:rPr>
      </w:pPr>
    </w:p>
    <w:p>
      <w:pPr>
        <w:jc w:val="both"/>
        <w:ind w:firstLine="877"/>
        <w:spacing w:after="0" w:line="223" w:lineRule="auto"/>
        <w:rPr>
          <w:sz w:val="20"/>
          <w:szCs w:val="20"/>
          <w:color w:val="auto"/>
        </w:rPr>
      </w:pPr>
      <w:r>
        <w:rPr>
          <w:rFonts w:ascii="Arial" w:cs="Arial" w:eastAsia="Arial" w:hAnsi="Arial"/>
          <w:sz w:val="22"/>
          <w:szCs w:val="22"/>
          <w:color w:val="auto"/>
        </w:rPr>
        <w:t>WHEREAS, the Borrowers, the Guarantors, the Lenders and the Agent, among others, have entered into a certain Seventh Amended and Restated Credit Agreement, dated as of May 24, 2018 (as amended, restated,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and</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the parties to the Credit Agreement desire to modify certain provisions of the Credit Agreement as provided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161" w:lineRule="exact"/>
        <w:rPr>
          <w:sz w:val="20"/>
          <w:szCs w:val="20"/>
          <w:color w:val="auto"/>
        </w:rPr>
      </w:pPr>
    </w:p>
    <w:p>
      <w:pPr>
        <w:jc w:val="both"/>
        <w:ind w:right="20" w:firstLine="877"/>
        <w:spacing w:after="0" w:line="232" w:lineRule="auto"/>
        <w:rPr>
          <w:sz w:val="20"/>
          <w:szCs w:val="20"/>
          <w:color w:val="auto"/>
        </w:rPr>
      </w:pPr>
      <w:r>
        <w:rPr>
          <w:rFonts w:ascii="Arial" w:cs="Arial" w:eastAsia="Arial" w:hAnsi="Arial"/>
          <w:sz w:val="22"/>
          <w:szCs w:val="22"/>
          <w:color w:val="auto"/>
        </w:rPr>
        <w:t>NOW THEREFORE, in consideration of the mutual promises and agreements herein contained, the parties hereto hereby agree as follows:</w:t>
      </w:r>
    </w:p>
    <w:p>
      <w:pPr>
        <w:spacing w:after="0" w:line="173" w:lineRule="exact"/>
        <w:rPr>
          <w:sz w:val="20"/>
          <w:szCs w:val="20"/>
          <w:color w:val="auto"/>
        </w:rPr>
      </w:pPr>
    </w:p>
    <w:p>
      <w:pPr>
        <w:jc w:val="both"/>
        <w:ind w:left="880" w:hanging="872"/>
        <w:spacing w:after="0" w:line="287" w:lineRule="auto"/>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u w:val="single" w:color="auto"/>
          <w:color w:val="auto"/>
        </w:rPr>
        <w:t>Incorporation of Terms and Conditions of Credit Agreement.</w:t>
      </w:r>
      <w:r>
        <w:rPr>
          <w:rFonts w:ascii="Arial" w:cs="Arial" w:eastAsia="Arial" w:hAnsi="Arial"/>
          <w:sz w:val="19"/>
          <w:szCs w:val="19"/>
          <w:color w:val="auto"/>
        </w:rPr>
        <w:t xml:space="preserve"> Except as amended hereby, all of the terms and conditions of the Credit Agreement (including, without limitation, all definitions set forth therein) are specifically incorporated herein by reference. Except as amended hereby, all capitalized terms used (including in the preamble hereto) but not otherwise defined herein shall have the same meaning as in the Credit Agreement, as applicable.</w:t>
      </w:r>
    </w:p>
    <w:p>
      <w:pPr>
        <w:spacing w:after="0" w:line="143" w:lineRule="exact"/>
        <w:rPr>
          <w:rFonts w:ascii="Arial" w:cs="Arial" w:eastAsia="Arial" w:hAnsi="Arial"/>
          <w:sz w:val="19"/>
          <w:szCs w:val="19"/>
          <w:color w:val="auto"/>
        </w:rPr>
      </w:pPr>
    </w:p>
    <w:p>
      <w:pPr>
        <w:jc w:val="both"/>
        <w:ind w:left="880" w:hanging="872"/>
        <w:spacing w:after="0" w:line="279" w:lineRule="auto"/>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Loan Party hereby represents and warrants that, as of the First Amendment Effective Date, (i) no Default or Event of Default exists under the Credit Agreement or under any other Loan Document and (ii) all representations and warranties contained in the Credit Agreement or in any other Loan Document are true and correct in all material respects, except (i) to the extent that such representations and warranties specifically refer to an earlier date, in which case they are true and correct as of such earlier date, (ii) in the case of any representation and warranty qualified by materiality, they are true and correct in all respects.</w:t>
      </w:r>
    </w:p>
    <w:p>
      <w:pPr>
        <w:spacing w:after="0" w:line="150" w:lineRule="exact"/>
        <w:rPr>
          <w:rFonts w:ascii="Arial" w:cs="Arial" w:eastAsia="Arial" w:hAnsi="Arial"/>
          <w:sz w:val="19"/>
          <w:szCs w:val="19"/>
          <w:color w:val="auto"/>
        </w:rPr>
      </w:pPr>
    </w:p>
    <w:p>
      <w:pPr>
        <w:jc w:val="both"/>
        <w:ind w:left="880" w:hanging="872"/>
        <w:spacing w:after="0" w:line="249" w:lineRule="auto"/>
        <w:tabs>
          <w:tab w:leader="none" w:pos="880" w:val="left"/>
        </w:tabs>
        <w:numPr>
          <w:ilvl w:val="0"/>
          <w:numId w:val="2"/>
        </w:numPr>
        <w:rPr>
          <w:rFonts w:ascii="Arial" w:cs="Arial" w:eastAsia="Arial" w:hAnsi="Arial"/>
          <w:sz w:val="21"/>
          <w:szCs w:val="21"/>
          <w:color w:val="auto"/>
        </w:rPr>
      </w:pPr>
      <w:r>
        <w:rPr>
          <w:rFonts w:ascii="Arial" w:cs="Arial" w:eastAsia="Arial" w:hAnsi="Arial"/>
          <w:sz w:val="21"/>
          <w:szCs w:val="21"/>
          <w:u w:val="single" w:color="auto"/>
          <w:color w:val="auto"/>
        </w:rPr>
        <w:t>Ratification of Loan Documents, Guaranties and Security Interests</w:t>
      </w:r>
      <w:r>
        <w:rPr>
          <w:rFonts w:ascii="Arial" w:cs="Arial" w:eastAsia="Arial" w:hAnsi="Arial"/>
          <w:sz w:val="21"/>
          <w:szCs w:val="21"/>
          <w:color w:val="auto"/>
        </w:rPr>
        <w:t>. The Credit Agreement, as hereby amended, and all other Loan Documents, are hereby ratified, confirmed and re-affirmed in all material respects and shall continue in full force and effect. Each Guarantor hereby acknowledges, confirms and agrees that its Guaranteed Obligations as a Guarantor under, and as defined in, the Facility Guaranty include, without limitation, all Obligations of the Loan Parties at any time and from time to time outstanding under the Credit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DB1/ 102725325.2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both"/>
        <w:ind w:left="880"/>
        <w:spacing w:after="0" w:line="249" w:lineRule="auto"/>
        <w:rPr>
          <w:sz w:val="20"/>
          <w:szCs w:val="20"/>
          <w:color w:val="auto"/>
        </w:rPr>
      </w:pPr>
      <w:r>
        <w:rPr>
          <w:rFonts w:ascii="Arial" w:cs="Arial" w:eastAsia="Arial" w:hAnsi="Arial"/>
          <w:sz w:val="21"/>
          <w:szCs w:val="21"/>
          <w:color w:val="auto"/>
        </w:rPr>
        <w:t>Agreement and the other Loan Documents, each as amended hereby. The Loan Parties hereby acknowledge, confirm and agree that the Loan Documents and any and all Collateral pledged to the Agent, for the benefit of the Secured Parties (as defined in the Security Agreement), pursuant to the Loan Documents as amended hereby shall continue to secure all applicable Obligations of the Loan Parties at any time and from time to time outstanding under the Credit Agreement (as amended hereby) and the other Loan Documents.</w:t>
      </w:r>
    </w:p>
    <w:p>
      <w:pPr>
        <w:spacing w:after="0" w:line="179" w:lineRule="exact"/>
        <w:rPr>
          <w:sz w:val="20"/>
          <w:szCs w:val="20"/>
          <w:color w:val="auto"/>
        </w:rPr>
      </w:pPr>
    </w:p>
    <w:p>
      <w:pPr>
        <w:ind w:left="880" w:hanging="872"/>
        <w:spacing w:after="0" w:line="251" w:lineRule="auto"/>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 Subject to the satisfaction or waiver of the conditions precedent set forth in Section 5 hereof:</w:t>
      </w:r>
    </w:p>
    <w:p>
      <w:pPr>
        <w:spacing w:after="0" w:line="173"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19"/>
          <w:szCs w:val="19"/>
          <w:color w:val="auto"/>
        </w:rPr>
        <w:t>Article 1 of the Credit Agreement is hereby amended as follows:</w:t>
      </w:r>
    </w:p>
    <w:p>
      <w:pPr>
        <w:spacing w:after="0" w:line="206" w:lineRule="exact"/>
        <w:rPr>
          <w:sz w:val="20"/>
          <w:szCs w:val="20"/>
          <w:color w:val="auto"/>
        </w:rPr>
      </w:pPr>
    </w:p>
    <w:p>
      <w:pPr>
        <w:ind w:left="2620" w:hanging="870"/>
        <w:spacing w:after="0" w:line="251" w:lineRule="auto"/>
        <w:tabs>
          <w:tab w:leader="none" w:pos="2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by amending the definition of “Borrowing Base” by adding the following new clause (e) and relettering existing clauses (e) and (f) thereof, respectively, as clauses (f) and (g):</w:t>
      </w:r>
    </w:p>
    <w:p>
      <w:pPr>
        <w:spacing w:after="0" w:line="173"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plus</w:t>
      </w:r>
    </w:p>
    <w:p>
      <w:pPr>
        <w:spacing w:after="0" w:line="206" w:lineRule="exact"/>
        <w:rPr>
          <w:sz w:val="20"/>
          <w:szCs w:val="20"/>
          <w:color w:val="auto"/>
        </w:rPr>
      </w:pPr>
    </w:p>
    <w:p>
      <w:pPr>
        <w:jc w:val="both"/>
        <w:ind w:left="2640" w:firstLine="2"/>
        <w:spacing w:after="0"/>
        <w:tabs>
          <w:tab w:leader="none" w:pos="3528" w:val="left"/>
        </w:tabs>
        <w:numPr>
          <w:ilvl w:val="1"/>
          <w:numId w:val="5"/>
        </w:numPr>
        <w:rPr>
          <w:rFonts w:ascii="Arial" w:cs="Arial" w:eastAsia="Arial" w:hAnsi="Arial"/>
          <w:sz w:val="22"/>
          <w:szCs w:val="22"/>
          <w:color w:val="auto"/>
        </w:rPr>
      </w:pPr>
      <w:r>
        <w:rPr>
          <w:rFonts w:ascii="Arial" w:cs="Arial" w:eastAsia="Arial" w:hAnsi="Arial"/>
          <w:sz w:val="22"/>
          <w:szCs w:val="22"/>
          <w:color w:val="auto"/>
        </w:rPr>
        <w:t xml:space="preserve">the face amount of Eligible Amazon Receivables (net of Receivables Reserves applicable thereto)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85%;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the amounts advanced under the Borrowing Base pursuant to this clause (e) shall at no time exceed $8,000,000;”</w:t>
      </w:r>
    </w:p>
    <w:p>
      <w:pPr>
        <w:spacing w:after="0" w:line="186" w:lineRule="exact"/>
        <w:rPr>
          <w:rFonts w:ascii="Arial" w:cs="Arial" w:eastAsia="Arial" w:hAnsi="Arial"/>
          <w:sz w:val="22"/>
          <w:szCs w:val="22"/>
          <w:color w:val="auto"/>
        </w:rPr>
      </w:pPr>
    </w:p>
    <w:p>
      <w:pPr>
        <w:ind w:left="2620" w:hanging="870"/>
        <w:spacing w:after="0" w:line="251" w:lineRule="auto"/>
        <w:tabs>
          <w:tab w:leader="none" w:pos="2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by amending the definition of “Reserves” by adding “, Receivables Reserves” after “Availability Reserves”.</w:t>
      </w:r>
    </w:p>
    <w:p>
      <w:pPr>
        <w:spacing w:after="0" w:line="173" w:lineRule="exact"/>
        <w:rPr>
          <w:rFonts w:ascii="Arial" w:cs="Arial" w:eastAsia="Arial" w:hAnsi="Arial"/>
          <w:sz w:val="22"/>
          <w:szCs w:val="22"/>
          <w:color w:val="auto"/>
        </w:rPr>
      </w:pPr>
    </w:p>
    <w:p>
      <w:pPr>
        <w:ind w:left="2620" w:hanging="870"/>
        <w:spacing w:after="0"/>
        <w:tabs>
          <w:tab w:leader="none" w:pos="2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by adding the following new definitions in appropriate alphabetical order:</w:t>
      </w:r>
    </w:p>
    <w:p>
      <w:pPr>
        <w:spacing w:after="0" w:line="206" w:lineRule="exact"/>
        <w:rPr>
          <w:sz w:val="20"/>
          <w:szCs w:val="20"/>
          <w:color w:val="auto"/>
        </w:rPr>
      </w:pPr>
    </w:p>
    <w:p>
      <w:pPr>
        <w:ind w:left="3080"/>
        <w:spacing w:after="0"/>
        <w:rPr>
          <w:sz w:val="20"/>
          <w:szCs w:val="20"/>
          <w:color w:val="auto"/>
        </w:rPr>
      </w:pPr>
      <w:r>
        <w:rPr>
          <w:rFonts w:ascii="Arial" w:cs="Arial" w:eastAsia="Arial" w:hAnsi="Arial"/>
          <w:sz w:val="21"/>
          <w:szCs w:val="21"/>
          <w:color w:val="auto"/>
        </w:rPr>
        <w:t>“Amazon” means Amazon.com Services, Inc., a Delaware corporation, and its affiliates.</w:t>
      </w:r>
    </w:p>
    <w:p>
      <w:pPr>
        <w:spacing w:after="0" w:line="218" w:lineRule="exact"/>
        <w:rPr>
          <w:sz w:val="20"/>
          <w:szCs w:val="20"/>
          <w:color w:val="auto"/>
        </w:rPr>
      </w:pPr>
    </w:p>
    <w:p>
      <w:pPr>
        <w:jc w:val="both"/>
        <w:ind w:left="3080"/>
        <w:spacing w:after="0" w:line="234" w:lineRule="auto"/>
        <w:rPr>
          <w:sz w:val="20"/>
          <w:szCs w:val="20"/>
          <w:color w:val="auto"/>
        </w:rPr>
      </w:pPr>
      <w:r>
        <w:rPr>
          <w:rFonts w:ascii="Arial" w:cs="Arial" w:eastAsia="Arial" w:hAnsi="Arial"/>
          <w:sz w:val="22"/>
          <w:szCs w:val="22"/>
          <w:color w:val="auto"/>
        </w:rPr>
        <w:t>“Dilution Reserve” means, for any period, that percentage reasonably determined by the Administrative Agent by (i) dividing (A) the amount of charge-offs of Eligible Amazon Receivables and returns of goods purchased from the Borrowers during such period which had, at the time of sale, resulted in the creation of an Eligible Amazon Receivable, by (B) the amount of sales (exclusive of sales and other similar taxes) of the Borrowers during such period and thereafter (ii) deducting five percent (5%) (but in no event shall the Dilution Reserve be less than zero).</w:t>
      </w:r>
    </w:p>
    <w:p>
      <w:pPr>
        <w:spacing w:after="0" w:line="191" w:lineRule="exact"/>
        <w:rPr>
          <w:sz w:val="20"/>
          <w:szCs w:val="20"/>
          <w:color w:val="auto"/>
        </w:rPr>
      </w:pPr>
    </w:p>
    <w:p>
      <w:pPr>
        <w:jc w:val="both"/>
        <w:ind w:left="3080"/>
        <w:spacing w:after="0"/>
        <w:rPr>
          <w:sz w:val="20"/>
          <w:szCs w:val="20"/>
          <w:color w:val="auto"/>
        </w:rPr>
      </w:pPr>
      <w:r>
        <w:rPr>
          <w:rFonts w:ascii="Arial" w:cs="Arial" w:eastAsia="Arial" w:hAnsi="Arial"/>
          <w:sz w:val="22"/>
          <w:szCs w:val="22"/>
          <w:color w:val="auto"/>
        </w:rPr>
        <w:t>“Eligible Amazon Receivables” means Accounts with respect to Amazon arising from the sale of the Loan Parties’ Inventory (but excluding, for the avoidance of doubt, Credit Card Receivables) that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DB1/ 102725325.2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both"/>
        <w:ind w:left="3080"/>
        <w:spacing w:after="0" w:line="271" w:lineRule="auto"/>
        <w:rPr>
          <w:sz w:val="20"/>
          <w:szCs w:val="20"/>
          <w:color w:val="auto"/>
        </w:rPr>
      </w:pPr>
      <w:r>
        <w:rPr>
          <w:rFonts w:ascii="Arial" w:cs="Arial" w:eastAsia="Arial" w:hAnsi="Arial"/>
          <w:sz w:val="19"/>
          <w:szCs w:val="19"/>
          <w:color w:val="auto"/>
        </w:rPr>
        <w:t>satisfies the following criteria at the time of creation and continues to meet the same at the time of such determination: such Account (i) has been earned by performance and represents the bona fide amounts due to a Loan Party from Amazon, and in each case is originated in the ordinary course of business of such Loan Party, and (ii) in each case is reasonably acceptable to the Agent in its discretion, and is not ineligible for inclusion in the calculation of the Borrowing Base pursuant to any of clauses (a) through (k) below. Without limiting the foregoing, to qualify as an Eligible Amazon Receivable, an Account shall indicate no Person other than a Loan Party as payee or remittance party. In determining the amount to be so included, the face amount of an Account shall be reduced by, without duplication, to the extent not reflected in such face amount, (i) the amount of all accrued and actual discounts, claims, credits or credits pending, promotional program allowances, price adjustments, finance charges or other allowances (including any amount that a Loan Party may be obligated to rebate to a customer pursuant to the terms of any agreement or understanding (written or oral)) and (ii) the aggregate amount of all cash received in respect of such Account but not yet applied by the Loan Parties to reduce the amount of such Eligible Amazon Receivable. Except as otherwise agreed by the Agent, any Account included within any of the following categories shall not constitute an Eligible Amazon Receivable:</w:t>
      </w:r>
    </w:p>
    <w:p>
      <w:pPr>
        <w:spacing w:after="0" w:line="200" w:lineRule="exact"/>
        <w:rPr>
          <w:sz w:val="20"/>
          <w:szCs w:val="20"/>
          <w:color w:val="auto"/>
        </w:rPr>
      </w:pPr>
    </w:p>
    <w:p>
      <w:pPr>
        <w:spacing w:after="0" w:line="202" w:lineRule="exact"/>
        <w:rPr>
          <w:sz w:val="20"/>
          <w:szCs w:val="20"/>
          <w:color w:val="auto"/>
        </w:rPr>
      </w:pPr>
    </w:p>
    <w:p>
      <w:pPr>
        <w:ind w:left="3080"/>
        <w:spacing w:after="0" w:line="251" w:lineRule="auto"/>
        <w:tabs>
          <w:tab w:leader="none" w:pos="3968" w:val="left"/>
        </w:tabs>
        <w:numPr>
          <w:ilvl w:val="0"/>
          <w:numId w:val="7"/>
        </w:numPr>
        <w:rPr>
          <w:rFonts w:ascii="Arial" w:cs="Arial" w:eastAsia="Arial" w:hAnsi="Arial"/>
          <w:sz w:val="22"/>
          <w:szCs w:val="22"/>
          <w:color w:val="auto"/>
        </w:rPr>
      </w:pPr>
      <w:r>
        <w:rPr>
          <w:rFonts w:ascii="Arial" w:cs="Arial" w:eastAsia="Arial" w:hAnsi="Arial"/>
          <w:sz w:val="22"/>
          <w:szCs w:val="22"/>
          <w:color w:val="auto"/>
        </w:rPr>
        <w:t>Accounts that have been outstanding for more than one hundred twenty (120) days from the date of sale or more than thirty (30) days past the due date;</w:t>
      </w:r>
    </w:p>
    <w:p>
      <w:pPr>
        <w:spacing w:after="0" w:line="173" w:lineRule="exact"/>
        <w:rPr>
          <w:rFonts w:ascii="Arial" w:cs="Arial" w:eastAsia="Arial" w:hAnsi="Arial"/>
          <w:sz w:val="22"/>
          <w:szCs w:val="22"/>
          <w:color w:val="auto"/>
        </w:rPr>
      </w:pPr>
    </w:p>
    <w:p>
      <w:pPr>
        <w:jc w:val="both"/>
        <w:ind w:left="3080"/>
        <w:spacing w:after="0" w:line="238" w:lineRule="auto"/>
        <w:tabs>
          <w:tab w:leader="none" w:pos="39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Accounts (i) that are not subject to a perfected first-priority security interest in favor of the Agent, or (ii) with respect to which a Loan Party does not have good and valid title thereto, free and clear of any Lien (other than Liens granted to the Agent pursuant to the Security Documents);</w:t>
      </w:r>
    </w:p>
    <w:p>
      <w:pPr>
        <w:spacing w:after="0" w:line="185" w:lineRule="exact"/>
        <w:rPr>
          <w:rFonts w:ascii="Arial" w:cs="Arial" w:eastAsia="Arial" w:hAnsi="Arial"/>
          <w:sz w:val="22"/>
          <w:szCs w:val="22"/>
          <w:color w:val="auto"/>
        </w:rPr>
      </w:pPr>
    </w:p>
    <w:p>
      <w:pPr>
        <w:jc w:val="both"/>
        <w:ind w:left="3080"/>
        <w:spacing w:after="0"/>
        <w:tabs>
          <w:tab w:leader="none" w:pos="3968" w:val="left"/>
        </w:tabs>
        <w:numPr>
          <w:ilvl w:val="0"/>
          <w:numId w:val="7"/>
        </w:numPr>
        <w:rPr>
          <w:rFonts w:ascii="Arial" w:cs="Arial" w:eastAsia="Arial" w:hAnsi="Arial"/>
          <w:sz w:val="22"/>
          <w:szCs w:val="22"/>
          <w:color w:val="auto"/>
        </w:rPr>
      </w:pPr>
      <w:r>
        <w:rPr>
          <w:rFonts w:ascii="Arial" w:cs="Arial" w:eastAsia="Arial" w:hAnsi="Arial"/>
          <w:sz w:val="22"/>
          <w:szCs w:val="22"/>
          <w:color w:val="auto"/>
        </w:rPr>
        <w:t>Accounts which are disputed or with respect to which a claim, counterclaim, offset or chargeback has been asserted, but only to the extent of such dispute, counterclaim, offset or chargeback;</w:t>
      </w:r>
    </w:p>
    <w:p>
      <w:pPr>
        <w:spacing w:after="0" w:line="186" w:lineRule="exact"/>
        <w:rPr>
          <w:rFonts w:ascii="Arial" w:cs="Arial" w:eastAsia="Arial" w:hAnsi="Arial"/>
          <w:sz w:val="22"/>
          <w:szCs w:val="22"/>
          <w:color w:val="auto"/>
        </w:rPr>
      </w:pPr>
    </w:p>
    <w:p>
      <w:pPr>
        <w:ind w:left="3980" w:hanging="900"/>
        <w:spacing w:after="0"/>
        <w:tabs>
          <w:tab w:leader="none" w:pos="3980" w:val="left"/>
        </w:tabs>
        <w:numPr>
          <w:ilvl w:val="0"/>
          <w:numId w:val="7"/>
        </w:numPr>
        <w:rPr>
          <w:rFonts w:ascii="Arial" w:cs="Arial" w:eastAsia="Arial" w:hAnsi="Arial"/>
          <w:sz w:val="19"/>
          <w:szCs w:val="19"/>
          <w:color w:val="auto"/>
        </w:rPr>
      </w:pPr>
      <w:r>
        <w:rPr>
          <w:rFonts w:ascii="Arial" w:cs="Arial" w:eastAsia="Arial" w:hAnsi="Arial"/>
          <w:sz w:val="19"/>
          <w:szCs w:val="19"/>
          <w:color w:val="auto"/>
        </w:rPr>
        <w:t>Accounts which arise out of any sale (i) not made in the ordinary course of business,</w:t>
      </w:r>
    </w:p>
    <w:p>
      <w:pPr>
        <w:spacing w:after="0" w:line="42" w:lineRule="exact"/>
        <w:rPr>
          <w:rFonts w:ascii="Arial" w:cs="Arial" w:eastAsia="Arial" w:hAnsi="Arial"/>
          <w:sz w:val="19"/>
          <w:szCs w:val="19"/>
          <w:color w:val="auto"/>
        </w:rPr>
      </w:pPr>
    </w:p>
    <w:p>
      <w:pPr>
        <w:ind w:left="3080"/>
        <w:spacing w:after="0" w:line="237" w:lineRule="auto"/>
        <w:tabs>
          <w:tab w:leader="none" w:pos="3398" w:val="left"/>
        </w:tabs>
        <w:numPr>
          <w:ilvl w:val="0"/>
          <w:numId w:val="8"/>
        </w:numPr>
        <w:rPr>
          <w:rFonts w:ascii="Arial" w:cs="Arial" w:eastAsia="Arial" w:hAnsi="Arial"/>
          <w:sz w:val="22"/>
          <w:szCs w:val="22"/>
          <w:color w:val="auto"/>
        </w:rPr>
      </w:pPr>
      <w:r>
        <w:rPr>
          <w:rFonts w:ascii="Arial" w:cs="Arial" w:eastAsia="Arial" w:hAnsi="Arial"/>
          <w:sz w:val="22"/>
          <w:szCs w:val="22"/>
          <w:color w:val="auto"/>
        </w:rPr>
        <w:t>made on a basis other than upon credit terms usual to the business of the Loan Parties or (iii) are not payable in Dollars;</w:t>
      </w:r>
    </w:p>
    <w:p>
      <w:pPr>
        <w:spacing w:after="0" w:line="184" w:lineRule="exact"/>
        <w:rPr>
          <w:rFonts w:ascii="Arial" w:cs="Arial" w:eastAsia="Arial" w:hAnsi="Arial"/>
          <w:sz w:val="22"/>
          <w:szCs w:val="22"/>
          <w:color w:val="auto"/>
        </w:rPr>
      </w:pPr>
    </w:p>
    <w:p>
      <w:pPr>
        <w:jc w:val="both"/>
        <w:ind w:left="3080"/>
        <w:spacing w:after="0"/>
        <w:tabs>
          <w:tab w:leader="none" w:pos="3968" w:val="left"/>
        </w:tabs>
        <w:numPr>
          <w:ilvl w:val="0"/>
          <w:numId w:val="9"/>
        </w:numPr>
        <w:rPr>
          <w:rFonts w:ascii="Arial" w:cs="Arial" w:eastAsia="Arial" w:hAnsi="Arial"/>
          <w:sz w:val="22"/>
          <w:szCs w:val="22"/>
          <w:color w:val="auto"/>
        </w:rPr>
      </w:pPr>
      <w:r>
        <w:rPr>
          <w:rFonts w:ascii="Arial" w:cs="Arial" w:eastAsia="Arial" w:hAnsi="Arial"/>
          <w:sz w:val="22"/>
          <w:szCs w:val="22"/>
          <w:color w:val="auto"/>
        </w:rPr>
        <w:t>Accounts for which all consents, approvals or authorizations of, or registrations or declarations with any Governmental Authority required to be obtained, effected or given in connection with the performance of</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DB1/ 102725325.2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ind w:left="3080"/>
        <w:spacing w:after="0" w:line="274" w:lineRule="auto"/>
        <w:rPr>
          <w:sz w:val="20"/>
          <w:szCs w:val="20"/>
          <w:color w:val="auto"/>
        </w:rPr>
      </w:pPr>
      <w:r>
        <w:rPr>
          <w:rFonts w:ascii="Arial" w:cs="Arial" w:eastAsia="Arial" w:hAnsi="Arial"/>
          <w:sz w:val="21"/>
          <w:szCs w:val="21"/>
          <w:color w:val="auto"/>
        </w:rPr>
        <w:t>such Account by Amazon or in connection with the enforcement of such Account by the Agent have not been duly obtained, effected or given and are not in full force and effect;</w:t>
      </w:r>
    </w:p>
    <w:p>
      <w:pPr>
        <w:spacing w:after="0" w:line="151" w:lineRule="exact"/>
        <w:rPr>
          <w:sz w:val="20"/>
          <w:szCs w:val="20"/>
          <w:color w:val="auto"/>
        </w:rPr>
      </w:pPr>
    </w:p>
    <w:p>
      <w:pPr>
        <w:jc w:val="both"/>
        <w:ind w:left="3080"/>
        <w:spacing w:after="0" w:line="297" w:lineRule="auto"/>
        <w:tabs>
          <w:tab w:leader="none" w:pos="3944" w:val="left"/>
        </w:tabs>
        <w:numPr>
          <w:ilvl w:val="0"/>
          <w:numId w:val="10"/>
        </w:numPr>
        <w:rPr>
          <w:rFonts w:ascii="Arial" w:cs="Arial" w:eastAsia="Arial" w:hAnsi="Arial"/>
          <w:sz w:val="19"/>
          <w:szCs w:val="19"/>
          <w:color w:val="auto"/>
        </w:rPr>
      </w:pPr>
      <w:r>
        <w:rPr>
          <w:rFonts w:ascii="Arial" w:cs="Arial" w:eastAsia="Arial" w:hAnsi="Arial"/>
          <w:sz w:val="19"/>
          <w:szCs w:val="19"/>
          <w:color w:val="auto"/>
        </w:rPr>
        <w:t>all Accounts if Amazon is the subject of any bankruptcy or insolvency proceeding, has had a trustee or receiver appointed for all or a substantial part of its property, has made an assignment for the benefit of creditors or has suspended its business;</w:t>
      </w:r>
    </w:p>
    <w:p>
      <w:pPr>
        <w:spacing w:after="0" w:line="134" w:lineRule="exact"/>
        <w:rPr>
          <w:rFonts w:ascii="Arial" w:cs="Arial" w:eastAsia="Arial" w:hAnsi="Arial"/>
          <w:sz w:val="19"/>
          <w:szCs w:val="19"/>
          <w:color w:val="auto"/>
        </w:rPr>
      </w:pPr>
    </w:p>
    <w:p>
      <w:pPr>
        <w:jc w:val="both"/>
        <w:ind w:left="3080"/>
        <w:spacing w:after="0"/>
        <w:tabs>
          <w:tab w:leader="none" w:pos="3388" w:val="left"/>
        </w:tabs>
        <w:numPr>
          <w:ilvl w:val="0"/>
          <w:numId w:val="10"/>
        </w:numPr>
        <w:rPr>
          <w:rFonts w:ascii="Arial" w:cs="Arial" w:eastAsia="Arial" w:hAnsi="Arial"/>
          <w:sz w:val="22"/>
          <w:szCs w:val="22"/>
          <w:color w:val="auto"/>
        </w:rPr>
      </w:pPr>
      <w:r>
        <w:rPr>
          <w:rFonts w:ascii="Arial" w:cs="Arial" w:eastAsia="Arial" w:hAnsi="Arial"/>
          <w:sz w:val="22"/>
          <w:szCs w:val="22"/>
          <w:color w:val="auto"/>
        </w:rPr>
        <w:t>Accounts representing any manufacturer’s or supplier’s credits, discounts, incentive plans or similar arrangements entitling a Loan Party or any of its Subsidiaries to discounts on future purchase therefrom;</w:t>
      </w:r>
    </w:p>
    <w:p>
      <w:pPr>
        <w:spacing w:after="0" w:line="186" w:lineRule="exact"/>
        <w:rPr>
          <w:rFonts w:ascii="Arial" w:cs="Arial" w:eastAsia="Arial" w:hAnsi="Arial"/>
          <w:sz w:val="22"/>
          <w:szCs w:val="22"/>
          <w:color w:val="auto"/>
        </w:rPr>
      </w:pPr>
    </w:p>
    <w:p>
      <w:pPr>
        <w:ind w:left="3080"/>
        <w:spacing w:after="0" w:line="251" w:lineRule="auto"/>
        <w:tabs>
          <w:tab w:leader="none" w:pos="39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Accounts arising out of sales on a bill-and-hold, guaranteed sale, sale-or-return, sale on approval or consignment basis or subject to any right of return;</w:t>
      </w:r>
    </w:p>
    <w:p>
      <w:pPr>
        <w:spacing w:after="0" w:line="173" w:lineRule="exact"/>
        <w:rPr>
          <w:rFonts w:ascii="Arial" w:cs="Arial" w:eastAsia="Arial" w:hAnsi="Arial"/>
          <w:sz w:val="22"/>
          <w:szCs w:val="22"/>
          <w:color w:val="auto"/>
        </w:rPr>
      </w:pPr>
    </w:p>
    <w:p>
      <w:pPr>
        <w:ind w:left="3940" w:hanging="860"/>
        <w:spacing w:after="0"/>
        <w:tabs>
          <w:tab w:leader="none" w:pos="39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Accounts evidenced by a promissory note or other instrument;</w:t>
      </w:r>
    </w:p>
    <w:p>
      <w:pPr>
        <w:spacing w:after="0" w:line="206" w:lineRule="exact"/>
        <w:rPr>
          <w:rFonts w:ascii="Arial" w:cs="Arial" w:eastAsia="Arial" w:hAnsi="Arial"/>
          <w:sz w:val="22"/>
          <w:szCs w:val="22"/>
          <w:color w:val="auto"/>
        </w:rPr>
      </w:pPr>
    </w:p>
    <w:p>
      <w:pPr>
        <w:ind w:left="3940" w:hanging="860"/>
        <w:spacing w:after="0"/>
        <w:tabs>
          <w:tab w:leader="none" w:pos="39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Accounts consisting of amounts due from vendors as rebates or allowances; or</w:t>
      </w:r>
    </w:p>
    <w:p>
      <w:pPr>
        <w:spacing w:after="0" w:line="217" w:lineRule="exact"/>
        <w:rPr>
          <w:rFonts w:ascii="Arial" w:cs="Arial" w:eastAsia="Arial" w:hAnsi="Arial"/>
          <w:sz w:val="21"/>
          <w:szCs w:val="21"/>
          <w:color w:val="auto"/>
        </w:rPr>
      </w:pPr>
    </w:p>
    <w:p>
      <w:pPr>
        <w:ind w:left="3080"/>
        <w:spacing w:after="0" w:line="274" w:lineRule="auto"/>
        <w:tabs>
          <w:tab w:leader="none" w:pos="39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Accounts which are in excess of the credit limit for Amazon established by the Loan Parties in the ordinary course of business and consistent with past practices.</w:t>
      </w:r>
    </w:p>
    <w:p>
      <w:pPr>
        <w:spacing w:after="0" w:line="151"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“First Amendment Effective Date”: means May 31, 2019.</w:t>
      </w:r>
    </w:p>
    <w:p>
      <w:pPr>
        <w:spacing w:after="0" w:line="206" w:lineRule="exact"/>
        <w:rPr>
          <w:sz w:val="20"/>
          <w:szCs w:val="20"/>
          <w:color w:val="auto"/>
        </w:rPr>
      </w:pPr>
    </w:p>
    <w:p>
      <w:pPr>
        <w:jc w:val="both"/>
        <w:ind w:left="3080"/>
        <w:spacing w:after="0" w:line="238" w:lineRule="auto"/>
        <w:rPr>
          <w:sz w:val="20"/>
          <w:szCs w:val="20"/>
          <w:color w:val="auto"/>
        </w:rPr>
      </w:pPr>
      <w:r>
        <w:rPr>
          <w:rFonts w:ascii="Arial" w:cs="Arial" w:eastAsia="Arial" w:hAnsi="Arial"/>
          <w:sz w:val="22"/>
          <w:szCs w:val="22"/>
          <w:color w:val="auto"/>
        </w:rPr>
        <w:t>“Receivables Reserves” means such Reserves as may be established from time to time by the Agent in the Agent’s discretion with respect to the determination of the collectability in the ordinary course of Eligible Amazon Receivables, including, without limitation, Dilution Reserves.</w:t>
      </w:r>
    </w:p>
    <w:p>
      <w:pPr>
        <w:spacing w:after="0" w:line="185" w:lineRule="exact"/>
        <w:rPr>
          <w:sz w:val="20"/>
          <w:szCs w:val="20"/>
          <w:color w:val="auto"/>
        </w:rPr>
      </w:pPr>
    </w:p>
    <w:p>
      <w:pPr>
        <w:ind w:left="1740" w:hanging="868"/>
        <w:spacing w:after="0" w:line="251" w:lineRule="auto"/>
        <w:tabs>
          <w:tab w:leader="none" w:pos="1740" w:val="left"/>
        </w:tabs>
        <w:numPr>
          <w:ilvl w:val="1"/>
          <w:numId w:val="11"/>
        </w:numPr>
        <w:rPr>
          <w:rFonts w:ascii="Arial" w:cs="Arial" w:eastAsia="Arial" w:hAnsi="Arial"/>
          <w:sz w:val="22"/>
          <w:szCs w:val="22"/>
          <w:color w:val="auto"/>
        </w:rPr>
      </w:pP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of the Credit Agreement is hereby amended and restated in its entirety as of the First Amendment Effective Date as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w:t>
      </w:r>
    </w:p>
    <w:p>
      <w:pPr>
        <w:spacing w:after="0" w:line="173" w:lineRule="exact"/>
        <w:rPr>
          <w:rFonts w:ascii="Arial" w:cs="Arial" w:eastAsia="Arial" w:hAnsi="Arial"/>
          <w:sz w:val="22"/>
          <w:szCs w:val="22"/>
          <w:color w:val="auto"/>
        </w:rPr>
      </w:pPr>
    </w:p>
    <w:p>
      <w:pPr>
        <w:ind w:left="880" w:hanging="872"/>
        <w:spacing w:after="0" w:line="251" w:lineRule="auto"/>
        <w:tabs>
          <w:tab w:leader="none" w:pos="88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Conditions to Effectiveness</w:t>
      </w:r>
      <w:r>
        <w:rPr>
          <w:rFonts w:ascii="Arial" w:cs="Arial" w:eastAsia="Arial" w:hAnsi="Arial"/>
          <w:sz w:val="22"/>
          <w:szCs w:val="22"/>
          <w:color w:val="auto"/>
        </w:rPr>
        <w:t>. This First Amendment shall not be effective until each of the following conditions precedent has been fulfilled to the satisfaction of the Agent:</w:t>
      </w:r>
    </w:p>
    <w:p>
      <w:pPr>
        <w:spacing w:after="0" w:line="173" w:lineRule="exact"/>
        <w:rPr>
          <w:rFonts w:ascii="Arial" w:cs="Arial" w:eastAsia="Arial" w:hAnsi="Arial"/>
          <w:sz w:val="22"/>
          <w:szCs w:val="22"/>
          <w:color w:val="auto"/>
        </w:rPr>
      </w:pPr>
    </w:p>
    <w:p>
      <w:pPr>
        <w:ind w:left="1740" w:hanging="868"/>
        <w:spacing w:after="0" w:line="251" w:lineRule="auto"/>
        <w:tabs>
          <w:tab w:leader="none" w:pos="17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This First Amendment shall have been duly executed and delivered by the Loan Parties and the Required Supermajority Lenders. The Agent shall have received a fully executed original hereof.</w:t>
      </w:r>
    </w:p>
    <w:p>
      <w:pPr>
        <w:spacing w:after="0" w:line="173" w:lineRule="exact"/>
        <w:rPr>
          <w:rFonts w:ascii="Arial" w:cs="Arial" w:eastAsia="Arial" w:hAnsi="Arial"/>
          <w:sz w:val="22"/>
          <w:szCs w:val="22"/>
          <w:color w:val="auto"/>
        </w:rPr>
      </w:pPr>
    </w:p>
    <w:p>
      <w:pPr>
        <w:ind w:left="1740" w:hanging="868"/>
        <w:spacing w:after="0" w:line="251" w:lineRule="auto"/>
        <w:tabs>
          <w:tab w:leader="none" w:pos="17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All action on the part of each Loan Party necessary for the valid execution, delivery and performance by such Loan Party of this Amendment shall have been duly and effectively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DB1/ 102725325.2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ind w:left="1740" w:hanging="868"/>
        <w:spacing w:after="0" w:line="251" w:lineRule="auto"/>
        <w:tabs>
          <w:tab w:leader="none" w:pos="1740" w:val="left"/>
        </w:tabs>
        <w:numPr>
          <w:ilvl w:val="1"/>
          <w:numId w:val="13"/>
        </w:numPr>
        <w:rPr>
          <w:rFonts w:ascii="Arial" w:cs="Arial" w:eastAsia="Arial" w:hAnsi="Arial"/>
          <w:sz w:val="22"/>
          <w:szCs w:val="22"/>
          <w:color w:val="auto"/>
        </w:rPr>
      </w:pPr>
      <w:r>
        <w:rPr>
          <w:rFonts w:ascii="Arial" w:cs="Arial" w:eastAsia="Arial" w:hAnsi="Arial"/>
          <w:sz w:val="22"/>
          <w:szCs w:val="22"/>
          <w:color w:val="auto"/>
        </w:rPr>
        <w:t>After giving effect to this First Amendment, no Default or Event of Default shall have occurred and be continuing.</w:t>
      </w:r>
    </w:p>
    <w:p>
      <w:pPr>
        <w:spacing w:after="0" w:line="173" w:lineRule="exact"/>
        <w:rPr>
          <w:rFonts w:ascii="Arial" w:cs="Arial" w:eastAsia="Arial" w:hAnsi="Arial"/>
          <w:sz w:val="22"/>
          <w:szCs w:val="22"/>
          <w:color w:val="auto"/>
        </w:rPr>
      </w:pPr>
    </w:p>
    <w:p>
      <w:pPr>
        <w:ind w:left="1740" w:hanging="868"/>
        <w:spacing w:after="0"/>
        <w:tabs>
          <w:tab w:leader="none" w:pos="1740" w:val="left"/>
        </w:tabs>
        <w:numPr>
          <w:ilvl w:val="1"/>
          <w:numId w:val="13"/>
        </w:numPr>
        <w:rPr>
          <w:rFonts w:ascii="Arial" w:cs="Arial" w:eastAsia="Arial" w:hAnsi="Arial"/>
          <w:sz w:val="22"/>
          <w:szCs w:val="22"/>
          <w:color w:val="auto"/>
        </w:rPr>
      </w:pPr>
      <w:r>
        <w:rPr>
          <w:rFonts w:ascii="Arial" w:cs="Arial" w:eastAsia="Arial" w:hAnsi="Arial"/>
          <w:sz w:val="22"/>
          <w:szCs w:val="22"/>
          <w:color w:val="auto"/>
        </w:rPr>
        <w:t>The Agent shall have received an updated Borrowing Base Certificate.</w:t>
      </w:r>
    </w:p>
    <w:p>
      <w:pPr>
        <w:spacing w:after="0" w:line="206" w:lineRule="exact"/>
        <w:rPr>
          <w:rFonts w:ascii="Arial" w:cs="Arial" w:eastAsia="Arial" w:hAnsi="Arial"/>
          <w:sz w:val="22"/>
          <w:szCs w:val="22"/>
          <w:color w:val="auto"/>
        </w:rPr>
      </w:pPr>
    </w:p>
    <w:p>
      <w:pPr>
        <w:ind w:left="880" w:hanging="872"/>
        <w:spacing w:after="0"/>
        <w:tabs>
          <w:tab w:leader="none" w:pos="88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Loan Document</w:t>
      </w:r>
      <w:r>
        <w:rPr>
          <w:rFonts w:ascii="Arial" w:cs="Arial" w:eastAsia="Arial" w:hAnsi="Arial"/>
          <w:sz w:val="22"/>
          <w:szCs w:val="22"/>
          <w:color w:val="auto"/>
        </w:rPr>
        <w:t>. This First Amendment shall constitute a Loan Document for all purposes.</w:t>
      </w:r>
    </w:p>
    <w:p>
      <w:pPr>
        <w:spacing w:after="0" w:line="206" w:lineRule="exact"/>
        <w:rPr>
          <w:rFonts w:ascii="Arial" w:cs="Arial" w:eastAsia="Arial" w:hAnsi="Arial"/>
          <w:sz w:val="22"/>
          <w:szCs w:val="22"/>
          <w:color w:val="auto"/>
        </w:rPr>
      </w:pPr>
    </w:p>
    <w:p>
      <w:pPr>
        <w:ind w:left="880" w:hanging="872"/>
        <w:spacing w:after="0" w:line="328" w:lineRule="auto"/>
        <w:tabs>
          <w:tab w:leader="none" w:pos="88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Binding Effect</w:t>
      </w:r>
      <w:r>
        <w:rPr>
          <w:rFonts w:ascii="Arial" w:cs="Arial" w:eastAsia="Arial" w:hAnsi="Arial"/>
          <w:sz w:val="19"/>
          <w:szCs w:val="19"/>
          <w:color w:val="auto"/>
        </w:rPr>
        <w:t>. The terms and provisions hereof shall be binding upon the parties hereto and their successors and assigns and shall inure to the benefit of each Agent and each Lender and their respective successors and assigns.</w:t>
      </w:r>
    </w:p>
    <w:p>
      <w:pPr>
        <w:spacing w:after="0" w:line="105" w:lineRule="exact"/>
        <w:rPr>
          <w:rFonts w:ascii="Arial" w:cs="Arial" w:eastAsia="Arial" w:hAnsi="Arial"/>
          <w:sz w:val="19"/>
          <w:szCs w:val="19"/>
          <w:color w:val="auto"/>
        </w:rPr>
      </w:pPr>
    </w:p>
    <w:p>
      <w:pPr>
        <w:jc w:val="both"/>
        <w:ind w:left="880" w:hanging="872"/>
        <w:spacing w:after="0" w:line="236" w:lineRule="auto"/>
        <w:tabs>
          <w:tab w:leader="none" w:pos="88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Multiple Counterparts</w:t>
      </w:r>
      <w:r>
        <w:rPr>
          <w:rFonts w:ascii="Arial" w:cs="Arial" w:eastAsia="Arial" w:hAnsi="Arial"/>
          <w:sz w:val="22"/>
          <w:szCs w:val="22"/>
          <w:color w:val="auto"/>
        </w:rPr>
        <w:t>. This First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First Amendment by telecopy, pdf or other electronic transmission shall be as effective as delivery of a manually executed counterpart of this First Amendment.</w:t>
      </w:r>
    </w:p>
    <w:p>
      <w:pPr>
        <w:spacing w:after="0" w:line="187" w:lineRule="exact"/>
        <w:rPr>
          <w:rFonts w:ascii="Arial" w:cs="Arial" w:eastAsia="Arial" w:hAnsi="Arial"/>
          <w:sz w:val="22"/>
          <w:szCs w:val="22"/>
          <w:color w:val="auto"/>
        </w:rPr>
      </w:pPr>
    </w:p>
    <w:p>
      <w:pPr>
        <w:jc w:val="both"/>
        <w:ind w:left="880" w:hanging="872"/>
        <w:spacing w:after="0" w:line="235" w:lineRule="auto"/>
        <w:tabs>
          <w:tab w:leader="none" w:pos="88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First Amendment is held to be illegal, invalid or unenforceable, (a) the legality, validity and enforceability of the remaining provisions of this First Amendment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8" w:lineRule="exact"/>
        <w:rPr>
          <w:rFonts w:ascii="Arial" w:cs="Arial" w:eastAsia="Arial" w:hAnsi="Arial"/>
          <w:sz w:val="22"/>
          <w:szCs w:val="22"/>
          <w:color w:val="auto"/>
        </w:rPr>
      </w:pPr>
    </w:p>
    <w:p>
      <w:pPr>
        <w:ind w:left="880" w:right="20" w:hanging="872"/>
        <w:spacing w:after="0" w:line="251" w:lineRule="auto"/>
        <w:tabs>
          <w:tab w:leader="none" w:pos="88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at various places in this First Amendment are intended for convenience only and shall not affect the interpretation of this First Amendment.</w:t>
      </w:r>
    </w:p>
    <w:p>
      <w:pPr>
        <w:spacing w:after="0" w:line="173" w:lineRule="exact"/>
        <w:rPr>
          <w:rFonts w:ascii="Arial" w:cs="Arial" w:eastAsia="Arial" w:hAnsi="Arial"/>
          <w:sz w:val="22"/>
          <w:szCs w:val="22"/>
          <w:color w:val="auto"/>
        </w:rPr>
      </w:pPr>
    </w:p>
    <w:p>
      <w:pPr>
        <w:jc w:val="both"/>
        <w:ind w:left="880" w:hanging="872"/>
        <w:spacing w:after="0" w:line="252" w:lineRule="auto"/>
        <w:tabs>
          <w:tab w:leader="none" w:pos="880"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FIRST AMENDMENT AND ANY CLAIMS, CONTROVERSY, DISPUTE OR CAUSE OF ACTION (WHETHER IN CONTRACT OR TORT OR OTHERWISE) BASED UPON, ARISING OUT OF OR RELATING TO THIS FIRST AMENDMENT AND THE TRANSACTIONS CONTEMPLATED HEREBY SHALL BE GOVERNED BY, AND CONSTRUED IN ACCORDANCE WITH, THE LAW OF THE STATE OF NEW YORK.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DB1/ 102725325.2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ind w:left="880" w:firstLine="810"/>
        <w:spacing w:after="0" w:line="232" w:lineRule="auto"/>
        <w:rPr>
          <w:sz w:val="20"/>
          <w:szCs w:val="20"/>
          <w:color w:val="auto"/>
        </w:rPr>
      </w:pPr>
      <w:r>
        <w:rPr>
          <w:rFonts w:ascii="Arial" w:cs="Arial" w:eastAsia="Arial" w:hAnsi="Arial"/>
          <w:sz w:val="22"/>
          <w:szCs w:val="22"/>
          <w:color w:val="auto"/>
        </w:rPr>
        <w:t>IN WITNESS WHEREOF, this First Amendment has been duly executed and delivered by each of the parties hereto as of the date first above written and is intended to take effect as a sealed instrument.</w:t>
      </w:r>
    </w:p>
    <w:p>
      <w:pPr>
        <w:spacing w:after="0" w:line="389" w:lineRule="exact"/>
        <w:rPr>
          <w:sz w:val="20"/>
          <w:szCs w:val="20"/>
          <w:color w:val="auto"/>
        </w:rPr>
      </w:pPr>
    </w:p>
    <w:p>
      <w:pPr>
        <w:ind w:left="6160"/>
        <w:spacing w:after="0"/>
        <w:rPr>
          <w:sz w:val="20"/>
          <w:szCs w:val="20"/>
          <w:color w:val="auto"/>
        </w:rPr>
      </w:pPr>
      <w:r>
        <w:rPr>
          <w:rFonts w:ascii="Arial" w:cs="Arial" w:eastAsia="Arial" w:hAnsi="Arial"/>
          <w:sz w:val="22"/>
          <w:szCs w:val="22"/>
          <w:u w:val="single" w:color="auto"/>
          <w:color w:val="auto"/>
        </w:rPr>
        <w:t>BORROWERS</w:t>
      </w:r>
      <w:r>
        <w:rPr>
          <w:rFonts w:ascii="Arial" w:cs="Arial" w:eastAsia="Arial" w:hAnsi="Arial"/>
          <w:sz w:val="22"/>
          <w:szCs w:val="22"/>
          <w:color w:val="auto"/>
        </w:rPr>
        <w:t>:</w:t>
      </w:r>
    </w:p>
    <w:p>
      <w:pPr>
        <w:spacing w:after="0" w:line="205" w:lineRule="exact"/>
        <w:rPr>
          <w:sz w:val="20"/>
          <w:szCs w:val="20"/>
          <w:color w:val="auto"/>
        </w:rPr>
      </w:pPr>
    </w:p>
    <w:p>
      <w:pPr>
        <w:ind w:left="6160"/>
        <w:spacing w:after="0"/>
        <w:rPr>
          <w:sz w:val="20"/>
          <w:szCs w:val="20"/>
          <w:color w:val="auto"/>
        </w:rPr>
      </w:pPr>
      <w:r>
        <w:rPr>
          <w:rFonts w:ascii="Arial" w:cs="Arial" w:eastAsia="Arial" w:hAnsi="Arial"/>
          <w:sz w:val="19"/>
          <w:szCs w:val="19"/>
          <w:b w:val="1"/>
          <w:bCs w:val="1"/>
          <w:color w:val="auto"/>
        </w:rPr>
        <w:t>DESTINATION XL GROUP, INC.</w:t>
      </w:r>
      <w:r>
        <w:rPr>
          <w:rFonts w:ascii="Arial" w:cs="Arial" w:eastAsia="Arial" w:hAnsi="Arial"/>
          <w:sz w:val="19"/>
          <w:szCs w:val="19"/>
          <w:color w:val="auto"/>
        </w:rPr>
        <w:t>, as a Lead Borrower and a</w:t>
      </w:r>
    </w:p>
    <w:p>
      <w:pPr>
        <w:spacing w:after="0" w:line="3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Borrower</w:t>
      </w:r>
    </w:p>
    <w:p>
      <w:pPr>
        <w:spacing w:after="0" w:line="200"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H. Stratton, Jr.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Name: Peter H. Stratton, Jr.</w:t>
      </w:r>
    </w:p>
    <w:p>
      <w:pPr>
        <w:ind w:left="6160"/>
        <w:spacing w:after="0"/>
        <w:rPr>
          <w:sz w:val="20"/>
          <w:szCs w:val="20"/>
          <w:color w:val="auto"/>
        </w:rPr>
      </w:pPr>
      <w:r>
        <w:rPr>
          <w:rFonts w:ascii="Arial" w:cs="Arial" w:eastAsia="Arial" w:hAnsi="Arial"/>
          <w:sz w:val="20"/>
          <w:szCs w:val="20"/>
          <w:color w:val="auto"/>
        </w:rPr>
        <w:t>Title: Executive Vice President, Chief Financial Officer and</w:t>
      </w:r>
    </w:p>
    <w:p>
      <w:pPr>
        <w:ind w:left="6160"/>
        <w:spacing w:after="0"/>
        <w:rPr>
          <w:sz w:val="20"/>
          <w:szCs w:val="20"/>
          <w:color w:val="auto"/>
        </w:rPr>
      </w:pPr>
      <w:r>
        <w:rPr>
          <w:rFonts w:ascii="Arial" w:cs="Arial" w:eastAsia="Arial" w:hAnsi="Arial"/>
          <w:sz w:val="20"/>
          <w:szCs w:val="20"/>
          <w:color w:val="auto"/>
        </w:rPr>
        <w:t>Treasurer</w:t>
      </w:r>
    </w:p>
    <w:p>
      <w:pPr>
        <w:spacing w:after="0" w:line="194" w:lineRule="exact"/>
        <w:rPr>
          <w:sz w:val="20"/>
          <w:szCs w:val="20"/>
          <w:color w:val="auto"/>
        </w:rPr>
      </w:pPr>
    </w:p>
    <w:p>
      <w:pPr>
        <w:ind w:left="6160"/>
        <w:spacing w:after="0"/>
        <w:rPr>
          <w:sz w:val="20"/>
          <w:szCs w:val="20"/>
          <w:color w:val="auto"/>
        </w:rPr>
      </w:pPr>
      <w:r>
        <w:rPr>
          <w:rFonts w:ascii="Arial" w:cs="Arial" w:eastAsia="Arial" w:hAnsi="Arial"/>
          <w:sz w:val="20"/>
          <w:szCs w:val="20"/>
          <w:b w:val="1"/>
          <w:bCs w:val="1"/>
          <w:color w:val="auto"/>
        </w:rPr>
        <w:t>CMRG APPAREL, LLC</w:t>
      </w:r>
      <w:r>
        <w:rPr>
          <w:rFonts w:ascii="Arial" w:cs="Arial" w:eastAsia="Arial" w:hAnsi="Arial"/>
          <w:sz w:val="20"/>
          <w:szCs w:val="20"/>
          <w:color w:val="auto"/>
        </w:rPr>
        <w:t>, as a Borrower</w:t>
      </w:r>
    </w:p>
    <w:p>
      <w:pPr>
        <w:spacing w:after="0" w:line="222"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H. Stratton, Jr.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Name: Peter H. Stratton, Jr.</w:t>
      </w:r>
    </w:p>
    <w:p>
      <w:pPr>
        <w:ind w:left="6160"/>
        <w:spacing w:after="0"/>
        <w:rPr>
          <w:sz w:val="20"/>
          <w:szCs w:val="20"/>
          <w:color w:val="auto"/>
        </w:rPr>
      </w:pPr>
      <w:r>
        <w:rPr>
          <w:rFonts w:ascii="Arial" w:cs="Arial" w:eastAsia="Arial" w:hAnsi="Arial"/>
          <w:sz w:val="20"/>
          <w:szCs w:val="20"/>
          <w:color w:val="auto"/>
        </w:rPr>
        <w:t>Title: Executive Vice President, Chief Financial Officer and</w:t>
      </w:r>
    </w:p>
    <w:p>
      <w:pPr>
        <w:ind w:left="616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First Amendment]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DB1/ 102725325.2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1" w:right="259" w:bottom="1440" w:gutter="0" w:footer="0" w:header="0"/>
        </w:sectPr>
      </w:pPr>
    </w:p>
    <w:bookmarkStart w:id="9" w:name="page10"/>
    <w:bookmarkEnd w:id="9"/>
    <w:p>
      <w:pPr>
        <w:ind w:left="6160"/>
        <w:spacing w:after="0"/>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210" w:lineRule="exact"/>
        <w:rPr>
          <w:sz w:val="20"/>
          <w:szCs w:val="20"/>
          <w:color w:val="auto"/>
        </w:rPr>
      </w:pPr>
    </w:p>
    <w:p>
      <w:pPr>
        <w:ind w:left="6160"/>
        <w:spacing w:after="0"/>
        <w:rPr>
          <w:sz w:val="20"/>
          <w:szCs w:val="20"/>
          <w:color w:val="auto"/>
        </w:rPr>
      </w:pPr>
      <w:r>
        <w:rPr>
          <w:rFonts w:ascii="Arial" w:cs="Arial" w:eastAsia="Arial" w:hAnsi="Arial"/>
          <w:sz w:val="20"/>
          <w:szCs w:val="20"/>
          <w:b w:val="1"/>
          <w:bCs w:val="1"/>
          <w:color w:val="auto"/>
        </w:rPr>
        <w:t>CASUAL MALE RBT, LLC</w:t>
      </w:r>
      <w:r>
        <w:rPr>
          <w:rFonts w:ascii="Arial" w:cs="Arial" w:eastAsia="Arial" w:hAnsi="Arial"/>
          <w:sz w:val="20"/>
          <w:szCs w:val="20"/>
          <w:color w:val="auto"/>
        </w:rPr>
        <w:t>, as a Guarantor</w:t>
      </w:r>
    </w:p>
    <w:p>
      <w:pPr>
        <w:spacing w:after="0" w:line="222"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H. Stratton, Jr.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Name: Peter H. Stratton, Jr.</w:t>
      </w:r>
    </w:p>
    <w:p>
      <w:pPr>
        <w:ind w:left="6160"/>
        <w:spacing w:after="0"/>
        <w:rPr>
          <w:sz w:val="20"/>
          <w:szCs w:val="20"/>
          <w:color w:val="auto"/>
        </w:rPr>
      </w:pPr>
      <w:r>
        <w:rPr>
          <w:rFonts w:ascii="Arial" w:cs="Arial" w:eastAsia="Arial" w:hAnsi="Arial"/>
          <w:sz w:val="18"/>
          <w:szCs w:val="18"/>
          <w:color w:val="auto"/>
        </w:rPr>
        <w:t>Title: Executive Vice President, Chief Financial Officer and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Treasurer</w:t>
      </w:r>
    </w:p>
    <w:p>
      <w:pPr>
        <w:spacing w:after="0" w:line="194" w:lineRule="exact"/>
        <w:rPr>
          <w:sz w:val="20"/>
          <w:szCs w:val="20"/>
          <w:color w:val="auto"/>
        </w:rPr>
      </w:pPr>
    </w:p>
    <w:p>
      <w:pPr>
        <w:ind w:left="6160"/>
        <w:spacing w:after="0"/>
        <w:rPr>
          <w:sz w:val="20"/>
          <w:szCs w:val="20"/>
          <w:color w:val="auto"/>
        </w:rPr>
      </w:pPr>
      <w:r>
        <w:rPr>
          <w:rFonts w:ascii="Arial" w:cs="Arial" w:eastAsia="Arial" w:hAnsi="Arial"/>
          <w:sz w:val="20"/>
          <w:szCs w:val="20"/>
          <w:b w:val="1"/>
          <w:bCs w:val="1"/>
          <w:color w:val="auto"/>
        </w:rPr>
        <w:t>CAPTURE, LLC</w:t>
      </w:r>
      <w:r>
        <w:rPr>
          <w:rFonts w:ascii="Arial" w:cs="Arial" w:eastAsia="Arial" w:hAnsi="Arial"/>
          <w:sz w:val="20"/>
          <w:szCs w:val="20"/>
          <w:color w:val="auto"/>
        </w:rPr>
        <w:t>, as a Guarantor</w:t>
      </w:r>
    </w:p>
    <w:p>
      <w:pPr>
        <w:spacing w:after="0" w:line="222"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H. Stratton, Jr.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Name: Peter H. Stratton, Jr.</w:t>
      </w:r>
    </w:p>
    <w:p>
      <w:pPr>
        <w:ind w:left="6160"/>
        <w:spacing w:after="0"/>
        <w:rPr>
          <w:sz w:val="20"/>
          <w:szCs w:val="20"/>
          <w:color w:val="auto"/>
        </w:rPr>
      </w:pPr>
      <w:r>
        <w:rPr>
          <w:rFonts w:ascii="Arial" w:cs="Arial" w:eastAsia="Arial" w:hAnsi="Arial"/>
          <w:sz w:val="18"/>
          <w:szCs w:val="18"/>
          <w:color w:val="auto"/>
        </w:rPr>
        <w:t>Title: Executive Vice President, Chief Financial Officer and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Treasurer</w:t>
      </w:r>
    </w:p>
    <w:p>
      <w:pPr>
        <w:spacing w:after="0" w:line="194" w:lineRule="exact"/>
        <w:rPr>
          <w:sz w:val="20"/>
          <w:szCs w:val="20"/>
          <w:color w:val="auto"/>
        </w:rPr>
      </w:pPr>
    </w:p>
    <w:p>
      <w:pPr>
        <w:ind w:left="6160"/>
        <w:spacing w:after="0"/>
        <w:rPr>
          <w:sz w:val="20"/>
          <w:szCs w:val="20"/>
          <w:color w:val="auto"/>
        </w:rPr>
      </w:pPr>
      <w:r>
        <w:rPr>
          <w:rFonts w:ascii="Arial" w:cs="Arial" w:eastAsia="Arial" w:hAnsi="Arial"/>
          <w:sz w:val="20"/>
          <w:szCs w:val="20"/>
          <w:b w:val="1"/>
          <w:bCs w:val="1"/>
          <w:color w:val="auto"/>
        </w:rPr>
        <w:t>CASUAL MALE STORE, LLC</w:t>
      </w:r>
      <w:r>
        <w:rPr>
          <w:rFonts w:ascii="Arial" w:cs="Arial" w:eastAsia="Arial" w:hAnsi="Arial"/>
          <w:sz w:val="20"/>
          <w:szCs w:val="20"/>
          <w:color w:val="auto"/>
        </w:rPr>
        <w:t>, as a Guarantor</w:t>
      </w:r>
    </w:p>
    <w:p>
      <w:pPr>
        <w:spacing w:after="0" w:line="222"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H. Stratton, Jr.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Name: Peter H. Stratton, Jr.</w:t>
      </w:r>
    </w:p>
    <w:p>
      <w:pPr>
        <w:ind w:left="6160"/>
        <w:spacing w:after="0"/>
        <w:rPr>
          <w:sz w:val="20"/>
          <w:szCs w:val="20"/>
          <w:color w:val="auto"/>
        </w:rPr>
      </w:pPr>
      <w:r>
        <w:rPr>
          <w:rFonts w:ascii="Arial" w:cs="Arial" w:eastAsia="Arial" w:hAnsi="Arial"/>
          <w:sz w:val="18"/>
          <w:szCs w:val="18"/>
          <w:color w:val="auto"/>
        </w:rPr>
        <w:t>Title: Executive Vice President, Chief Financial Officer and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Treasurer</w:t>
      </w:r>
    </w:p>
    <w:p>
      <w:pPr>
        <w:spacing w:after="0" w:line="194" w:lineRule="exact"/>
        <w:rPr>
          <w:sz w:val="20"/>
          <w:szCs w:val="20"/>
          <w:color w:val="auto"/>
        </w:rPr>
      </w:pPr>
    </w:p>
    <w:p>
      <w:pPr>
        <w:ind w:left="6160"/>
        <w:spacing w:after="0"/>
        <w:rPr>
          <w:sz w:val="20"/>
          <w:szCs w:val="20"/>
          <w:color w:val="auto"/>
        </w:rPr>
      </w:pPr>
      <w:r>
        <w:rPr>
          <w:rFonts w:ascii="Arial" w:cs="Arial" w:eastAsia="Arial" w:hAnsi="Arial"/>
          <w:sz w:val="19"/>
          <w:szCs w:val="19"/>
          <w:b w:val="1"/>
          <w:bCs w:val="1"/>
          <w:color w:val="auto"/>
        </w:rPr>
        <w:t>CASUAL MALE RETAIL STORE, LLC</w:t>
      </w:r>
      <w:r>
        <w:rPr>
          <w:rFonts w:ascii="Arial" w:cs="Arial" w:eastAsia="Arial" w:hAnsi="Arial"/>
          <w:sz w:val="19"/>
          <w:szCs w:val="19"/>
          <w:color w:val="auto"/>
        </w:rPr>
        <w:t>, as a Guarantor</w:t>
      </w:r>
    </w:p>
    <w:p>
      <w:pPr>
        <w:spacing w:after="0" w:line="23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H. Stratton, Jr.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Name: Peter H. Stratton, Jr.</w:t>
      </w:r>
    </w:p>
    <w:p>
      <w:pPr>
        <w:ind w:left="6160"/>
        <w:spacing w:after="0"/>
        <w:rPr>
          <w:sz w:val="20"/>
          <w:szCs w:val="20"/>
          <w:color w:val="auto"/>
        </w:rPr>
      </w:pPr>
      <w:r>
        <w:rPr>
          <w:rFonts w:ascii="Arial" w:cs="Arial" w:eastAsia="Arial" w:hAnsi="Arial"/>
          <w:sz w:val="18"/>
          <w:szCs w:val="18"/>
          <w:color w:val="auto"/>
        </w:rPr>
        <w:t>Title: Executive Vice President, Chief Financial Officer and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Treasurer</w:t>
      </w:r>
    </w:p>
    <w:p>
      <w:pPr>
        <w:spacing w:after="0" w:line="194" w:lineRule="exact"/>
        <w:rPr>
          <w:sz w:val="20"/>
          <w:szCs w:val="20"/>
          <w:color w:val="auto"/>
        </w:rPr>
      </w:pPr>
    </w:p>
    <w:p>
      <w:pPr>
        <w:ind w:left="6160"/>
        <w:spacing w:after="0"/>
        <w:rPr>
          <w:sz w:val="20"/>
          <w:szCs w:val="20"/>
          <w:color w:val="auto"/>
        </w:rPr>
      </w:pPr>
      <w:r>
        <w:rPr>
          <w:rFonts w:ascii="Arial" w:cs="Arial" w:eastAsia="Arial" w:hAnsi="Arial"/>
          <w:sz w:val="20"/>
          <w:szCs w:val="20"/>
          <w:b w:val="1"/>
          <w:bCs w:val="1"/>
          <w:color w:val="auto"/>
        </w:rPr>
        <w:t>CASUAL MALE DIRECT, LLC</w:t>
      </w:r>
      <w:r>
        <w:rPr>
          <w:rFonts w:ascii="Arial" w:cs="Arial" w:eastAsia="Arial" w:hAnsi="Arial"/>
          <w:sz w:val="20"/>
          <w:szCs w:val="20"/>
          <w:color w:val="auto"/>
        </w:rPr>
        <w:t>, as a Guarantor</w:t>
      </w:r>
    </w:p>
    <w:p>
      <w:pPr>
        <w:spacing w:after="0" w:line="222"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H. Stratton, Jr.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Name: Peter H. Stratton, Jr.</w:t>
      </w:r>
    </w:p>
    <w:p>
      <w:pPr>
        <w:ind w:left="6160"/>
        <w:spacing w:after="0"/>
        <w:rPr>
          <w:sz w:val="20"/>
          <w:szCs w:val="20"/>
          <w:color w:val="auto"/>
        </w:rPr>
      </w:pPr>
      <w:r>
        <w:rPr>
          <w:rFonts w:ascii="Arial" w:cs="Arial" w:eastAsia="Arial" w:hAnsi="Arial"/>
          <w:sz w:val="18"/>
          <w:szCs w:val="18"/>
          <w:color w:val="auto"/>
        </w:rPr>
        <w:t>Title: Executive Vice President, Chief Financial Officer and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Treasurer</w:t>
      </w:r>
    </w:p>
    <w:p>
      <w:pPr>
        <w:spacing w:after="0" w:line="194" w:lineRule="exact"/>
        <w:rPr>
          <w:sz w:val="20"/>
          <w:szCs w:val="20"/>
          <w:color w:val="auto"/>
        </w:rPr>
      </w:pPr>
    </w:p>
    <w:p>
      <w:pPr>
        <w:ind w:left="6160"/>
        <w:spacing w:after="0"/>
        <w:rPr>
          <w:sz w:val="20"/>
          <w:szCs w:val="20"/>
          <w:color w:val="auto"/>
        </w:rPr>
      </w:pPr>
      <w:r>
        <w:rPr>
          <w:rFonts w:ascii="Arial" w:cs="Arial" w:eastAsia="Arial" w:hAnsi="Arial"/>
          <w:sz w:val="20"/>
          <w:szCs w:val="20"/>
          <w:b w:val="1"/>
          <w:bCs w:val="1"/>
          <w:color w:val="auto"/>
        </w:rPr>
        <w:t>CASUAL MALE RBT (U.K.) LLC</w:t>
      </w:r>
      <w:r>
        <w:rPr>
          <w:rFonts w:ascii="Arial" w:cs="Arial" w:eastAsia="Arial" w:hAnsi="Arial"/>
          <w:sz w:val="20"/>
          <w:szCs w:val="20"/>
          <w:color w:val="auto"/>
        </w:rPr>
        <w:t>, as a Guarantor</w:t>
      </w:r>
    </w:p>
    <w:p>
      <w:pPr>
        <w:spacing w:after="0" w:line="222"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H. Stratton, Jr.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Name: Peter H. Stratton, Jr.</w:t>
      </w:r>
    </w:p>
    <w:p>
      <w:pPr>
        <w:ind w:left="6160"/>
        <w:spacing w:after="0"/>
        <w:rPr>
          <w:sz w:val="20"/>
          <w:szCs w:val="20"/>
          <w:color w:val="auto"/>
        </w:rPr>
      </w:pPr>
      <w:r>
        <w:rPr>
          <w:rFonts w:ascii="Arial" w:cs="Arial" w:eastAsia="Arial" w:hAnsi="Arial"/>
          <w:sz w:val="18"/>
          <w:szCs w:val="18"/>
          <w:color w:val="auto"/>
        </w:rPr>
        <w:t>Title: Executive Vice President, Chief Financial Officer and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Treasurer</w:t>
      </w:r>
    </w:p>
    <w:p>
      <w:pPr>
        <w:spacing w:after="0" w:line="195" w:lineRule="exact"/>
        <w:rPr>
          <w:sz w:val="20"/>
          <w:szCs w:val="20"/>
          <w:color w:val="auto"/>
        </w:rPr>
      </w:pPr>
    </w:p>
    <w:p>
      <w:pPr>
        <w:ind w:left="4080"/>
        <w:spacing w:after="0"/>
        <w:rPr>
          <w:sz w:val="20"/>
          <w:szCs w:val="20"/>
          <w:color w:val="auto"/>
        </w:rPr>
      </w:pPr>
      <w:r>
        <w:rPr>
          <w:rFonts w:ascii="Arial" w:cs="Arial" w:eastAsia="Arial" w:hAnsi="Arial"/>
          <w:sz w:val="22"/>
          <w:szCs w:val="22"/>
          <w:i w:val="1"/>
          <w:iCs w:val="1"/>
          <w:color w:val="auto"/>
        </w:rPr>
        <w:t>[Signature Page to First Amendment]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DB1/ 102725325.2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240" w:top="798" w:right="759" w:bottom="1440" w:gutter="0" w:footer="0" w:header="0"/>
        </w:sectPr>
      </w:pPr>
    </w:p>
    <w:bookmarkStart w:id="10" w:name="page11"/>
    <w:bookmarkEnd w:id="10"/>
    <w:p>
      <w:pPr>
        <w:ind w:left="6160"/>
        <w:spacing w:after="0"/>
        <w:rPr>
          <w:sz w:val="20"/>
          <w:szCs w:val="20"/>
          <w:color w:val="auto"/>
        </w:rPr>
      </w:pPr>
      <w:r>
        <w:rPr>
          <w:rFonts w:ascii="Arial" w:cs="Arial" w:eastAsia="Arial" w:hAnsi="Arial"/>
          <w:sz w:val="20"/>
          <w:szCs w:val="20"/>
          <w:b w:val="1"/>
          <w:bCs w:val="1"/>
          <w:color w:val="auto"/>
        </w:rPr>
        <w:t>THINK BIG PRODUCTS LLC</w:t>
      </w:r>
      <w:r>
        <w:rPr>
          <w:rFonts w:ascii="Arial" w:cs="Arial" w:eastAsia="Arial" w:hAnsi="Arial"/>
          <w:sz w:val="20"/>
          <w:szCs w:val="20"/>
          <w:color w:val="auto"/>
        </w:rPr>
        <w:t>, as a Guarantor</w:t>
      </w:r>
    </w:p>
    <w:p>
      <w:pPr>
        <w:spacing w:after="0" w:line="222"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H. Stratton, Jr.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Name: Peter H. Stratton, Jr.</w:t>
      </w:r>
    </w:p>
    <w:p>
      <w:pPr>
        <w:ind w:left="6160"/>
        <w:spacing w:after="0"/>
        <w:rPr>
          <w:sz w:val="20"/>
          <w:szCs w:val="20"/>
          <w:color w:val="auto"/>
        </w:rPr>
      </w:pPr>
      <w:r>
        <w:rPr>
          <w:rFonts w:ascii="Arial" w:cs="Arial" w:eastAsia="Arial" w:hAnsi="Arial"/>
          <w:sz w:val="18"/>
          <w:szCs w:val="18"/>
          <w:color w:val="auto"/>
        </w:rPr>
        <w:t>Title: Executive Vice President, Chief Financial Officer and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Treasurer</w:t>
      </w:r>
    </w:p>
    <w:p>
      <w:pPr>
        <w:spacing w:after="0" w:line="194" w:lineRule="exact"/>
        <w:rPr>
          <w:sz w:val="20"/>
          <w:szCs w:val="20"/>
          <w:color w:val="auto"/>
        </w:rPr>
      </w:pPr>
    </w:p>
    <w:p>
      <w:pPr>
        <w:ind w:left="6160"/>
        <w:spacing w:after="0"/>
        <w:rPr>
          <w:sz w:val="20"/>
          <w:szCs w:val="20"/>
          <w:color w:val="auto"/>
        </w:rPr>
      </w:pPr>
      <w:r>
        <w:rPr>
          <w:rFonts w:ascii="Arial" w:cs="Arial" w:eastAsia="Arial" w:hAnsi="Arial"/>
          <w:sz w:val="20"/>
          <w:szCs w:val="20"/>
          <w:b w:val="1"/>
          <w:bCs w:val="1"/>
          <w:color w:val="auto"/>
        </w:rPr>
        <w:t>CMRG HOLDCO, LLC</w:t>
      </w:r>
      <w:r>
        <w:rPr>
          <w:rFonts w:ascii="Arial" w:cs="Arial" w:eastAsia="Arial" w:hAnsi="Arial"/>
          <w:sz w:val="20"/>
          <w:szCs w:val="20"/>
          <w:color w:val="auto"/>
        </w:rPr>
        <w:t>, as a Guarantor</w:t>
      </w:r>
    </w:p>
    <w:p>
      <w:pPr>
        <w:spacing w:after="0" w:line="222"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H. Stratton, Jr.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Name: Peter H. Stratton, Jr.</w:t>
      </w:r>
    </w:p>
    <w:p>
      <w:pPr>
        <w:ind w:left="6160"/>
        <w:spacing w:after="0"/>
        <w:rPr>
          <w:sz w:val="20"/>
          <w:szCs w:val="20"/>
          <w:color w:val="auto"/>
        </w:rPr>
      </w:pPr>
      <w:r>
        <w:rPr>
          <w:rFonts w:ascii="Arial" w:cs="Arial" w:eastAsia="Arial" w:hAnsi="Arial"/>
          <w:sz w:val="18"/>
          <w:szCs w:val="18"/>
          <w:color w:val="auto"/>
        </w:rPr>
        <w:t>Title: Executive Vice President, Chief Financial Officer and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Treasurer</w:t>
      </w:r>
    </w:p>
    <w:p>
      <w:pPr>
        <w:spacing w:after="0" w:line="194" w:lineRule="exact"/>
        <w:rPr>
          <w:sz w:val="20"/>
          <w:szCs w:val="20"/>
          <w:color w:val="auto"/>
        </w:rPr>
      </w:pPr>
    </w:p>
    <w:p>
      <w:pPr>
        <w:ind w:left="6160"/>
        <w:spacing w:after="0"/>
        <w:rPr>
          <w:sz w:val="20"/>
          <w:szCs w:val="20"/>
          <w:color w:val="auto"/>
        </w:rPr>
      </w:pPr>
      <w:r>
        <w:rPr>
          <w:rFonts w:ascii="Arial" w:cs="Arial" w:eastAsia="Arial" w:hAnsi="Arial"/>
          <w:sz w:val="20"/>
          <w:szCs w:val="20"/>
          <w:b w:val="1"/>
          <w:bCs w:val="1"/>
          <w:color w:val="auto"/>
        </w:rPr>
        <w:t>DXLG WHOLESALE, LLC</w:t>
      </w:r>
      <w:r>
        <w:rPr>
          <w:rFonts w:ascii="Arial" w:cs="Arial" w:eastAsia="Arial" w:hAnsi="Arial"/>
          <w:sz w:val="20"/>
          <w:szCs w:val="20"/>
          <w:color w:val="auto"/>
        </w:rPr>
        <w:t>, as a Guarantor</w:t>
      </w:r>
    </w:p>
    <w:p>
      <w:pPr>
        <w:spacing w:after="0" w:line="222"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H. Stratton, Jr.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Name: Peter H. Stratton, Jr.</w:t>
      </w:r>
    </w:p>
    <w:p>
      <w:pPr>
        <w:ind w:left="6160"/>
        <w:spacing w:after="0"/>
        <w:rPr>
          <w:sz w:val="20"/>
          <w:szCs w:val="20"/>
          <w:color w:val="auto"/>
        </w:rPr>
      </w:pPr>
      <w:r>
        <w:rPr>
          <w:rFonts w:ascii="Arial" w:cs="Arial" w:eastAsia="Arial" w:hAnsi="Arial"/>
          <w:sz w:val="18"/>
          <w:szCs w:val="18"/>
          <w:color w:val="auto"/>
        </w:rPr>
        <w:t>Title: Executive Vice President, Chief Financial Officer and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Treasurer</w:t>
      </w:r>
    </w:p>
    <w:p>
      <w:pPr>
        <w:spacing w:after="0" w:line="194" w:lineRule="exact"/>
        <w:rPr>
          <w:sz w:val="20"/>
          <w:szCs w:val="20"/>
          <w:color w:val="auto"/>
        </w:rPr>
      </w:pPr>
    </w:p>
    <w:p>
      <w:pPr>
        <w:ind w:left="6160"/>
        <w:spacing w:after="0"/>
        <w:rPr>
          <w:sz w:val="20"/>
          <w:szCs w:val="20"/>
          <w:color w:val="auto"/>
        </w:rPr>
      </w:pPr>
      <w:r>
        <w:rPr>
          <w:rFonts w:ascii="Arial" w:cs="Arial" w:eastAsia="Arial" w:hAnsi="Arial"/>
          <w:sz w:val="19"/>
          <w:szCs w:val="19"/>
          <w:b w:val="1"/>
          <w:bCs w:val="1"/>
          <w:color w:val="auto"/>
        </w:rPr>
        <w:t>CMRG APPAREL MANAGEMENT, INC.</w:t>
      </w:r>
      <w:r>
        <w:rPr>
          <w:rFonts w:ascii="Arial" w:cs="Arial" w:eastAsia="Arial" w:hAnsi="Arial"/>
          <w:sz w:val="19"/>
          <w:szCs w:val="19"/>
          <w:color w:val="auto"/>
        </w:rPr>
        <w:t>, as a Guarantor</w:t>
      </w:r>
    </w:p>
    <w:p>
      <w:pPr>
        <w:spacing w:after="0" w:line="23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H. Stratton, Jr.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Name: Peter H. Stratton, Jr.</w:t>
      </w:r>
    </w:p>
    <w:p>
      <w:pPr>
        <w:ind w:left="6160"/>
        <w:spacing w:after="0"/>
        <w:rPr>
          <w:sz w:val="20"/>
          <w:szCs w:val="20"/>
          <w:color w:val="auto"/>
        </w:rPr>
      </w:pPr>
      <w:r>
        <w:rPr>
          <w:rFonts w:ascii="Arial" w:cs="Arial" w:eastAsia="Arial" w:hAnsi="Arial"/>
          <w:sz w:val="18"/>
          <w:szCs w:val="18"/>
          <w:color w:val="auto"/>
        </w:rPr>
        <w:t>Title: Executive Vice President, Chief Financial Officer and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Treasurer</w:t>
      </w:r>
    </w:p>
    <w:p>
      <w:pPr>
        <w:spacing w:after="0" w:line="194" w:lineRule="exact"/>
        <w:rPr>
          <w:sz w:val="20"/>
          <w:szCs w:val="20"/>
          <w:color w:val="auto"/>
        </w:rPr>
      </w:pPr>
    </w:p>
    <w:p>
      <w:pPr>
        <w:ind w:left="6160"/>
        <w:spacing w:after="0"/>
        <w:rPr>
          <w:sz w:val="20"/>
          <w:szCs w:val="20"/>
          <w:color w:val="auto"/>
        </w:rPr>
      </w:pPr>
      <w:r>
        <w:rPr>
          <w:rFonts w:ascii="Arial" w:cs="Arial" w:eastAsia="Arial" w:hAnsi="Arial"/>
          <w:sz w:val="20"/>
          <w:szCs w:val="20"/>
          <w:b w:val="1"/>
          <w:bCs w:val="1"/>
          <w:color w:val="auto"/>
        </w:rPr>
        <w:t>CMXL APPAREL, LP</w:t>
      </w:r>
      <w:r>
        <w:rPr>
          <w:rFonts w:ascii="Arial" w:cs="Arial" w:eastAsia="Arial" w:hAnsi="Arial"/>
          <w:sz w:val="20"/>
          <w:szCs w:val="20"/>
          <w:color w:val="auto"/>
        </w:rPr>
        <w:t>, as a Guarantor</w:t>
      </w:r>
    </w:p>
    <w:p>
      <w:pPr>
        <w:spacing w:after="0" w:line="222"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H. Stratton, Jr.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Name: Peter H. Stratton, Jr.</w:t>
      </w:r>
    </w:p>
    <w:p>
      <w:pPr>
        <w:ind w:left="6160"/>
        <w:spacing w:after="0"/>
        <w:rPr>
          <w:sz w:val="20"/>
          <w:szCs w:val="20"/>
          <w:color w:val="auto"/>
        </w:rPr>
      </w:pPr>
      <w:r>
        <w:rPr>
          <w:rFonts w:ascii="Arial" w:cs="Arial" w:eastAsia="Arial" w:hAnsi="Arial"/>
          <w:sz w:val="18"/>
          <w:szCs w:val="18"/>
          <w:color w:val="auto"/>
        </w:rPr>
        <w:t>Title: Executive Vice President, Chief Financial Officer and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Treasurer</w:t>
      </w:r>
    </w:p>
    <w:p>
      <w:pPr>
        <w:spacing w:after="0" w:line="194" w:lineRule="exact"/>
        <w:rPr>
          <w:sz w:val="20"/>
          <w:szCs w:val="20"/>
          <w:color w:val="auto"/>
        </w:rPr>
      </w:pPr>
    </w:p>
    <w:p>
      <w:pPr>
        <w:ind w:left="6160"/>
        <w:spacing w:after="0"/>
        <w:rPr>
          <w:sz w:val="20"/>
          <w:szCs w:val="20"/>
          <w:color w:val="auto"/>
        </w:rPr>
      </w:pPr>
      <w:r>
        <w:rPr>
          <w:rFonts w:ascii="Arial" w:cs="Arial" w:eastAsia="Arial" w:hAnsi="Arial"/>
          <w:sz w:val="20"/>
          <w:szCs w:val="20"/>
          <w:b w:val="1"/>
          <w:bCs w:val="1"/>
          <w:color w:val="auto"/>
        </w:rPr>
        <w:t>CASUAL MALE (EUROPE), LLC</w:t>
      </w:r>
      <w:r>
        <w:rPr>
          <w:rFonts w:ascii="Arial" w:cs="Arial" w:eastAsia="Arial" w:hAnsi="Arial"/>
          <w:sz w:val="20"/>
          <w:szCs w:val="20"/>
          <w:color w:val="auto"/>
        </w:rPr>
        <w:t>, as a Guarantor</w:t>
      </w:r>
    </w:p>
    <w:p>
      <w:pPr>
        <w:spacing w:after="0" w:line="222"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H. Stratton, Jr.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Name: Peter H. Stratton, Jr.</w:t>
      </w:r>
    </w:p>
    <w:p>
      <w:pPr>
        <w:ind w:left="6160"/>
        <w:spacing w:after="0"/>
        <w:rPr>
          <w:sz w:val="20"/>
          <w:szCs w:val="20"/>
          <w:color w:val="auto"/>
        </w:rPr>
      </w:pPr>
      <w:r>
        <w:rPr>
          <w:rFonts w:ascii="Arial" w:cs="Arial" w:eastAsia="Arial" w:hAnsi="Arial"/>
          <w:sz w:val="18"/>
          <w:szCs w:val="18"/>
          <w:color w:val="auto"/>
        </w:rPr>
        <w:t>Title: Executive Vice President, Chief Financial Officer and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79"/>
        <w:spacing w:after="0"/>
        <w:rPr>
          <w:sz w:val="20"/>
          <w:szCs w:val="20"/>
          <w:color w:val="auto"/>
        </w:rPr>
      </w:pPr>
      <w:r>
        <w:rPr>
          <w:rFonts w:ascii="Arial" w:cs="Arial" w:eastAsia="Arial" w:hAnsi="Arial"/>
          <w:sz w:val="22"/>
          <w:szCs w:val="22"/>
          <w:i w:val="1"/>
          <w:iCs w:val="1"/>
          <w:color w:val="auto"/>
        </w:rPr>
        <w:t>[Signature Page to First Amendment]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DB1/ 102725325.2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240" w:top="333" w:right="619" w:bottom="1440" w:gutter="0" w:footer="0" w:header="0"/>
        </w:sectPr>
      </w:pPr>
    </w:p>
    <w:bookmarkStart w:id="11" w:name="page12"/>
    <w:bookmarkEnd w:id="11"/>
    <w:p>
      <w:pPr>
        <w:ind w:left="6160"/>
        <w:spacing w:after="0"/>
        <w:rPr>
          <w:sz w:val="20"/>
          <w:szCs w:val="20"/>
          <w:color w:val="auto"/>
        </w:rPr>
      </w:pPr>
      <w:r>
        <w:rPr>
          <w:rFonts w:ascii="Arial" w:cs="Arial" w:eastAsia="Arial" w:hAnsi="Arial"/>
          <w:sz w:val="22"/>
          <w:szCs w:val="22"/>
          <w:u w:val="single" w:color="auto"/>
          <w:color w:val="auto"/>
        </w:rPr>
        <w:t>AGENT</w:t>
      </w:r>
      <w:r>
        <w:rPr>
          <w:rFonts w:ascii="Arial" w:cs="Arial" w:eastAsia="Arial" w:hAnsi="Arial"/>
          <w:sz w:val="22"/>
          <w:szCs w:val="22"/>
          <w:color w:val="auto"/>
        </w:rPr>
        <w:t>:</w:t>
      </w:r>
    </w:p>
    <w:p>
      <w:pPr>
        <w:spacing w:after="0" w:line="200" w:lineRule="exact"/>
        <w:rPr>
          <w:sz w:val="20"/>
          <w:szCs w:val="20"/>
          <w:color w:val="auto"/>
        </w:rPr>
      </w:pPr>
    </w:p>
    <w:p>
      <w:pPr>
        <w:ind w:left="6160"/>
        <w:spacing w:after="0"/>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 as Administrative Agent and</w:t>
      </w:r>
    </w:p>
    <w:p>
      <w:pPr>
        <w:spacing w:after="0" w:line="49"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as Collateral Agent</w:t>
      </w:r>
    </w:p>
    <w:p>
      <w:pPr>
        <w:spacing w:after="0" w:line="159" w:lineRule="exact"/>
        <w:rPr>
          <w:sz w:val="20"/>
          <w:szCs w:val="20"/>
          <w:color w:val="auto"/>
        </w:rPr>
      </w:pPr>
    </w:p>
    <w:tbl>
      <w:tblPr>
        <w:tblLayout w:type="fixed"/>
        <w:tblInd w:w="616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500" w:type="dxa"/>
            <w:vAlign w:val="bottom"/>
          </w:tcPr>
          <w:p>
            <w:pPr>
              <w:spacing w:after="0"/>
              <w:rPr>
                <w:sz w:val="21"/>
                <w:szCs w:val="21"/>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Christine Hutchinson</w:t>
            </w:r>
          </w:p>
        </w:tc>
      </w:tr>
      <w:tr>
        <w:trPr>
          <w:trHeight w:val="242"/>
        </w:trPr>
        <w:tc>
          <w:tcPr>
            <w:tcW w:w="3160" w:type="dxa"/>
            <w:vAlign w:val="bottom"/>
            <w:gridSpan w:val="3"/>
          </w:tcPr>
          <w:p>
            <w:pPr>
              <w:spacing w:after="0" w:line="242" w:lineRule="exact"/>
              <w:rPr>
                <w:sz w:val="20"/>
                <w:szCs w:val="20"/>
                <w:color w:val="auto"/>
              </w:rPr>
            </w:pPr>
            <w:r>
              <w:rPr>
                <w:rFonts w:ascii="Arial" w:cs="Arial" w:eastAsia="Arial" w:hAnsi="Arial"/>
                <w:sz w:val="22"/>
                <w:szCs w:val="22"/>
                <w:color w:val="auto"/>
              </w:rPr>
              <w:t>Name</w:t>
            </w:r>
            <w:r>
              <w:rPr>
                <w:rFonts w:ascii="Arial" w:cs="Arial" w:eastAsia="Arial" w:hAnsi="Arial"/>
                <w:sz w:val="22"/>
                <w:szCs w:val="22"/>
                <w:color w:val="1F497D"/>
              </w:rPr>
              <w:t>:</w:t>
            </w:r>
            <w:r>
              <w:rPr>
                <w:rFonts w:ascii="Arial" w:cs="Arial" w:eastAsia="Arial" w:hAnsi="Arial"/>
                <w:sz w:val="22"/>
                <w:szCs w:val="22"/>
                <w:color w:val="auto"/>
              </w:rPr>
              <w:t xml:space="preserve"> Christine Hutchinson</w:t>
            </w:r>
          </w:p>
        </w:tc>
      </w:tr>
      <w:tr>
        <w:trPr>
          <w:trHeight w:val="275"/>
        </w:trPr>
        <w:tc>
          <w:tcPr>
            <w:tcW w:w="560" w:type="dxa"/>
            <w:vAlign w:val="bottom"/>
          </w:tcPr>
          <w:p>
            <w:pPr>
              <w:spacing w:after="0"/>
              <w:rPr>
                <w:sz w:val="20"/>
                <w:szCs w:val="20"/>
                <w:color w:val="auto"/>
              </w:rPr>
            </w:pPr>
            <w:r>
              <w:rPr>
                <w:rFonts w:ascii="Arial" w:cs="Arial" w:eastAsia="Arial" w:hAnsi="Arial"/>
                <w:sz w:val="22"/>
                <w:szCs w:val="22"/>
                <w:color w:val="auto"/>
              </w:rPr>
              <w:t>Title:</w:t>
            </w:r>
          </w:p>
        </w:tc>
        <w:tc>
          <w:tcPr>
            <w:tcW w:w="2600" w:type="dxa"/>
            <w:vAlign w:val="bottom"/>
            <w:gridSpan w:val="2"/>
          </w:tcPr>
          <w:p>
            <w:pPr>
              <w:ind w:left="120"/>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22"/>
          <w:szCs w:val="22"/>
          <w:i w:val="1"/>
          <w:iCs w:val="1"/>
          <w:color w:val="auto"/>
        </w:rPr>
        <w:t>[Signature Page to First Amendment]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DB1/ 102725325.2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2" w:name="page13"/>
    <w:bookmarkEnd w:id="12"/>
    <w:p>
      <w:pPr>
        <w:ind w:left="6160"/>
        <w:spacing w:after="0"/>
        <w:rPr>
          <w:sz w:val="20"/>
          <w:szCs w:val="20"/>
          <w:color w:val="auto"/>
        </w:rPr>
      </w:pPr>
      <w:r>
        <w:rPr>
          <w:rFonts w:ascii="Arial" w:cs="Arial" w:eastAsia="Arial" w:hAnsi="Arial"/>
          <w:sz w:val="22"/>
          <w:szCs w:val="22"/>
          <w:u w:val="single" w:color="auto"/>
          <w:color w:val="auto"/>
        </w:rPr>
        <w:t>LENDERS</w:t>
      </w:r>
      <w:r>
        <w:rPr>
          <w:rFonts w:ascii="Arial" w:cs="Arial" w:eastAsia="Arial" w:hAnsi="Arial"/>
          <w:sz w:val="22"/>
          <w:szCs w:val="22"/>
          <w:color w:val="auto"/>
        </w:rPr>
        <w:t>:</w:t>
      </w:r>
    </w:p>
    <w:p>
      <w:pPr>
        <w:spacing w:after="0" w:line="205"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Revolving Lender, a FILO</w:t>
      </w:r>
    </w:p>
    <w:p>
      <w:pPr>
        <w:spacing w:after="0" w:line="4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Lender, L/C Issuer and Swing Line Lender</w:t>
      </w:r>
    </w:p>
    <w:p>
      <w:pPr>
        <w:spacing w:after="0" w:line="200"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Christine Hutchinson</w:t>
      </w:r>
    </w:p>
    <w:p>
      <w:pPr>
        <w:spacing w:after="0" w:line="15" w:lineRule="exact"/>
        <w:rPr>
          <w:sz w:val="20"/>
          <w:szCs w:val="20"/>
          <w:color w:val="auto"/>
        </w:rPr>
      </w:pPr>
    </w:p>
    <w:p>
      <w:pPr>
        <w:ind w:left="6160"/>
        <w:spacing w:after="0"/>
        <w:tabs>
          <w:tab w:leader="none" w:pos="73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Christine Hutchinson</w:t>
      </w:r>
    </w:p>
    <w:p>
      <w:pPr>
        <w:ind w:left="616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22"/>
          <w:szCs w:val="22"/>
          <w:i w:val="1"/>
          <w:iCs w:val="1"/>
          <w:color w:val="auto"/>
        </w:rPr>
        <w:t>[Signature Page to First Amendment]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DB1/ 102725325.2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334" w:right="559" w:bottom="1440" w:gutter="0" w:footer="0" w:header="0"/>
        </w:sectPr>
      </w:pPr>
    </w:p>
    <w:bookmarkStart w:id="13" w:name="page14"/>
    <w:bookmarkEnd w:id="13"/>
    <w:p>
      <w:pPr>
        <w:ind w:left="6160"/>
        <w:spacing w:after="0"/>
        <w:rPr>
          <w:sz w:val="20"/>
          <w:szCs w:val="20"/>
          <w:color w:val="auto"/>
        </w:rPr>
      </w:pPr>
      <w:r>
        <w:rPr>
          <w:rFonts w:ascii="Arial" w:cs="Arial" w:eastAsia="Arial" w:hAnsi="Arial"/>
          <w:sz w:val="19"/>
          <w:szCs w:val="19"/>
          <w:b w:val="1"/>
          <w:bCs w:val="1"/>
          <w:color w:val="auto"/>
        </w:rPr>
        <w:t>WELLS FARGO BANK, NATIONAL ASSOCIATION</w:t>
      </w:r>
      <w:r>
        <w:rPr>
          <w:rFonts w:ascii="Arial" w:cs="Arial" w:eastAsia="Arial" w:hAnsi="Arial"/>
          <w:sz w:val="19"/>
          <w:szCs w:val="19"/>
          <w:color w:val="auto"/>
        </w:rPr>
        <w:t>, as a</w:t>
      </w:r>
    </w:p>
    <w:p>
      <w:pPr>
        <w:spacing w:after="0" w:line="3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Revolving Lender and a FILO Lender</w:t>
      </w:r>
    </w:p>
    <w:p>
      <w:pPr>
        <w:spacing w:after="0" w:line="189"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540" w:type="dxa"/>
            <w:vAlign w:val="bottom"/>
          </w:tcPr>
          <w:p>
            <w:pPr>
              <w:spacing w:after="0"/>
              <w:rPr>
                <w:sz w:val="19"/>
                <w:szCs w:val="19"/>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8"/>
              </w:rPr>
              <w:t>/s/ Michael Watson</w:t>
            </w:r>
          </w:p>
        </w:tc>
      </w:tr>
      <w:tr>
        <w:trPr>
          <w:trHeight w:val="233"/>
        </w:trPr>
        <w:tc>
          <w:tcPr>
            <w:tcW w:w="2540" w:type="dxa"/>
            <w:vAlign w:val="bottom"/>
            <w:gridSpan w:val="3"/>
          </w:tcPr>
          <w:p>
            <w:pPr>
              <w:spacing w:after="0"/>
              <w:rPr>
                <w:sz w:val="20"/>
                <w:szCs w:val="20"/>
                <w:color w:val="auto"/>
              </w:rPr>
            </w:pPr>
            <w:r>
              <w:rPr>
                <w:rFonts w:ascii="Arial" w:cs="Arial" w:eastAsia="Arial" w:hAnsi="Arial"/>
                <w:sz w:val="20"/>
                <w:szCs w:val="20"/>
                <w:color w:val="auto"/>
              </w:rPr>
              <w:t>Name: Michael Watson</w:t>
            </w:r>
          </w:p>
        </w:tc>
      </w:tr>
      <w:tr>
        <w:trPr>
          <w:trHeight w:val="250"/>
        </w:trPr>
        <w:tc>
          <w:tcPr>
            <w:tcW w:w="480" w:type="dxa"/>
            <w:vAlign w:val="bottom"/>
          </w:tcPr>
          <w:p>
            <w:pPr>
              <w:spacing w:after="0"/>
              <w:rPr>
                <w:sz w:val="20"/>
                <w:szCs w:val="20"/>
                <w:color w:val="auto"/>
              </w:rPr>
            </w:pPr>
            <w:r>
              <w:rPr>
                <w:rFonts w:ascii="Arial" w:cs="Arial" w:eastAsia="Arial" w:hAnsi="Arial"/>
                <w:sz w:val="20"/>
                <w:szCs w:val="20"/>
                <w:color w:val="auto"/>
              </w:rPr>
              <w:t>Title:</w:t>
            </w:r>
          </w:p>
        </w:tc>
        <w:tc>
          <w:tcPr>
            <w:tcW w:w="2060" w:type="dxa"/>
            <w:vAlign w:val="bottom"/>
            <w:gridSpan w:val="2"/>
          </w:tcPr>
          <w:p>
            <w:pPr>
              <w:ind w:left="80"/>
              <w:spacing w:after="0"/>
              <w:rPr>
                <w:sz w:val="20"/>
                <w:szCs w:val="20"/>
                <w:color w:val="auto"/>
              </w:rPr>
            </w:pPr>
            <w:r>
              <w:rPr>
                <w:rFonts w:ascii="Arial" w:cs="Arial" w:eastAsia="Arial" w:hAnsi="Arial"/>
                <w:sz w:val="20"/>
                <w:szCs w:val="20"/>
                <w:color w:val="auto"/>
              </w:rPr>
              <w:t>Authorized Signatory</w:t>
            </w:r>
          </w:p>
        </w:tc>
      </w:tr>
    </w:tbl>
    <w:p>
      <w:pPr>
        <w:spacing w:after="0" w:line="191"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[Signature Page to First Amendment]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DB1/ 102725325.2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333" w:right="459" w:bottom="1440" w:gutter="0" w:footer="0" w:header="0"/>
        </w:sectPr>
      </w:pPr>
    </w:p>
    <w:bookmarkStart w:id="14" w:name="page15"/>
    <w:bookmarkEnd w:id="14"/>
    <w:p>
      <w:pPr>
        <w:ind w:left="6160"/>
        <w:spacing w:after="0"/>
        <w:rPr>
          <w:sz w:val="20"/>
          <w:szCs w:val="20"/>
          <w:color w:val="auto"/>
        </w:rPr>
      </w:pPr>
      <w:r>
        <w:rPr>
          <w:rFonts w:ascii="Arial" w:cs="Arial" w:eastAsia="Arial" w:hAnsi="Arial"/>
          <w:sz w:val="18"/>
          <w:szCs w:val="18"/>
          <w:b w:val="1"/>
          <w:bCs w:val="1"/>
          <w:color w:val="auto"/>
        </w:rPr>
        <w:t>CITIZENS BANK, N.A.</w:t>
      </w:r>
      <w:r>
        <w:rPr>
          <w:rFonts w:ascii="Arial" w:cs="Arial" w:eastAsia="Arial" w:hAnsi="Arial"/>
          <w:sz w:val="18"/>
          <w:szCs w:val="18"/>
          <w:color w:val="auto"/>
        </w:rPr>
        <w:t>, as a Revolving Lender</w:t>
      </w:r>
    </w:p>
    <w:p>
      <w:pPr>
        <w:spacing w:after="0" w:line="24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Christine Scott</w:t>
      </w:r>
    </w:p>
    <w:p>
      <w:pPr>
        <w:spacing w:after="0" w:line="15" w:lineRule="exact"/>
        <w:rPr>
          <w:sz w:val="20"/>
          <w:szCs w:val="20"/>
          <w:color w:val="auto"/>
        </w:rPr>
      </w:pPr>
    </w:p>
    <w:p>
      <w:pPr>
        <w:ind w:left="6160"/>
        <w:spacing w:after="0"/>
        <w:tabs>
          <w:tab w:leader="none" w:pos="73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Christine Scott</w:t>
      </w:r>
    </w:p>
    <w:p>
      <w:pPr>
        <w:ind w:left="616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80"/>
        <w:spacing w:after="0"/>
        <w:rPr>
          <w:sz w:val="20"/>
          <w:szCs w:val="20"/>
          <w:color w:val="auto"/>
        </w:rPr>
      </w:pPr>
      <w:r>
        <w:rPr>
          <w:rFonts w:ascii="Arial" w:cs="Arial" w:eastAsia="Arial" w:hAnsi="Arial"/>
          <w:sz w:val="22"/>
          <w:szCs w:val="22"/>
          <w:i w:val="1"/>
          <w:iCs w:val="1"/>
          <w:color w:val="auto"/>
        </w:rPr>
        <w:t>[Signature Page to First Amendment]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DB1/ 102725325.2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sectPr>
      </w:pPr>
    </w:p>
    <w:bookmarkStart w:id="15" w:name="page16"/>
    <w:bookmarkEnd w:id="15"/>
    <w:p>
      <w:pPr>
        <w:jc w:val="center"/>
        <w:ind w:right="-1200"/>
        <w:spacing w:after="0"/>
        <w:rPr>
          <w:sz w:val="20"/>
          <w:szCs w:val="20"/>
          <w:color w:val="auto"/>
        </w:rPr>
      </w:pPr>
      <w:r>
        <w:rPr>
          <w:rFonts w:ascii="Arial" w:cs="Arial" w:eastAsia="Arial" w:hAnsi="Arial"/>
          <w:sz w:val="22"/>
          <w:szCs w:val="22"/>
          <w:color w:val="auto"/>
        </w:rPr>
        <w:t>ANNEX A</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u w:val="single" w:color="auto"/>
          <w:color w:val="auto"/>
        </w:rPr>
        <w:t>Exhibit F</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19"/>
          <w:szCs w:val="19"/>
          <w:u w:val="single" w:color="auto"/>
          <w:color w:val="auto"/>
        </w:rPr>
        <w:t>Form of Borrowing Base Certificate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360"/>
        <w:spacing w:after="0"/>
        <w:rPr>
          <w:sz w:val="20"/>
          <w:szCs w:val="20"/>
          <w:color w:val="auto"/>
        </w:rPr>
      </w:pPr>
      <w:r>
        <w:rPr>
          <w:rFonts w:ascii="Arial" w:cs="Arial" w:eastAsia="Arial" w:hAnsi="Arial"/>
          <w:sz w:val="22"/>
          <w:szCs w:val="22"/>
          <w:i w:val="1"/>
          <w:iCs w:val="1"/>
          <w:color w:val="auto"/>
        </w:rPr>
        <w:t>Annex A</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DB1/ 102725325.2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16" w:name="page17"/>
    <w:bookmarkEnd w:id="16"/>
    <w:p>
      <w:pPr>
        <w:spacing w:after="0"/>
        <w:rPr>
          <w:sz w:val="20"/>
          <w:szCs w:val="20"/>
          <w:color w:val="auto"/>
        </w:rPr>
      </w:pPr>
      <w:r>
        <w:rPr>
          <w:rFonts w:ascii="Arial" w:cs="Arial" w:eastAsia="Arial" w:hAnsi="Arial"/>
          <w:sz w:val="11"/>
          <w:szCs w:val="11"/>
          <w:b w:val="1"/>
          <w:bCs w:val="1"/>
          <w:color w:val="auto"/>
        </w:rPr>
        <w:t>Destination XL Group, Inc.</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Revolver Borrowing Base Certificate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20" w:type="dxa"/>
            <w:vAlign w:val="bottom"/>
            <w:gridSpan w:val="5"/>
          </w:tcPr>
          <w:p>
            <w:pPr>
              <w:spacing w:after="0"/>
              <w:rPr>
                <w:sz w:val="20"/>
                <w:szCs w:val="20"/>
                <w:color w:val="auto"/>
              </w:rPr>
            </w:pPr>
            <w:r>
              <w:rPr>
                <w:rFonts w:ascii="Arial" w:cs="Arial" w:eastAsia="Arial" w:hAnsi="Arial"/>
                <w:sz w:val="11"/>
                <w:szCs w:val="11"/>
                <w:color w:val="auto"/>
              </w:rPr>
              <w:t>Email to:</w:t>
            </w:r>
          </w:p>
        </w:tc>
        <w:tc>
          <w:tcPr>
            <w:tcW w:w="240" w:type="dxa"/>
            <w:vAlign w:val="bottom"/>
          </w:tcPr>
          <w:p>
            <w:pPr>
              <w:spacing w:after="0"/>
              <w:rPr>
                <w:sz w:val="10"/>
                <w:szCs w:val="10"/>
                <w:color w:val="auto"/>
              </w:rPr>
            </w:pPr>
          </w:p>
        </w:tc>
        <w:tc>
          <w:tcPr>
            <w:tcW w:w="2820" w:type="dxa"/>
            <w:vAlign w:val="bottom"/>
            <w:gridSpan w:val="4"/>
          </w:tcPr>
          <w:p>
            <w:pPr>
              <w:ind w:left="720"/>
              <w:spacing w:after="0"/>
              <w:rPr>
                <w:sz w:val="20"/>
                <w:szCs w:val="20"/>
                <w:color w:val="auto"/>
              </w:rPr>
            </w:pPr>
            <w:r>
              <w:rPr>
                <w:rFonts w:ascii="Arial" w:cs="Arial" w:eastAsia="Arial" w:hAnsi="Arial"/>
                <w:sz w:val="11"/>
                <w:szCs w:val="11"/>
                <w:color w:val="auto"/>
              </w:rPr>
              <w:t>Certificate No.</w:t>
            </w: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540" w:type="dxa"/>
            <w:vAlign w:val="bottom"/>
            <w:gridSpan w:val="2"/>
          </w:tcPr>
          <w:p>
            <w:pPr>
              <w:spacing w:after="0"/>
              <w:rPr>
                <w:sz w:val="20"/>
                <w:szCs w:val="20"/>
                <w:color w:val="auto"/>
              </w:rPr>
            </w:pPr>
            <w:r>
              <w:rPr>
                <w:rFonts w:ascii="Arial" w:cs="Arial" w:eastAsia="Arial" w:hAnsi="Arial"/>
                <w:sz w:val="11"/>
                <w:szCs w:val="11"/>
                <w:color w:val="auto"/>
              </w:rPr>
              <w:t>[]</w:t>
            </w:r>
          </w:p>
        </w:tc>
        <w:tc>
          <w:tcPr>
            <w:tcW w:w="35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900" w:type="dxa"/>
            <w:vAlign w:val="bottom"/>
            <w:gridSpan w:val="5"/>
          </w:tcPr>
          <w:p>
            <w:pPr>
              <w:jc w:val="right"/>
              <w:ind w:right="1433"/>
              <w:spacing w:after="0"/>
              <w:rPr>
                <w:sz w:val="20"/>
                <w:szCs w:val="20"/>
                <w:color w:val="auto"/>
              </w:rPr>
            </w:pPr>
            <w:r>
              <w:rPr>
                <w:rFonts w:ascii="Arial" w:cs="Arial" w:eastAsia="Arial" w:hAnsi="Arial"/>
                <w:sz w:val="11"/>
                <w:szCs w:val="11"/>
                <w:color w:val="auto"/>
              </w:rPr>
              <w:t>Certificate Date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40" w:type="dxa"/>
            <w:vAlign w:val="bottom"/>
            <w:gridSpan w:val="2"/>
          </w:tcPr>
          <w:p>
            <w:pPr>
              <w:spacing w:after="0"/>
              <w:rPr>
                <w:sz w:val="20"/>
                <w:szCs w:val="20"/>
                <w:color w:val="auto"/>
              </w:rPr>
            </w:pPr>
            <w:r>
              <w:rPr>
                <w:rFonts w:ascii="Arial" w:cs="Arial" w:eastAsia="Arial" w:hAnsi="Arial"/>
                <w:sz w:val="11"/>
                <w:szCs w:val="11"/>
                <w:u w:val="single" w:color="auto"/>
                <w:color w:val="auto"/>
              </w:rPr>
              <w:t>[]</w:t>
            </w:r>
          </w:p>
        </w:tc>
        <w:tc>
          <w:tcPr>
            <w:tcW w:w="35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At Cost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120" w:type="dxa"/>
            <w:vAlign w:val="bottom"/>
            <w:gridSpan w:val="3"/>
          </w:tcPr>
          <w:p>
            <w:pPr>
              <w:spacing w:after="0"/>
              <w:rPr>
                <w:sz w:val="20"/>
                <w:szCs w:val="20"/>
                <w:color w:val="auto"/>
              </w:rPr>
            </w:pPr>
            <w:r>
              <w:rPr>
                <w:rFonts w:ascii="Arial" w:cs="Arial" w:eastAsia="Arial" w:hAnsi="Arial"/>
                <w:sz w:val="11"/>
                <w:szCs w:val="11"/>
                <w:color w:val="auto"/>
              </w:rPr>
              <w:t>Beginning Inventory as of:</w:t>
            </w:r>
          </w:p>
        </w:tc>
        <w:tc>
          <w:tcPr>
            <w:tcW w:w="2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Add: Receiving/ Purchases</w:t>
            </w:r>
          </w:p>
        </w:tc>
        <w:tc>
          <w:tcPr>
            <w:tcW w:w="2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Add: Purchase Accrual (ASN)</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Add: Reverse ASN Accrual</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Add: Freight</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Less: Net Sales @ Retail (memo only)</w:t>
            </w:r>
          </w:p>
        </w:tc>
        <w:tc>
          <w:tcPr>
            <w:tcW w:w="240" w:type="dxa"/>
            <w:vAlign w:val="bottom"/>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Less: Cost of Goods Sold @ Cost</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Total Adds/ (Reductions)</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At Cost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120" w:type="dxa"/>
            <w:vAlign w:val="bottom"/>
            <w:gridSpan w:val="3"/>
          </w:tcPr>
          <w:p>
            <w:pPr>
              <w:spacing w:after="0"/>
              <w:rPr>
                <w:sz w:val="20"/>
                <w:szCs w:val="20"/>
                <w:color w:val="auto"/>
              </w:rPr>
            </w:pPr>
            <w:r>
              <w:rPr>
                <w:rFonts w:ascii="Arial" w:cs="Arial" w:eastAsia="Arial" w:hAnsi="Arial"/>
                <w:sz w:val="11"/>
                <w:szCs w:val="11"/>
                <w:color w:val="auto"/>
              </w:rPr>
              <w:t>Ending Inventory as of:</w:t>
            </w: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40" w:type="dxa"/>
            <w:vAlign w:val="bottom"/>
            <w:gridSpan w:val="6"/>
          </w:tcPr>
          <w:p>
            <w:pPr>
              <w:jc w:val="right"/>
              <w:ind w:right="13"/>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Less: Shrinkage at Cost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Less: RTV Inventory</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7620" w:type="dxa"/>
            <w:vAlign w:val="bottom"/>
            <w:gridSpan w:val="5"/>
          </w:tcPr>
          <w:p>
            <w:pPr>
              <w:spacing w:after="0"/>
              <w:rPr>
                <w:sz w:val="20"/>
                <w:szCs w:val="20"/>
                <w:color w:val="auto"/>
              </w:rPr>
            </w:pPr>
            <w:r>
              <w:rPr>
                <w:rFonts w:ascii="Arial" w:cs="Arial" w:eastAsia="Arial" w:hAnsi="Arial"/>
                <w:sz w:val="11"/>
                <w:szCs w:val="11"/>
                <w:color w:val="auto"/>
              </w:rPr>
              <w:t>Eligible Inventory</w:t>
            </w:r>
          </w:p>
        </w:tc>
        <w:tc>
          <w:tcPr>
            <w:tcW w:w="2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0" w:type="dxa"/>
            <w:vAlign w:val="bottom"/>
            <w:gridSpan w:val="4"/>
          </w:tcPr>
          <w:p>
            <w:pPr>
              <w:ind w:left="360"/>
              <w:spacing w:after="0"/>
              <w:rPr>
                <w:sz w:val="20"/>
                <w:szCs w:val="20"/>
                <w:color w:val="auto"/>
              </w:rPr>
            </w:pPr>
            <w:r>
              <w:rPr>
                <w:rFonts w:ascii="Arial" w:cs="Arial" w:eastAsia="Arial" w:hAnsi="Arial"/>
                <w:sz w:val="11"/>
                <w:szCs w:val="11"/>
                <w:color w:val="auto"/>
              </w:rPr>
              <w:t>NOLV</w:t>
            </w:r>
          </w:p>
        </w:tc>
        <w:tc>
          <w:tcPr>
            <w:tcW w:w="2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1"/>
                <w:szCs w:val="11"/>
                <w:color w:val="auto"/>
              </w:rPr>
              <w:t>101.8%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0" w:type="dxa"/>
            <w:vAlign w:val="bottom"/>
            <w:gridSpan w:val="4"/>
          </w:tcPr>
          <w:p>
            <w:pPr>
              <w:ind w:left="360"/>
              <w:spacing w:after="0"/>
              <w:rPr>
                <w:sz w:val="20"/>
                <w:szCs w:val="20"/>
                <w:color w:val="auto"/>
              </w:rPr>
            </w:pPr>
            <w:r>
              <w:rPr>
                <w:rFonts w:ascii="Arial" w:cs="Arial" w:eastAsia="Arial" w:hAnsi="Arial"/>
                <w:sz w:val="11"/>
                <w:szCs w:val="11"/>
                <w:color w:val="auto"/>
              </w:rPr>
              <w:t>Advance Rate</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1"/>
                <w:szCs w:val="11"/>
                <w:color w:val="auto"/>
              </w:rPr>
              <w:t>90.0%</w:t>
            </w: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20" w:type="dxa"/>
            <w:vAlign w:val="bottom"/>
            <w:gridSpan w:val="5"/>
          </w:tcPr>
          <w:p>
            <w:pPr>
              <w:spacing w:after="0"/>
              <w:rPr>
                <w:sz w:val="20"/>
                <w:szCs w:val="20"/>
                <w:color w:val="auto"/>
              </w:rPr>
            </w:pPr>
            <w:r>
              <w:rPr>
                <w:rFonts w:ascii="Arial" w:cs="Arial" w:eastAsia="Arial" w:hAnsi="Arial"/>
                <w:sz w:val="11"/>
                <w:szCs w:val="11"/>
                <w:b w:val="1"/>
                <w:bCs w:val="1"/>
                <w:color w:val="auto"/>
              </w:rPr>
              <w:t>Total Inventory Availability</w:t>
            </w:r>
          </w:p>
        </w:tc>
        <w:tc>
          <w:tcPr>
            <w:tcW w:w="3140" w:type="dxa"/>
            <w:vAlign w:val="bottom"/>
            <w:gridSpan w:val="6"/>
          </w:tcPr>
          <w:p>
            <w:pPr>
              <w:jc w:val="right"/>
              <w:ind w:right="13"/>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9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20" w:type="dxa"/>
            <w:vAlign w:val="bottom"/>
            <w:gridSpan w:val="5"/>
          </w:tcPr>
          <w:p>
            <w:pPr>
              <w:spacing w:after="0"/>
              <w:rPr>
                <w:sz w:val="20"/>
                <w:szCs w:val="20"/>
                <w:color w:val="auto"/>
              </w:rPr>
            </w:pPr>
            <w:r>
              <w:rPr>
                <w:rFonts w:ascii="Arial" w:cs="Arial" w:eastAsia="Arial" w:hAnsi="Arial"/>
                <w:sz w:val="11"/>
                <w:szCs w:val="11"/>
                <w:color w:val="auto"/>
              </w:rPr>
              <w:t>Eligible LC Inventory</w:t>
            </w:r>
          </w:p>
        </w:tc>
        <w:tc>
          <w:tcPr>
            <w:tcW w:w="2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0" w:type="dxa"/>
            <w:vAlign w:val="bottom"/>
            <w:gridSpan w:val="4"/>
          </w:tcPr>
          <w:p>
            <w:pPr>
              <w:ind w:left="360"/>
              <w:spacing w:after="0"/>
              <w:rPr>
                <w:sz w:val="20"/>
                <w:szCs w:val="20"/>
                <w:color w:val="auto"/>
              </w:rPr>
            </w:pPr>
            <w:r>
              <w:rPr>
                <w:rFonts w:ascii="Arial" w:cs="Arial" w:eastAsia="Arial" w:hAnsi="Arial"/>
                <w:sz w:val="11"/>
                <w:szCs w:val="11"/>
                <w:color w:val="auto"/>
              </w:rPr>
              <w:t>NOLV</w:t>
            </w:r>
          </w:p>
        </w:tc>
        <w:tc>
          <w:tcPr>
            <w:tcW w:w="2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1"/>
                <w:szCs w:val="11"/>
                <w:color w:val="auto"/>
              </w:rPr>
              <w:t>101.8%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0" w:type="dxa"/>
            <w:vAlign w:val="bottom"/>
            <w:gridSpan w:val="4"/>
          </w:tcPr>
          <w:p>
            <w:pPr>
              <w:ind w:left="360"/>
              <w:spacing w:after="0"/>
              <w:rPr>
                <w:sz w:val="20"/>
                <w:szCs w:val="20"/>
                <w:color w:val="auto"/>
              </w:rPr>
            </w:pPr>
            <w:r>
              <w:rPr>
                <w:rFonts w:ascii="Arial" w:cs="Arial" w:eastAsia="Arial" w:hAnsi="Arial"/>
                <w:sz w:val="11"/>
                <w:szCs w:val="11"/>
                <w:color w:val="auto"/>
              </w:rPr>
              <w:t>Advance Rate</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1"/>
                <w:szCs w:val="11"/>
                <w:color w:val="auto"/>
              </w:rPr>
              <w:t>85.0%</w:t>
            </w:r>
          </w:p>
        </w:tc>
        <w:tc>
          <w:tcPr>
            <w:tcW w:w="0" w:type="dxa"/>
            <w:vAlign w:val="bottom"/>
          </w:tcPr>
          <w:p>
            <w:pPr>
              <w:spacing w:after="0"/>
              <w:rPr>
                <w:sz w:val="1"/>
                <w:szCs w:val="1"/>
                <w:color w:val="auto"/>
              </w:rPr>
            </w:pPr>
          </w:p>
        </w:tc>
      </w:tr>
      <w:tr>
        <w:trPr>
          <w:trHeight w:val="129"/>
        </w:trPr>
        <w:tc>
          <w:tcPr>
            <w:tcW w:w="7620" w:type="dxa"/>
            <w:vAlign w:val="bottom"/>
            <w:gridSpan w:val="5"/>
          </w:tcPr>
          <w:p>
            <w:pPr>
              <w:spacing w:after="0"/>
              <w:rPr>
                <w:sz w:val="20"/>
                <w:szCs w:val="20"/>
                <w:color w:val="auto"/>
              </w:rPr>
            </w:pPr>
            <w:r>
              <w:rPr>
                <w:rFonts w:ascii="Arial" w:cs="Arial" w:eastAsia="Arial" w:hAnsi="Arial"/>
                <w:sz w:val="11"/>
                <w:szCs w:val="11"/>
                <w:b w:val="1"/>
                <w:bCs w:val="1"/>
                <w:color w:val="auto"/>
              </w:rPr>
              <w:t>Total LC Inventory Availability</w:t>
            </w:r>
          </w:p>
        </w:tc>
        <w:tc>
          <w:tcPr>
            <w:tcW w:w="3060" w:type="dxa"/>
            <w:vAlign w:val="bottom"/>
            <w:gridSpan w:val="5"/>
          </w:tcPr>
          <w:p>
            <w:pPr>
              <w:spacing w:after="0"/>
              <w:rPr>
                <w:sz w:val="11"/>
                <w:szCs w:val="11"/>
                <w:color w:val="auto"/>
              </w:rPr>
            </w:pPr>
          </w:p>
        </w:tc>
        <w:tc>
          <w:tcPr>
            <w:tcW w:w="80" w:type="dxa"/>
            <w:vAlign w:val="bottom"/>
            <w:tcBorders>
              <w:top w:val="single" w:sz="8" w:color="auto"/>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9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20" w:type="dxa"/>
            <w:vAlign w:val="bottom"/>
            <w:gridSpan w:val="5"/>
          </w:tcPr>
          <w:p>
            <w:pPr>
              <w:spacing w:after="0"/>
              <w:rPr>
                <w:sz w:val="20"/>
                <w:szCs w:val="20"/>
                <w:color w:val="auto"/>
              </w:rPr>
            </w:pPr>
            <w:r>
              <w:rPr>
                <w:rFonts w:ascii="Arial" w:cs="Arial" w:eastAsia="Arial" w:hAnsi="Arial"/>
                <w:sz w:val="11"/>
                <w:szCs w:val="11"/>
                <w:color w:val="auto"/>
              </w:rPr>
              <w:t>Eligible In-Transit Inventory</w:t>
            </w:r>
          </w:p>
        </w:tc>
        <w:tc>
          <w:tcPr>
            <w:tcW w:w="2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Less: Ineligibles (&gt;45 days from shipment)</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0" w:type="dxa"/>
            <w:vAlign w:val="bottom"/>
            <w:gridSpan w:val="4"/>
          </w:tcPr>
          <w:p>
            <w:pPr>
              <w:ind w:left="360"/>
              <w:spacing w:after="0"/>
              <w:rPr>
                <w:sz w:val="20"/>
                <w:szCs w:val="20"/>
                <w:color w:val="auto"/>
              </w:rPr>
            </w:pPr>
            <w:r>
              <w:rPr>
                <w:rFonts w:ascii="Arial" w:cs="Arial" w:eastAsia="Arial" w:hAnsi="Arial"/>
                <w:sz w:val="11"/>
                <w:szCs w:val="11"/>
                <w:color w:val="auto"/>
              </w:rPr>
              <w:t>NOLV</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1"/>
                <w:szCs w:val="11"/>
                <w:color w:val="auto"/>
              </w:rPr>
              <w:t>101.8%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0" w:type="dxa"/>
            <w:vAlign w:val="bottom"/>
            <w:gridSpan w:val="4"/>
          </w:tcPr>
          <w:p>
            <w:pPr>
              <w:ind w:left="360"/>
              <w:spacing w:after="0"/>
              <w:rPr>
                <w:sz w:val="20"/>
                <w:szCs w:val="20"/>
                <w:color w:val="auto"/>
              </w:rPr>
            </w:pPr>
            <w:r>
              <w:rPr>
                <w:rFonts w:ascii="Arial" w:cs="Arial" w:eastAsia="Arial" w:hAnsi="Arial"/>
                <w:sz w:val="11"/>
                <w:szCs w:val="11"/>
                <w:color w:val="auto"/>
              </w:rPr>
              <w:t>Advance Rate</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1"/>
                <w:szCs w:val="11"/>
                <w:color w:val="auto"/>
              </w:rPr>
              <w:t>80.0%</w:t>
            </w:r>
          </w:p>
        </w:tc>
        <w:tc>
          <w:tcPr>
            <w:tcW w:w="0" w:type="dxa"/>
            <w:vAlign w:val="bottom"/>
          </w:tcPr>
          <w:p>
            <w:pPr>
              <w:spacing w:after="0"/>
              <w:rPr>
                <w:sz w:val="1"/>
                <w:szCs w:val="1"/>
                <w:color w:val="auto"/>
              </w:rPr>
            </w:pPr>
          </w:p>
        </w:tc>
      </w:tr>
      <w:tr>
        <w:trPr>
          <w:trHeight w:val="129"/>
        </w:trPr>
        <w:tc>
          <w:tcPr>
            <w:tcW w:w="7620" w:type="dxa"/>
            <w:vAlign w:val="bottom"/>
            <w:gridSpan w:val="5"/>
          </w:tcPr>
          <w:p>
            <w:pPr>
              <w:spacing w:after="0"/>
              <w:rPr>
                <w:sz w:val="20"/>
                <w:szCs w:val="20"/>
                <w:color w:val="auto"/>
              </w:rPr>
            </w:pPr>
            <w:r>
              <w:rPr>
                <w:rFonts w:ascii="Arial" w:cs="Arial" w:eastAsia="Arial" w:hAnsi="Arial"/>
                <w:sz w:val="11"/>
                <w:szCs w:val="11"/>
                <w:b w:val="1"/>
                <w:bCs w:val="1"/>
                <w:color w:val="auto"/>
              </w:rPr>
              <w:t>Total In-Transit Inventory Availability</w:t>
            </w:r>
          </w:p>
        </w:tc>
        <w:tc>
          <w:tcPr>
            <w:tcW w:w="3060" w:type="dxa"/>
            <w:vAlign w:val="bottom"/>
            <w:gridSpan w:val="5"/>
          </w:tcPr>
          <w:p>
            <w:pPr>
              <w:spacing w:after="0"/>
              <w:rPr>
                <w:sz w:val="11"/>
                <w:szCs w:val="11"/>
                <w:color w:val="auto"/>
              </w:rPr>
            </w:pPr>
          </w:p>
        </w:tc>
        <w:tc>
          <w:tcPr>
            <w:tcW w:w="80" w:type="dxa"/>
            <w:vAlign w:val="bottom"/>
            <w:tcBorders>
              <w:top w:val="single" w:sz="8" w:color="auto"/>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9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20" w:type="dxa"/>
            <w:vAlign w:val="bottom"/>
            <w:gridSpan w:val="3"/>
          </w:tcPr>
          <w:p>
            <w:pPr>
              <w:spacing w:after="0"/>
              <w:rPr>
                <w:sz w:val="20"/>
                <w:szCs w:val="20"/>
                <w:color w:val="auto"/>
              </w:rPr>
            </w:pPr>
            <w:r>
              <w:rPr>
                <w:rFonts w:ascii="Arial" w:cs="Arial" w:eastAsia="Arial" w:hAnsi="Arial"/>
                <w:sz w:val="11"/>
                <w:szCs w:val="11"/>
                <w:color w:val="auto"/>
              </w:rPr>
              <w:t>Eligible Credit Card Receivables as of:</w:t>
            </w:r>
          </w:p>
        </w:tc>
        <w:tc>
          <w:tcPr>
            <w:tcW w:w="2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600" w:type="dxa"/>
            <w:vAlign w:val="bottom"/>
            <w:gridSpan w:val="4"/>
          </w:tcPr>
          <w:p>
            <w:pPr>
              <w:ind w:left="360"/>
              <w:spacing w:after="0"/>
              <w:rPr>
                <w:sz w:val="20"/>
                <w:szCs w:val="20"/>
                <w:color w:val="auto"/>
              </w:rPr>
            </w:pPr>
            <w:r>
              <w:rPr>
                <w:rFonts w:ascii="Arial" w:cs="Arial" w:eastAsia="Arial" w:hAnsi="Arial"/>
                <w:sz w:val="11"/>
                <w:szCs w:val="11"/>
                <w:color w:val="auto"/>
              </w:rPr>
              <w:t>Advance Rate</w:t>
            </w:r>
          </w:p>
        </w:tc>
        <w:tc>
          <w:tcPr>
            <w:tcW w:w="2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1"/>
                <w:szCs w:val="11"/>
                <w:color w:val="auto"/>
              </w:rPr>
              <w:t>90.0%</w:t>
            </w:r>
          </w:p>
        </w:tc>
        <w:tc>
          <w:tcPr>
            <w:tcW w:w="0" w:type="dxa"/>
            <w:vAlign w:val="bottom"/>
          </w:tcPr>
          <w:p>
            <w:pPr>
              <w:spacing w:after="0"/>
              <w:rPr>
                <w:sz w:val="1"/>
                <w:szCs w:val="1"/>
                <w:color w:val="auto"/>
              </w:rPr>
            </w:pPr>
          </w:p>
        </w:tc>
      </w:tr>
      <w:tr>
        <w:trPr>
          <w:trHeight w:val="129"/>
        </w:trPr>
        <w:tc>
          <w:tcPr>
            <w:tcW w:w="7620" w:type="dxa"/>
            <w:vAlign w:val="bottom"/>
            <w:gridSpan w:val="5"/>
          </w:tcPr>
          <w:p>
            <w:pPr>
              <w:spacing w:after="0"/>
              <w:rPr>
                <w:sz w:val="20"/>
                <w:szCs w:val="20"/>
                <w:color w:val="auto"/>
              </w:rPr>
            </w:pPr>
            <w:r>
              <w:rPr>
                <w:rFonts w:ascii="Arial" w:cs="Arial" w:eastAsia="Arial" w:hAnsi="Arial"/>
                <w:sz w:val="11"/>
                <w:szCs w:val="11"/>
                <w:b w:val="1"/>
                <w:bCs w:val="1"/>
                <w:color w:val="auto"/>
              </w:rPr>
              <w:t>Credit Card Receivables Availability</w:t>
            </w:r>
          </w:p>
        </w:tc>
        <w:tc>
          <w:tcPr>
            <w:tcW w:w="3060" w:type="dxa"/>
            <w:vAlign w:val="bottom"/>
            <w:gridSpan w:val="5"/>
          </w:tcPr>
          <w:p>
            <w:pPr>
              <w:spacing w:after="0"/>
              <w:rPr>
                <w:sz w:val="11"/>
                <w:szCs w:val="11"/>
                <w:color w:val="auto"/>
              </w:rPr>
            </w:pPr>
          </w:p>
        </w:tc>
        <w:tc>
          <w:tcPr>
            <w:tcW w:w="80" w:type="dxa"/>
            <w:vAlign w:val="bottom"/>
            <w:tcBorders>
              <w:top w:val="single" w:sz="8" w:color="auto"/>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9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20" w:type="dxa"/>
            <w:vAlign w:val="bottom"/>
            <w:gridSpan w:val="3"/>
          </w:tcPr>
          <w:p>
            <w:pPr>
              <w:spacing w:after="0"/>
              <w:rPr>
                <w:sz w:val="20"/>
                <w:szCs w:val="20"/>
                <w:color w:val="auto"/>
              </w:rPr>
            </w:pPr>
            <w:r>
              <w:rPr>
                <w:rFonts w:ascii="Arial" w:cs="Arial" w:eastAsia="Arial" w:hAnsi="Arial"/>
                <w:sz w:val="11"/>
                <w:szCs w:val="11"/>
                <w:color w:val="auto"/>
              </w:rPr>
              <w:t>Eligible Amazon Receivables as of:</w:t>
            </w:r>
          </w:p>
        </w:tc>
        <w:tc>
          <w:tcPr>
            <w:tcW w:w="2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600" w:type="dxa"/>
            <w:vAlign w:val="bottom"/>
            <w:gridSpan w:val="4"/>
          </w:tcPr>
          <w:p>
            <w:pPr>
              <w:ind w:left="360"/>
              <w:spacing w:after="0"/>
              <w:rPr>
                <w:sz w:val="20"/>
                <w:szCs w:val="20"/>
                <w:color w:val="auto"/>
              </w:rPr>
            </w:pPr>
            <w:r>
              <w:rPr>
                <w:rFonts w:ascii="Arial" w:cs="Arial" w:eastAsia="Arial" w:hAnsi="Arial"/>
                <w:sz w:val="11"/>
                <w:szCs w:val="11"/>
                <w:color w:val="auto"/>
              </w:rPr>
              <w:t>Advance Rate</w:t>
            </w:r>
          </w:p>
        </w:tc>
        <w:tc>
          <w:tcPr>
            <w:tcW w:w="2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1"/>
                <w:szCs w:val="11"/>
                <w:color w:val="auto"/>
              </w:rPr>
              <w:t>85.0%</w:t>
            </w:r>
          </w:p>
        </w:tc>
        <w:tc>
          <w:tcPr>
            <w:tcW w:w="0" w:type="dxa"/>
            <w:vAlign w:val="bottom"/>
          </w:tcPr>
          <w:p>
            <w:pPr>
              <w:spacing w:after="0"/>
              <w:rPr>
                <w:sz w:val="1"/>
                <w:szCs w:val="1"/>
                <w:color w:val="auto"/>
              </w:rPr>
            </w:pPr>
          </w:p>
        </w:tc>
      </w:tr>
      <w:tr>
        <w:trPr>
          <w:trHeight w:val="129"/>
        </w:trPr>
        <w:tc>
          <w:tcPr>
            <w:tcW w:w="7620" w:type="dxa"/>
            <w:vAlign w:val="bottom"/>
            <w:gridSpan w:val="5"/>
          </w:tcPr>
          <w:p>
            <w:pPr>
              <w:spacing w:after="0"/>
              <w:rPr>
                <w:sz w:val="20"/>
                <w:szCs w:val="20"/>
                <w:color w:val="auto"/>
              </w:rPr>
            </w:pPr>
            <w:r>
              <w:rPr>
                <w:rFonts w:ascii="Arial" w:cs="Arial" w:eastAsia="Arial" w:hAnsi="Arial"/>
                <w:sz w:val="11"/>
                <w:szCs w:val="11"/>
                <w:b w:val="1"/>
                <w:bCs w:val="1"/>
                <w:color w:val="auto"/>
              </w:rPr>
              <w:t>Amazon Receivables Availability (Capped at $8 million)</w:t>
            </w:r>
          </w:p>
        </w:tc>
        <w:tc>
          <w:tcPr>
            <w:tcW w:w="3060" w:type="dxa"/>
            <w:vAlign w:val="bottom"/>
            <w:gridSpan w:val="5"/>
          </w:tcPr>
          <w:p>
            <w:pPr>
              <w:spacing w:after="0"/>
              <w:rPr>
                <w:sz w:val="11"/>
                <w:szCs w:val="11"/>
                <w:color w:val="auto"/>
              </w:rPr>
            </w:pPr>
          </w:p>
        </w:tc>
        <w:tc>
          <w:tcPr>
            <w:tcW w:w="80" w:type="dxa"/>
            <w:vAlign w:val="bottom"/>
            <w:tcBorders>
              <w:top w:val="single" w:sz="8" w:color="auto"/>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20" w:type="dxa"/>
            <w:vAlign w:val="bottom"/>
            <w:gridSpan w:val="5"/>
          </w:tcPr>
          <w:p>
            <w:pPr>
              <w:spacing w:after="0"/>
              <w:rPr>
                <w:sz w:val="20"/>
                <w:szCs w:val="20"/>
                <w:color w:val="auto"/>
              </w:rPr>
            </w:pPr>
            <w:r>
              <w:rPr>
                <w:rFonts w:ascii="Arial" w:cs="Arial" w:eastAsia="Arial" w:hAnsi="Arial"/>
                <w:sz w:val="11"/>
                <w:szCs w:val="11"/>
                <w:b w:val="1"/>
                <w:bCs w:val="1"/>
                <w:color w:val="auto"/>
              </w:rPr>
              <w:t>Total Collateral Revolver Availability</w:t>
            </w:r>
          </w:p>
        </w:tc>
        <w:tc>
          <w:tcPr>
            <w:tcW w:w="3140" w:type="dxa"/>
            <w:vAlign w:val="bottom"/>
            <w:gridSpan w:val="6"/>
          </w:tcPr>
          <w:p>
            <w:pPr>
              <w:jc w:val="right"/>
              <w:ind w:right="13"/>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7620" w:type="dxa"/>
            <w:vAlign w:val="bottom"/>
            <w:gridSpan w:val="5"/>
          </w:tcPr>
          <w:p>
            <w:pPr>
              <w:spacing w:after="0"/>
              <w:rPr>
                <w:sz w:val="20"/>
                <w:szCs w:val="20"/>
                <w:color w:val="auto"/>
              </w:rPr>
            </w:pPr>
            <w:r>
              <w:rPr>
                <w:rFonts w:ascii="Arial" w:cs="Arial" w:eastAsia="Arial" w:hAnsi="Arial"/>
                <w:sz w:val="11"/>
                <w:szCs w:val="11"/>
                <w:color w:val="auto"/>
              </w:rPr>
              <w:t>Availability Reserves:</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Less Landlord Reserve: 2 months: PA, VA and</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500" w:type="dxa"/>
            <w:vAlign w:val="bottom"/>
            <w:gridSpan w:val="2"/>
          </w:tcPr>
          <w:p>
            <w:pPr>
              <w:spacing w:after="0" w:line="125" w:lineRule="exact"/>
              <w:rPr>
                <w:sz w:val="20"/>
                <w:szCs w:val="20"/>
                <w:color w:val="auto"/>
              </w:rPr>
            </w:pPr>
            <w:r>
              <w:rPr>
                <w:rFonts w:ascii="Arial" w:cs="Arial" w:eastAsia="Arial" w:hAnsi="Arial"/>
                <w:sz w:val="11"/>
                <w:szCs w:val="11"/>
                <w:color w:val="auto"/>
              </w:rPr>
              <w:t>Wash.</w:t>
            </w:r>
          </w:p>
        </w:tc>
        <w:tc>
          <w:tcPr>
            <w:tcW w:w="2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Less Gift Certificate Merchandise Credits</w:t>
            </w:r>
          </w:p>
        </w:tc>
        <w:tc>
          <w:tcPr>
            <w:tcW w:w="240" w:type="dxa"/>
            <w:vAlign w:val="bottom"/>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580" w:type="dxa"/>
            <w:vAlign w:val="bottom"/>
          </w:tcPr>
          <w:p>
            <w:pPr>
              <w:jc w:val="right"/>
              <w:ind w:right="126"/>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Customer Deposits (TCM&amp; Rochester)</w:t>
            </w:r>
          </w:p>
        </w:tc>
        <w:tc>
          <w:tcPr>
            <w:tcW w:w="2940" w:type="dxa"/>
            <w:vAlign w:val="bottom"/>
            <w:gridSpan w:val="3"/>
          </w:tcPr>
          <w:p>
            <w:pPr>
              <w:jc w:val="right"/>
              <w:ind w:right="106"/>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FILO Pushdown Reserve</w:t>
            </w:r>
          </w:p>
        </w:tc>
        <w:tc>
          <w:tcPr>
            <w:tcW w:w="240" w:type="dxa"/>
            <w:vAlign w:val="bottom"/>
          </w:tcPr>
          <w:p>
            <w:pPr>
              <w:spacing w:after="0"/>
              <w:rPr>
                <w:sz w:val="11"/>
                <w:szCs w:val="11"/>
                <w:color w:val="auto"/>
              </w:rPr>
            </w:pPr>
          </w:p>
        </w:tc>
        <w:tc>
          <w:tcPr>
            <w:tcW w:w="212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20" w:type="dxa"/>
            <w:vAlign w:val="bottom"/>
            <w:gridSpan w:val="5"/>
          </w:tcPr>
          <w:p>
            <w:pPr>
              <w:spacing w:after="0"/>
              <w:rPr>
                <w:sz w:val="20"/>
                <w:szCs w:val="20"/>
                <w:color w:val="auto"/>
              </w:rPr>
            </w:pPr>
            <w:r>
              <w:rPr>
                <w:rFonts w:ascii="Arial" w:cs="Arial" w:eastAsia="Arial" w:hAnsi="Arial"/>
                <w:sz w:val="11"/>
                <w:szCs w:val="11"/>
                <w:b w:val="1"/>
                <w:bCs w:val="1"/>
                <w:color w:val="auto"/>
              </w:rPr>
              <w:t>Total Availability Reserves</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700" w:type="dxa"/>
            <w:vAlign w:val="bottom"/>
            <w:gridSpan w:val="3"/>
          </w:tcPr>
          <w:p>
            <w:pPr>
              <w:spacing w:after="0"/>
              <w:rPr>
                <w:sz w:val="11"/>
                <w:szCs w:val="11"/>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20" w:type="dxa"/>
            <w:vAlign w:val="bottom"/>
            <w:gridSpan w:val="5"/>
          </w:tcPr>
          <w:p>
            <w:pPr>
              <w:spacing w:after="0"/>
              <w:rPr>
                <w:sz w:val="20"/>
                <w:szCs w:val="20"/>
                <w:color w:val="auto"/>
              </w:rPr>
            </w:pPr>
            <w:r>
              <w:rPr>
                <w:rFonts w:ascii="Arial" w:cs="Arial" w:eastAsia="Arial" w:hAnsi="Arial"/>
                <w:sz w:val="11"/>
                <w:szCs w:val="11"/>
                <w:color w:val="auto"/>
              </w:rPr>
              <w:t>Revolver Availability (uncapped)</w:t>
            </w:r>
          </w:p>
        </w:tc>
        <w:tc>
          <w:tcPr>
            <w:tcW w:w="3140" w:type="dxa"/>
            <w:vAlign w:val="bottom"/>
            <w:gridSpan w:val="6"/>
          </w:tcPr>
          <w:p>
            <w:pPr>
              <w:jc w:val="right"/>
              <w:ind w:right="13"/>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3580" w:type="dxa"/>
            <w:vAlign w:val="bottom"/>
            <w:tcBorders>
              <w:top w:val="single" w:sz="8" w:color="auto"/>
            </w:tcBorders>
          </w:tcPr>
          <w:p>
            <w:pPr>
              <w:spacing w:after="0"/>
              <w:rPr>
                <w:sz w:val="11"/>
                <w:szCs w:val="11"/>
                <w:color w:val="auto"/>
              </w:rPr>
            </w:pPr>
          </w:p>
        </w:tc>
        <w:tc>
          <w:tcPr>
            <w:tcW w:w="2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00" w:type="dxa"/>
            <w:vAlign w:val="bottom"/>
            <w:gridSpan w:val="3"/>
            <w:shd w:val="clear" w:color="auto" w:fill="D9D9D9"/>
          </w:tcPr>
          <w:p>
            <w:pPr>
              <w:spacing w:after="0"/>
              <w:rPr>
                <w:sz w:val="20"/>
                <w:szCs w:val="20"/>
                <w:color w:val="auto"/>
              </w:rPr>
            </w:pPr>
            <w:r>
              <w:rPr>
                <w:rFonts w:ascii="Arial" w:cs="Arial" w:eastAsia="Arial" w:hAnsi="Arial"/>
                <w:sz w:val="11"/>
                <w:szCs w:val="11"/>
                <w:b w:val="1"/>
                <w:bCs w:val="1"/>
                <w:color w:val="auto"/>
              </w:rPr>
              <w:t>Maximum Revolver Availability ($125MM)</w:t>
            </w:r>
          </w:p>
        </w:tc>
        <w:tc>
          <w:tcPr>
            <w:tcW w:w="100" w:type="dxa"/>
            <w:vAlign w:val="bottom"/>
            <w:shd w:val="clear" w:color="auto" w:fill="D9D9D9"/>
          </w:tcPr>
          <w:p>
            <w:pPr>
              <w:spacing w:after="0"/>
              <w:rPr>
                <w:sz w:val="11"/>
                <w:szCs w:val="11"/>
                <w:color w:val="auto"/>
              </w:rPr>
            </w:pPr>
          </w:p>
        </w:tc>
        <w:tc>
          <w:tcPr>
            <w:tcW w:w="2940" w:type="dxa"/>
            <w:vAlign w:val="bottom"/>
            <w:gridSpan w:val="3"/>
            <w:shd w:val="clear" w:color="auto" w:fill="D9D9D9"/>
          </w:tcPr>
          <w:p>
            <w:pPr>
              <w:spacing w:after="0"/>
              <w:rPr>
                <w:sz w:val="11"/>
                <w:szCs w:val="11"/>
                <w:color w:val="auto"/>
              </w:rPr>
            </w:pPr>
          </w:p>
        </w:tc>
        <w:tc>
          <w:tcPr>
            <w:tcW w:w="200" w:type="dxa"/>
            <w:vAlign w:val="bottom"/>
            <w:gridSpan w:val="3"/>
            <w:shd w:val="clear" w:color="auto" w:fill="D9D9D9"/>
          </w:tcPr>
          <w:p>
            <w:pPr>
              <w:jc w:val="right"/>
              <w:ind w:right="13"/>
              <w:spacing w:after="0"/>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D9D9D9"/>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5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9D9D9"/>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9D9D9"/>
            </w:tcBorders>
          </w:tcPr>
          <w:p>
            <w:pPr>
              <w:spacing w:after="0" w:line="20" w:lineRule="exact"/>
              <w:rPr>
                <w:sz w:val="1"/>
                <w:szCs w:val="1"/>
                <w:color w:val="auto"/>
              </w:rPr>
            </w:pPr>
          </w:p>
        </w:tc>
        <w:tc>
          <w:tcPr>
            <w:tcW w:w="20" w:type="dxa"/>
            <w:vAlign w:val="bottom"/>
            <w:tcBorders>
              <w:top w:val="single" w:sz="8" w:color="D9D9D9"/>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9D9D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line="102" w:lineRule="exact"/>
              <w:rPr>
                <w:sz w:val="20"/>
                <w:szCs w:val="20"/>
                <w:color w:val="auto"/>
              </w:rPr>
            </w:pPr>
            <w:r>
              <w:rPr>
                <w:rFonts w:ascii="Arial" w:cs="Arial" w:eastAsia="Arial" w:hAnsi="Arial"/>
                <w:sz w:val="11"/>
                <w:szCs w:val="11"/>
                <w:b w:val="1"/>
                <w:bCs w:val="1"/>
                <w:color w:val="auto"/>
                <w:w w:val="94"/>
              </w:rPr>
              <w:t>AVAILABILITY CALCULATION</w:t>
            </w:r>
          </w:p>
        </w:tc>
        <w:tc>
          <w:tcPr>
            <w:tcW w:w="59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7620" w:type="dxa"/>
            <w:vAlign w:val="bottom"/>
            <w:gridSpan w:val="5"/>
          </w:tcPr>
          <w:p>
            <w:pPr>
              <w:spacing w:after="0"/>
              <w:rPr>
                <w:sz w:val="20"/>
                <w:szCs w:val="20"/>
                <w:color w:val="auto"/>
              </w:rPr>
            </w:pPr>
            <w:r>
              <w:rPr>
                <w:rFonts w:ascii="Arial" w:cs="Arial" w:eastAsia="Arial" w:hAnsi="Arial"/>
                <w:sz w:val="11"/>
                <w:szCs w:val="11"/>
                <w:color w:val="auto"/>
              </w:rPr>
              <w:t>Beginning Principal Balance (revolver)</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ADD: Prior days advance</w:t>
            </w:r>
          </w:p>
        </w:tc>
        <w:tc>
          <w:tcPr>
            <w:tcW w:w="3040" w:type="dxa"/>
            <w:vAlign w:val="bottom"/>
            <w:gridSpan w:val="4"/>
          </w:tcPr>
          <w:p>
            <w:pPr>
              <w:spacing w:after="0"/>
              <w:rPr>
                <w:sz w:val="11"/>
                <w:szCs w:val="11"/>
                <w:color w:val="auto"/>
              </w:rPr>
            </w:pPr>
          </w:p>
        </w:tc>
        <w:tc>
          <w:tcPr>
            <w:tcW w:w="1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ADD: Interest/Fees charged today</w:t>
            </w:r>
          </w:p>
        </w:tc>
        <w:tc>
          <w:tcPr>
            <w:tcW w:w="3140" w:type="dxa"/>
            <w:vAlign w:val="bottom"/>
            <w:gridSpan w:val="6"/>
          </w:tcPr>
          <w:p>
            <w:pPr>
              <w:jc w:val="right"/>
              <w:ind w:right="13"/>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LESS: Prior day's paydown</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20" w:type="dxa"/>
            <w:vAlign w:val="bottom"/>
            <w:gridSpan w:val="5"/>
          </w:tcPr>
          <w:p>
            <w:pPr>
              <w:spacing w:after="0"/>
              <w:rPr>
                <w:sz w:val="20"/>
                <w:szCs w:val="20"/>
                <w:color w:val="auto"/>
              </w:rPr>
            </w:pPr>
            <w:r>
              <w:rPr>
                <w:rFonts w:ascii="Arial" w:cs="Arial" w:eastAsia="Arial" w:hAnsi="Arial"/>
                <w:sz w:val="11"/>
                <w:szCs w:val="11"/>
                <w:color w:val="auto"/>
              </w:rPr>
              <w:t>Ending principal balance (revolver)</w:t>
            </w:r>
          </w:p>
        </w:tc>
        <w:tc>
          <w:tcPr>
            <w:tcW w:w="3140" w:type="dxa"/>
            <w:vAlign w:val="bottom"/>
            <w:gridSpan w:val="6"/>
          </w:tcPr>
          <w:p>
            <w:pPr>
              <w:jc w:val="right"/>
              <w:ind w:right="13"/>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500" w:type="dxa"/>
            <w:vAlign w:val="bottom"/>
            <w:gridSpan w:val="2"/>
          </w:tcPr>
          <w:p>
            <w:pPr>
              <w:spacing w:after="0"/>
              <w:rPr>
                <w:sz w:val="20"/>
                <w:szCs w:val="20"/>
                <w:color w:val="auto"/>
              </w:rPr>
            </w:pPr>
            <w:r>
              <w:rPr>
                <w:rFonts w:ascii="Arial" w:cs="Arial" w:eastAsia="Arial" w:hAnsi="Arial"/>
                <w:sz w:val="11"/>
                <w:szCs w:val="11"/>
                <w:color w:val="auto"/>
              </w:rPr>
              <w:t>ADD: Outstanding Letters of Credit</w:t>
            </w:r>
          </w:p>
        </w:tc>
        <w:tc>
          <w:tcPr>
            <w:tcW w:w="2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7620" w:type="dxa"/>
            <w:vAlign w:val="bottom"/>
            <w:gridSpan w:val="5"/>
          </w:tcPr>
          <w:p>
            <w:pPr>
              <w:spacing w:after="0"/>
              <w:rPr>
                <w:sz w:val="20"/>
                <w:szCs w:val="20"/>
                <w:color w:val="auto"/>
              </w:rPr>
            </w:pPr>
            <w:r>
              <w:rPr>
                <w:rFonts w:ascii="Arial" w:cs="Arial" w:eastAsia="Arial" w:hAnsi="Arial"/>
                <w:sz w:val="11"/>
                <w:szCs w:val="11"/>
                <w:b w:val="1"/>
                <w:bCs w:val="1"/>
                <w:color w:val="auto"/>
              </w:rPr>
              <w:t>Total loan balance and L/Cs prior to request</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7620" w:type="dxa"/>
            <w:vAlign w:val="bottom"/>
            <w:gridSpan w:val="5"/>
          </w:tcPr>
          <w:p>
            <w:pPr>
              <w:spacing w:after="0"/>
              <w:rPr>
                <w:sz w:val="20"/>
                <w:szCs w:val="20"/>
                <w:color w:val="auto"/>
              </w:rPr>
            </w:pPr>
            <w:r>
              <w:rPr>
                <w:rFonts w:ascii="Arial" w:cs="Arial" w:eastAsia="Arial" w:hAnsi="Arial"/>
                <w:sz w:val="11"/>
                <w:szCs w:val="11"/>
                <w:color w:val="auto"/>
              </w:rPr>
              <w:t>Excess Availability prior to today's request</w:t>
            </w:r>
          </w:p>
        </w:tc>
        <w:tc>
          <w:tcPr>
            <w:tcW w:w="3140" w:type="dxa"/>
            <w:vAlign w:val="bottom"/>
            <w:gridSpan w:val="6"/>
          </w:tcPr>
          <w:p>
            <w:pPr>
              <w:jc w:val="right"/>
              <w:ind w:right="13"/>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080" w:type="dxa"/>
            <w:vAlign w:val="bottom"/>
            <w:gridSpan w:val="3"/>
          </w:tcPr>
          <w:p>
            <w:pPr>
              <w:ind w:left="320"/>
              <w:spacing w:after="0"/>
              <w:rPr>
                <w:sz w:val="20"/>
                <w:szCs w:val="20"/>
                <w:color w:val="auto"/>
              </w:rPr>
            </w:pPr>
            <w:r>
              <w:rPr>
                <w:rFonts w:ascii="Arial" w:cs="Arial" w:eastAsia="Arial" w:hAnsi="Arial"/>
                <w:sz w:val="11"/>
                <w:szCs w:val="11"/>
                <w:b w:val="1"/>
                <w:bCs w:val="1"/>
                <w:color w:val="auto"/>
              </w:rPr>
              <w:t>ADVANCE REQUEST</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c>
          <w:tcPr>
            <w:tcW w:w="100" w:type="dxa"/>
            <w:vAlign w:val="bottom"/>
            <w:tcBorders>
              <w:top w:val="single" w:sz="8" w:color="auto"/>
              <w:bottom w:val="single" w:sz="8" w:color="auto"/>
            </w:tcBorders>
            <w:gridSpan w:val="2"/>
          </w:tcPr>
          <w:p>
            <w:pPr>
              <w:jc w:val="right"/>
              <w:ind w:right="13"/>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080" w:type="dxa"/>
            <w:vAlign w:val="bottom"/>
            <w:gridSpan w:val="3"/>
          </w:tcPr>
          <w:p>
            <w:pPr>
              <w:ind w:left="320"/>
              <w:spacing w:after="0"/>
              <w:rPr>
                <w:sz w:val="20"/>
                <w:szCs w:val="20"/>
                <w:color w:val="auto"/>
              </w:rPr>
            </w:pPr>
            <w:r>
              <w:rPr>
                <w:rFonts w:ascii="Arial" w:cs="Arial" w:eastAsia="Arial" w:hAnsi="Arial"/>
                <w:sz w:val="11"/>
                <w:szCs w:val="11"/>
                <w:b w:val="1"/>
                <w:bCs w:val="1"/>
                <w:color w:val="auto"/>
              </w:rPr>
              <w:t>PAY DOWN</w:t>
            </w: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c>
          <w:tcPr>
            <w:tcW w:w="100" w:type="dxa"/>
            <w:vAlign w:val="bottom"/>
            <w:gridSpan w:val="2"/>
          </w:tcPr>
          <w:p>
            <w:pPr>
              <w:jc w:val="right"/>
              <w:ind w:right="13"/>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00" w:type="dxa"/>
            <w:vAlign w:val="bottom"/>
            <w:tcBorders>
              <w:top w:val="single" w:sz="8" w:color="auto"/>
              <w:bottom w:val="single" w:sz="8" w:color="auto"/>
            </w:tcBorders>
            <w:gridSpan w:val="3"/>
            <w:shd w:val="clear" w:color="auto" w:fill="D9D9D9"/>
          </w:tcPr>
          <w:p>
            <w:pPr>
              <w:spacing w:after="0"/>
              <w:rPr>
                <w:sz w:val="20"/>
                <w:szCs w:val="20"/>
                <w:color w:val="auto"/>
              </w:rPr>
            </w:pPr>
            <w:r>
              <w:rPr>
                <w:rFonts w:ascii="Arial" w:cs="Arial" w:eastAsia="Arial" w:hAnsi="Arial"/>
                <w:sz w:val="11"/>
                <w:szCs w:val="11"/>
                <w:b w:val="1"/>
                <w:bCs w:val="1"/>
                <w:color w:val="auto"/>
              </w:rPr>
              <w:t>Excess Revolver Availability</w:t>
            </w:r>
          </w:p>
        </w:tc>
        <w:tc>
          <w:tcPr>
            <w:tcW w:w="100" w:type="dxa"/>
            <w:vAlign w:val="bottom"/>
            <w:tcBorders>
              <w:top w:val="single" w:sz="8" w:color="D9D9D9"/>
              <w:bottom w:val="single" w:sz="8" w:color="D9D9D9"/>
            </w:tcBorders>
            <w:shd w:val="clear" w:color="auto" w:fill="D9D9D9"/>
          </w:tcPr>
          <w:p>
            <w:pPr>
              <w:spacing w:after="0"/>
              <w:rPr>
                <w:sz w:val="11"/>
                <w:szCs w:val="11"/>
                <w:color w:val="auto"/>
              </w:rPr>
            </w:pPr>
          </w:p>
        </w:tc>
        <w:tc>
          <w:tcPr>
            <w:tcW w:w="240" w:type="dxa"/>
            <w:vAlign w:val="bottom"/>
            <w:tcBorders>
              <w:top w:val="single" w:sz="8" w:color="auto"/>
              <w:bottom w:val="single" w:sz="8" w:color="auto"/>
            </w:tcBorders>
            <w:shd w:val="clear" w:color="auto" w:fill="D9D9D9"/>
          </w:tcPr>
          <w:p>
            <w:pPr>
              <w:spacing w:after="0"/>
              <w:rPr>
                <w:sz w:val="11"/>
                <w:szCs w:val="11"/>
                <w:color w:val="auto"/>
              </w:rPr>
            </w:pPr>
          </w:p>
        </w:tc>
        <w:tc>
          <w:tcPr>
            <w:tcW w:w="2120" w:type="dxa"/>
            <w:vAlign w:val="bottom"/>
            <w:tcBorders>
              <w:top w:val="single" w:sz="8" w:color="auto"/>
              <w:bottom w:val="single" w:sz="8" w:color="auto"/>
            </w:tcBorders>
            <w:shd w:val="clear" w:color="auto" w:fill="D9D9D9"/>
          </w:tcPr>
          <w:p>
            <w:pPr>
              <w:spacing w:after="0"/>
              <w:rPr>
                <w:sz w:val="11"/>
                <w:szCs w:val="11"/>
                <w:color w:val="auto"/>
              </w:rPr>
            </w:pPr>
          </w:p>
        </w:tc>
        <w:tc>
          <w:tcPr>
            <w:tcW w:w="580" w:type="dxa"/>
            <w:vAlign w:val="bottom"/>
            <w:tcBorders>
              <w:top w:val="single" w:sz="8" w:color="auto"/>
              <w:bottom w:val="single" w:sz="8" w:color="auto"/>
            </w:tcBorders>
            <w:shd w:val="clear" w:color="auto" w:fill="D9D9D9"/>
          </w:tcPr>
          <w:p>
            <w:pPr>
              <w:spacing w:after="0"/>
              <w:rPr>
                <w:sz w:val="11"/>
                <w:szCs w:val="11"/>
                <w:color w:val="auto"/>
              </w:rPr>
            </w:pPr>
          </w:p>
        </w:tc>
        <w:tc>
          <w:tcPr>
            <w:tcW w:w="100" w:type="dxa"/>
            <w:vAlign w:val="bottom"/>
            <w:tcBorders>
              <w:top w:val="single" w:sz="8" w:color="D9D9D9"/>
              <w:bottom w:val="single" w:sz="8" w:color="D9D9D9"/>
            </w:tcBorders>
            <w:shd w:val="clear" w:color="auto" w:fill="D9D9D9"/>
          </w:tcPr>
          <w:p>
            <w:pPr>
              <w:spacing w:after="0"/>
              <w:rPr>
                <w:sz w:val="11"/>
                <w:szCs w:val="11"/>
                <w:color w:val="auto"/>
              </w:rPr>
            </w:pPr>
          </w:p>
        </w:tc>
        <w:tc>
          <w:tcPr>
            <w:tcW w:w="20" w:type="dxa"/>
            <w:vAlign w:val="bottom"/>
            <w:tcBorders>
              <w:top w:val="single" w:sz="8" w:color="D9D9D9"/>
              <w:bottom w:val="single" w:sz="8" w:color="D9D9D9"/>
            </w:tcBorders>
            <w:shd w:val="clear" w:color="auto" w:fill="D9D9D9"/>
          </w:tcPr>
          <w:p>
            <w:pPr>
              <w:spacing w:after="0"/>
              <w:rPr>
                <w:sz w:val="11"/>
                <w:szCs w:val="11"/>
                <w:color w:val="auto"/>
              </w:rPr>
            </w:pPr>
          </w:p>
        </w:tc>
        <w:tc>
          <w:tcPr>
            <w:tcW w:w="80" w:type="dxa"/>
            <w:vAlign w:val="bottom"/>
            <w:tcBorders>
              <w:top w:val="single" w:sz="8" w:color="auto"/>
              <w:bottom w:val="single" w:sz="8" w:color="auto"/>
            </w:tcBorders>
            <w:shd w:val="clear" w:color="auto" w:fill="D9D9D9"/>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Borders>
              <w:top w:val="single" w:sz="8" w:color="D9D9D9"/>
              <w:bottom w:val="single" w:sz="8" w:color="D9D9D9"/>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DB1/ 102725325.2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40"/>
        </w:trPr>
        <w:tc>
          <w:tcPr>
            <w:tcW w:w="514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5140" w:type="dxa"/>
            <w:vAlign w:val="bottom"/>
          </w:tcPr>
          <w:p>
            <w:pPr>
              <w:spacing w:after="0" w:line="113" w:lineRule="exact"/>
              <w:rPr>
                <w:sz w:val="20"/>
                <w:szCs w:val="20"/>
                <w:color w:val="auto"/>
              </w:rPr>
            </w:pPr>
            <w:r>
              <w:rPr>
                <w:rFonts w:ascii="Arial" w:cs="Arial" w:eastAsia="Arial" w:hAnsi="Arial"/>
                <w:sz w:val="11"/>
                <w:szCs w:val="11"/>
                <w:color w:val="auto"/>
              </w:rPr>
              <w:t>Covenant Compliance Event - Total Availability (after today's request) &gt;= to the</w:t>
            </w:r>
          </w:p>
        </w:tc>
        <w:tc>
          <w:tcPr>
            <w:tcW w:w="1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2"/>
          </w:tcPr>
          <w:p>
            <w:pPr>
              <w:ind w:left="240"/>
              <w:spacing w:after="0" w:line="113" w:lineRule="exact"/>
              <w:rPr>
                <w:sz w:val="20"/>
                <w:szCs w:val="20"/>
                <w:color w:val="auto"/>
              </w:rPr>
            </w:pPr>
            <w:r>
              <w:rPr>
                <w:rFonts w:ascii="Arial" w:cs="Arial" w:eastAsia="Arial" w:hAnsi="Arial"/>
                <w:sz w:val="11"/>
                <w:szCs w:val="11"/>
                <w:color w:val="auto"/>
              </w:rPr>
              <w:t>Minimum Required Total Revolver</w:t>
            </w:r>
          </w:p>
        </w:tc>
        <w:tc>
          <w:tcPr>
            <w:tcW w:w="6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3"/>
        </w:trPr>
        <w:tc>
          <w:tcPr>
            <w:tcW w:w="5140" w:type="dxa"/>
            <w:vAlign w:val="bottom"/>
          </w:tcPr>
          <w:p>
            <w:pPr>
              <w:spacing w:after="0" w:line="123" w:lineRule="exact"/>
              <w:rPr>
                <w:sz w:val="20"/>
                <w:szCs w:val="20"/>
                <w:color w:val="auto"/>
              </w:rPr>
            </w:pPr>
            <w:r>
              <w:rPr>
                <w:rFonts w:ascii="Arial" w:cs="Arial" w:eastAsia="Arial" w:hAnsi="Arial"/>
                <w:sz w:val="11"/>
                <w:szCs w:val="11"/>
                <w:color w:val="auto"/>
              </w:rPr>
              <w:t>greater of:</w:t>
            </w: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2"/>
          </w:tcPr>
          <w:p>
            <w:pPr>
              <w:ind w:left="240"/>
              <w:spacing w:after="0" w:line="123" w:lineRule="exact"/>
              <w:rPr>
                <w:sz w:val="20"/>
                <w:szCs w:val="20"/>
                <w:color w:val="auto"/>
              </w:rPr>
            </w:pPr>
            <w:r>
              <w:rPr>
                <w:rFonts w:ascii="Arial" w:cs="Arial" w:eastAsia="Arial" w:hAnsi="Arial"/>
                <w:sz w:val="11"/>
                <w:szCs w:val="11"/>
                <w:color w:val="auto"/>
              </w:rPr>
              <w:t>Availability</w:t>
            </w: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140" w:type="dxa"/>
            <w:vAlign w:val="bottom"/>
          </w:tcPr>
          <w:p>
            <w:pPr>
              <w:ind w:left="380"/>
              <w:spacing w:after="0"/>
              <w:rPr>
                <w:sz w:val="20"/>
                <w:szCs w:val="20"/>
                <w:color w:val="auto"/>
              </w:rPr>
            </w:pPr>
            <w:r>
              <w:rPr>
                <w:rFonts w:ascii="Arial" w:cs="Arial" w:eastAsia="Arial" w:hAnsi="Arial"/>
                <w:sz w:val="11"/>
                <w:szCs w:val="11"/>
                <w:color w:val="auto"/>
              </w:rPr>
              <w:t>(a) 7500000</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2"/>
          </w:tcPr>
          <w:p>
            <w:pPr>
              <w:ind w:left="240"/>
              <w:spacing w:after="0"/>
              <w:rPr>
                <w:sz w:val="20"/>
                <w:szCs w:val="20"/>
                <w:color w:val="auto"/>
              </w:rPr>
            </w:pPr>
            <w:r>
              <w:rPr>
                <w:rFonts w:ascii="Arial" w:cs="Arial" w:eastAsia="Arial" w:hAnsi="Arial"/>
                <w:sz w:val="11"/>
                <w:szCs w:val="11"/>
                <w:color w:val="auto"/>
              </w:rPr>
              <w:t>Covenant Compliance Event in effect</w:t>
            </w:r>
          </w:p>
        </w:tc>
        <w:tc>
          <w:tcPr>
            <w:tcW w:w="640" w:type="dxa"/>
            <w:vAlign w:val="bottom"/>
          </w:tcPr>
          <w:p>
            <w:pPr>
              <w:jc w:val="right"/>
              <w:ind w:right="206"/>
              <w:spacing w:after="0"/>
              <w:rPr>
                <w:sz w:val="20"/>
                <w:szCs w:val="20"/>
                <w:color w:val="auto"/>
              </w:rPr>
            </w:pPr>
            <w:r>
              <w:rPr>
                <w:rFonts w:ascii="Arial" w:cs="Arial" w:eastAsia="Arial" w:hAnsi="Arial"/>
                <w:sz w:val="11"/>
                <w:szCs w:val="11"/>
                <w:b w:val="1"/>
                <w:bCs w:val="1"/>
                <w:color w:val="auto"/>
              </w:rPr>
              <w:t>No</w:t>
            </w:r>
          </w:p>
        </w:tc>
        <w:tc>
          <w:tcPr>
            <w:tcW w:w="0" w:type="dxa"/>
            <w:vAlign w:val="bottom"/>
          </w:tcPr>
          <w:p>
            <w:pPr>
              <w:spacing w:after="0"/>
              <w:rPr>
                <w:sz w:val="1"/>
                <w:szCs w:val="1"/>
                <w:color w:val="auto"/>
              </w:rPr>
            </w:pPr>
          </w:p>
        </w:tc>
      </w:tr>
      <w:tr>
        <w:trPr>
          <w:trHeight w:val="127"/>
        </w:trPr>
        <w:tc>
          <w:tcPr>
            <w:tcW w:w="5140" w:type="dxa"/>
            <w:vAlign w:val="bottom"/>
          </w:tcPr>
          <w:p>
            <w:pPr>
              <w:ind w:left="380"/>
              <w:spacing w:after="0"/>
              <w:rPr>
                <w:sz w:val="20"/>
                <w:szCs w:val="20"/>
                <w:color w:val="auto"/>
              </w:rPr>
            </w:pPr>
            <w:r>
              <w:rPr>
                <w:rFonts w:ascii="Arial" w:cs="Arial" w:eastAsia="Arial" w:hAnsi="Arial"/>
                <w:sz w:val="11"/>
                <w:szCs w:val="11"/>
                <w:color w:val="auto"/>
              </w:rPr>
              <w:t>(b) 10% of Revolver Loan Cap (without giving effect to FILO Pushdown</w:t>
            </w:r>
          </w:p>
        </w:tc>
        <w:tc>
          <w:tcPr>
            <w:tcW w:w="1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5140" w:type="dxa"/>
            <w:vAlign w:val="bottom"/>
          </w:tcPr>
          <w:p>
            <w:pPr>
              <w:ind w:left="380"/>
              <w:spacing w:after="0" w:line="125" w:lineRule="exact"/>
              <w:rPr>
                <w:sz w:val="20"/>
                <w:szCs w:val="20"/>
                <w:color w:val="auto"/>
              </w:rPr>
            </w:pPr>
            <w:r>
              <w:rPr>
                <w:rFonts w:ascii="Arial" w:cs="Arial" w:eastAsia="Arial" w:hAnsi="Arial"/>
                <w:sz w:val="11"/>
                <w:szCs w:val="11"/>
                <w:color w:val="auto"/>
              </w:rPr>
              <w:t>Reserve)</w:t>
            </w:r>
          </w:p>
        </w:tc>
        <w:tc>
          <w:tcPr>
            <w:tcW w:w="1200" w:type="dxa"/>
            <w:vAlign w:val="bottom"/>
            <w:tcBorders>
              <w:bottom w:val="single" w:sz="8" w:color="auto"/>
            </w:tcBorders>
          </w:tcPr>
          <w:p>
            <w:pPr>
              <w:jc w:val="right"/>
              <w:ind w:right="109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300"/>
        <w:spacing w:after="0" w:line="253" w:lineRule="auto"/>
        <w:rPr>
          <w:sz w:val="20"/>
          <w:szCs w:val="20"/>
          <w:color w:val="auto"/>
        </w:rPr>
      </w:pPr>
      <w:r>
        <w:rPr>
          <w:rFonts w:ascii="Arial" w:cs="Arial" w:eastAsia="Arial" w:hAnsi="Arial"/>
          <w:sz w:val="10"/>
          <w:szCs w:val="10"/>
          <w:color w:val="auto"/>
        </w:rPr>
        <w:t>The undersigned, a Responsible Officer (as defined in the Credit Agreement referred to below) of Destination XL Group, Inc. (the “Lead Borrower”), represents and warrants that (a) the information set forth above and the supporting documentation delivered in connection herewith have been prepared in accordance with the requirements of that certain Seventh Amended and Restated Credit Agreement dated as of May 24, 2018 (as amended, restated, supplemented or otherwise modified and in effect from time to time, the "Credit Agreement") by, among others, (i) the Lead Borrower, (ii) the Borrowers party thereto from time to time, (iii) the Guarantors party thereto from time to time,</w:t>
      </w:r>
    </w:p>
    <w:p>
      <w:pPr>
        <w:spacing w:after="0" w:line="1" w:lineRule="exact"/>
        <w:rPr>
          <w:sz w:val="20"/>
          <w:szCs w:val="20"/>
          <w:color w:val="auto"/>
        </w:rPr>
      </w:pPr>
    </w:p>
    <w:p>
      <w:pPr>
        <w:ind w:right="300" w:firstLine="8"/>
        <w:spacing w:after="0" w:line="235" w:lineRule="auto"/>
        <w:tabs>
          <w:tab w:leader="none" w:pos="1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Lenders party thereto from time to time, and (v) Bank of America, N.A., as administrative agent and collateral agent (in such capacities, the “Agent”); (b) no Default or Event of Default (as such terms are defined in the Credit Agreement) has occurred and is continuing; and (c) all or a portion of the advance requested hereby will be set aside by the Borrowers to cover 100% of the Borrowers' obligation for sales tax on account of sales since the most recent borrowing under the Credit Agreement.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Destination XL Group, Inc., as Lead Borrower</w:t>
      </w:r>
    </w:p>
    <w:p>
      <w:pPr>
        <w:spacing w:after="0" w:line="16" w:lineRule="exact"/>
        <w:rPr>
          <w:sz w:val="20"/>
          <w:szCs w:val="20"/>
          <w:color w:val="auto"/>
        </w:rPr>
      </w:pPr>
    </w:p>
    <w:p>
      <w:pPr>
        <w:jc w:val="right"/>
        <w:ind w:right="6300"/>
        <w:spacing w:after="0"/>
        <w:rPr>
          <w:sz w:val="20"/>
          <w:szCs w:val="20"/>
          <w:color w:val="auto"/>
        </w:rPr>
      </w:pPr>
      <w:r>
        <w:rPr>
          <w:rFonts w:ascii="Arial" w:cs="Arial" w:eastAsia="Arial" w:hAnsi="Arial"/>
          <w:sz w:val="11"/>
          <w:szCs w:val="11"/>
          <w:color w:val="auto"/>
        </w:rPr>
        <w:t>Authorized</w:t>
      </w:r>
    </w:p>
    <w:p>
      <w:pPr>
        <w:jc w:val="right"/>
        <w:ind w:right="6300"/>
        <w:spacing w:after="0"/>
        <w:rPr>
          <w:sz w:val="20"/>
          <w:szCs w:val="20"/>
          <w:color w:val="auto"/>
        </w:rPr>
      </w:pPr>
      <w:r>
        <w:rPr>
          <w:rFonts w:ascii="Arial" w:cs="Arial" w:eastAsia="Arial" w:hAnsi="Arial"/>
          <w:sz w:val="11"/>
          <w:szCs w:val="1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-635</wp:posOffset>
            </wp:positionV>
            <wp:extent cx="30873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37" w:lineRule="exact"/>
        <w:rPr>
          <w:sz w:val="20"/>
          <w:szCs w:val="20"/>
          <w:color w:val="auto"/>
        </w:rPr>
      </w:pPr>
    </w:p>
    <w:p>
      <w:pPr>
        <w:ind w:left="4840"/>
        <w:spacing w:after="0"/>
        <w:rPr>
          <w:sz w:val="20"/>
          <w:szCs w:val="20"/>
          <w:color w:val="auto"/>
        </w:rPr>
      </w:pPr>
      <w:r>
        <w:rPr>
          <w:rFonts w:ascii="Arial" w:cs="Arial" w:eastAsia="Arial" w:hAnsi="Arial"/>
          <w:sz w:val="11"/>
          <w:szCs w:val="1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-635</wp:posOffset>
            </wp:positionV>
            <wp:extent cx="30873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37" w:lineRule="exact"/>
        <w:rPr>
          <w:sz w:val="20"/>
          <w:szCs w:val="20"/>
          <w:color w:val="auto"/>
        </w:rPr>
      </w:pPr>
    </w:p>
    <w:p>
      <w:pPr>
        <w:ind w:left="4920"/>
        <w:spacing w:after="0"/>
        <w:rPr>
          <w:sz w:val="20"/>
          <w:szCs w:val="20"/>
          <w:color w:val="auto"/>
        </w:rPr>
      </w:pPr>
      <w:r>
        <w:rPr>
          <w:rFonts w:ascii="Arial" w:cs="Arial" w:eastAsia="Arial" w:hAnsi="Arial"/>
          <w:sz w:val="11"/>
          <w:szCs w:val="1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-635</wp:posOffset>
            </wp:positionV>
            <wp:extent cx="30873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37" w:lineRule="exact"/>
        <w:rPr>
          <w:sz w:val="20"/>
          <w:szCs w:val="20"/>
          <w:color w:val="auto"/>
        </w:rPr>
      </w:pPr>
    </w:p>
    <w:p>
      <w:pPr>
        <w:ind w:left="4900"/>
        <w:spacing w:after="0"/>
        <w:rPr>
          <w:sz w:val="20"/>
          <w:szCs w:val="20"/>
          <w:color w:val="auto"/>
        </w:rPr>
      </w:pP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-635</wp:posOffset>
            </wp:positionV>
            <wp:extent cx="30873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740"/>
        <w:spacing w:after="0"/>
        <w:rPr>
          <w:sz w:val="20"/>
          <w:szCs w:val="20"/>
          <w:color w:val="auto"/>
        </w:rPr>
      </w:pPr>
      <w:r>
        <w:rPr>
          <w:rFonts w:ascii="Arial" w:cs="Arial" w:eastAsia="Arial" w:hAnsi="Arial"/>
          <w:sz w:val="11"/>
          <w:szCs w:val="11"/>
          <w:b w:val="1"/>
          <w:bCs w:val="1"/>
          <w:color w:val="auto"/>
        </w:rPr>
        <w:t>Destination XL Group, Inc.</w:t>
      </w:r>
    </w:p>
    <w:p>
      <w:pPr>
        <w:spacing w:after="0" w:line="21" w:lineRule="exact"/>
        <w:rPr>
          <w:sz w:val="20"/>
          <w:szCs w:val="20"/>
          <w:color w:val="auto"/>
        </w:rPr>
      </w:pPr>
    </w:p>
    <w:p>
      <w:pPr>
        <w:jc w:val="center"/>
        <w:ind w:right="3740"/>
        <w:spacing w:after="0"/>
        <w:rPr>
          <w:sz w:val="20"/>
          <w:szCs w:val="20"/>
          <w:color w:val="auto"/>
        </w:rPr>
      </w:pPr>
      <w:r>
        <w:rPr>
          <w:rFonts w:ascii="Arial" w:cs="Arial" w:eastAsia="Arial" w:hAnsi="Arial"/>
          <w:sz w:val="11"/>
          <w:szCs w:val="11"/>
          <w:color w:val="auto"/>
        </w:rPr>
        <w:t>FILO Borrowing Base Certificate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60" w:type="dxa"/>
            <w:vAlign w:val="bottom"/>
            <w:gridSpan w:val="2"/>
          </w:tcPr>
          <w:p>
            <w:pPr>
              <w:spacing w:after="0"/>
              <w:rPr>
                <w:sz w:val="20"/>
                <w:szCs w:val="20"/>
                <w:color w:val="auto"/>
              </w:rPr>
            </w:pPr>
            <w:r>
              <w:rPr>
                <w:rFonts w:ascii="Arial" w:cs="Arial" w:eastAsia="Arial" w:hAnsi="Arial"/>
                <w:sz w:val="11"/>
                <w:szCs w:val="11"/>
                <w:color w:val="auto"/>
              </w:rPr>
              <w:t>Email to:</w:t>
            </w:r>
          </w:p>
        </w:tc>
        <w:tc>
          <w:tcPr>
            <w:tcW w:w="2340" w:type="dxa"/>
            <w:vAlign w:val="bottom"/>
          </w:tcPr>
          <w:p>
            <w:pPr>
              <w:jc w:val="center"/>
              <w:ind w:right="1366"/>
              <w:spacing w:after="0"/>
              <w:rPr>
                <w:sz w:val="20"/>
                <w:szCs w:val="20"/>
                <w:color w:val="auto"/>
              </w:rPr>
            </w:pPr>
            <w:r>
              <w:rPr>
                <w:rFonts w:ascii="Arial" w:cs="Arial" w:eastAsia="Arial" w:hAnsi="Arial"/>
                <w:sz w:val="11"/>
                <w:szCs w:val="11"/>
                <w:color w:val="auto"/>
                <w:w w:val="97"/>
              </w:rPr>
              <w:t>Certificate No.</w:t>
            </w: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760" w:type="dxa"/>
            <w:vAlign w:val="bottom"/>
            <w:gridSpan w:val="2"/>
          </w:tcPr>
          <w:p>
            <w:pPr>
              <w:ind w:left="7620"/>
              <w:spacing w:after="0"/>
              <w:rPr>
                <w:sz w:val="20"/>
                <w:szCs w:val="20"/>
                <w:color w:val="auto"/>
              </w:rPr>
            </w:pPr>
            <w:r>
              <w:rPr>
                <w:rFonts w:ascii="Arial" w:cs="Arial" w:eastAsia="Arial" w:hAnsi="Arial"/>
                <w:sz w:val="11"/>
                <w:szCs w:val="11"/>
                <w:color w:val="auto"/>
              </w:rPr>
              <w:t>[]</w:t>
            </w:r>
          </w:p>
        </w:tc>
        <w:tc>
          <w:tcPr>
            <w:tcW w:w="2340" w:type="dxa"/>
            <w:vAlign w:val="bottom"/>
          </w:tcPr>
          <w:p>
            <w:pPr>
              <w:jc w:val="center"/>
              <w:ind w:right="1346"/>
              <w:spacing w:after="0"/>
              <w:rPr>
                <w:sz w:val="20"/>
                <w:szCs w:val="20"/>
                <w:color w:val="auto"/>
              </w:rPr>
            </w:pPr>
            <w:r>
              <w:rPr>
                <w:rFonts w:ascii="Arial" w:cs="Arial" w:eastAsia="Arial" w:hAnsi="Arial"/>
                <w:sz w:val="11"/>
                <w:szCs w:val="11"/>
                <w:color w:val="auto"/>
                <w:w w:val="97"/>
              </w:rPr>
              <w:t>Certificate Date</w:t>
            </w: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760" w:type="dxa"/>
            <w:vAlign w:val="bottom"/>
            <w:gridSpan w:val="2"/>
          </w:tcPr>
          <w:p>
            <w:pPr>
              <w:ind w:left="7620"/>
              <w:spacing w:after="0"/>
              <w:rPr>
                <w:sz w:val="20"/>
                <w:szCs w:val="20"/>
                <w:color w:val="auto"/>
              </w:rPr>
            </w:pPr>
            <w:r>
              <w:rPr>
                <w:rFonts w:ascii="Arial" w:cs="Arial" w:eastAsia="Arial" w:hAnsi="Arial"/>
                <w:sz w:val="11"/>
                <w:szCs w:val="11"/>
                <w:u w:val="single" w:color="auto"/>
                <w:color w:val="auto"/>
              </w:rPr>
              <w:t>[]</w:t>
            </w:r>
          </w:p>
        </w:tc>
        <w:tc>
          <w:tcPr>
            <w:tcW w:w="2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1"/>
                <w:szCs w:val="11"/>
                <w:b w:val="1"/>
                <w:bCs w:val="1"/>
                <w:color w:val="auto"/>
              </w:rPr>
              <w:t>At Cost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7760" w:type="dxa"/>
            <w:vAlign w:val="bottom"/>
            <w:gridSpan w:val="2"/>
          </w:tcPr>
          <w:p>
            <w:pPr>
              <w:spacing w:after="0"/>
              <w:rPr>
                <w:sz w:val="20"/>
                <w:szCs w:val="20"/>
                <w:color w:val="auto"/>
              </w:rPr>
            </w:pPr>
            <w:r>
              <w:rPr>
                <w:rFonts w:ascii="Arial" w:cs="Arial" w:eastAsia="Arial" w:hAnsi="Arial"/>
                <w:sz w:val="11"/>
                <w:szCs w:val="11"/>
                <w:color w:val="auto"/>
              </w:rPr>
              <w:t>Eligible Inventory</w:t>
            </w:r>
          </w:p>
        </w:tc>
        <w:tc>
          <w:tcPr>
            <w:tcW w:w="23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740" w:type="dxa"/>
            <w:vAlign w:val="bottom"/>
          </w:tcPr>
          <w:p>
            <w:pPr>
              <w:ind w:left="360"/>
              <w:spacing w:after="0"/>
              <w:rPr>
                <w:sz w:val="20"/>
                <w:szCs w:val="20"/>
                <w:color w:val="auto"/>
              </w:rPr>
            </w:pPr>
            <w:r>
              <w:rPr>
                <w:rFonts w:ascii="Arial" w:cs="Arial" w:eastAsia="Arial" w:hAnsi="Arial"/>
                <w:sz w:val="11"/>
                <w:szCs w:val="11"/>
                <w:color w:val="auto"/>
              </w:rPr>
              <w:t>NOLV</w:t>
            </w:r>
          </w:p>
        </w:tc>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1"/>
                <w:szCs w:val="11"/>
                <w:color w:val="auto"/>
              </w:rPr>
              <w:t>101.8%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740" w:type="dxa"/>
            <w:vAlign w:val="bottom"/>
          </w:tcPr>
          <w:p>
            <w:pPr>
              <w:ind w:left="360"/>
              <w:spacing w:after="0"/>
              <w:rPr>
                <w:sz w:val="20"/>
                <w:szCs w:val="20"/>
                <w:color w:val="auto"/>
              </w:rPr>
            </w:pPr>
            <w:r>
              <w:rPr>
                <w:rFonts w:ascii="Arial" w:cs="Arial" w:eastAsia="Arial" w:hAnsi="Arial"/>
                <w:sz w:val="11"/>
                <w:szCs w:val="11"/>
                <w:color w:val="auto"/>
              </w:rPr>
              <w:t>Advance Rate (10% for Year 1, 7.5% for Year 2, 5% for Year 3 and thereafter)</w:t>
            </w:r>
          </w:p>
        </w:tc>
        <w:tc>
          <w:tcPr>
            <w:tcW w:w="2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264"/>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FILO Inventory Availability</w:t>
            </w:r>
          </w:p>
        </w:tc>
        <w:tc>
          <w:tcPr>
            <w:tcW w:w="234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760" w:type="dxa"/>
            <w:vAlign w:val="bottom"/>
            <w:gridSpan w:val="2"/>
          </w:tcPr>
          <w:p>
            <w:pPr>
              <w:spacing w:after="0"/>
              <w:rPr>
                <w:sz w:val="20"/>
                <w:szCs w:val="20"/>
                <w:color w:val="auto"/>
              </w:rPr>
            </w:pPr>
            <w:r>
              <w:rPr>
                <w:rFonts w:ascii="Arial" w:cs="Arial" w:eastAsia="Arial" w:hAnsi="Arial"/>
                <w:sz w:val="11"/>
                <w:szCs w:val="11"/>
                <w:color w:val="auto"/>
              </w:rPr>
              <w:t>Eligible In-Transit Inventory</w:t>
            </w:r>
          </w:p>
        </w:tc>
        <w:tc>
          <w:tcPr>
            <w:tcW w:w="2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740" w:type="dxa"/>
            <w:vAlign w:val="bottom"/>
          </w:tcPr>
          <w:p>
            <w:pPr>
              <w:ind w:left="360"/>
              <w:spacing w:after="0"/>
              <w:rPr>
                <w:sz w:val="20"/>
                <w:szCs w:val="20"/>
                <w:color w:val="auto"/>
              </w:rPr>
            </w:pPr>
            <w:r>
              <w:rPr>
                <w:rFonts w:ascii="Arial" w:cs="Arial" w:eastAsia="Arial" w:hAnsi="Arial"/>
                <w:sz w:val="11"/>
                <w:szCs w:val="11"/>
                <w:color w:val="auto"/>
              </w:rPr>
              <w:t>NOLV</w:t>
            </w:r>
          </w:p>
        </w:tc>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1"/>
                <w:szCs w:val="11"/>
                <w:color w:val="auto"/>
              </w:rPr>
              <w:t>101.8%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740" w:type="dxa"/>
            <w:vAlign w:val="bottom"/>
          </w:tcPr>
          <w:p>
            <w:pPr>
              <w:ind w:left="360"/>
              <w:spacing w:after="0"/>
              <w:rPr>
                <w:sz w:val="20"/>
                <w:szCs w:val="20"/>
                <w:color w:val="auto"/>
              </w:rPr>
            </w:pPr>
            <w:r>
              <w:rPr>
                <w:rFonts w:ascii="Arial" w:cs="Arial" w:eastAsia="Arial" w:hAnsi="Arial"/>
                <w:sz w:val="11"/>
                <w:szCs w:val="11"/>
                <w:color w:val="auto"/>
              </w:rPr>
              <w:t>Advance Rate (10% for Year 1, 7.5% for Year 2, 5% for Year 3 and thereafter)</w:t>
            </w:r>
          </w:p>
        </w:tc>
        <w:tc>
          <w:tcPr>
            <w:tcW w:w="2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264"/>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FILO In-Transit Inventory Availability</w:t>
            </w:r>
          </w:p>
        </w:tc>
        <w:tc>
          <w:tcPr>
            <w:tcW w:w="234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760" w:type="dxa"/>
            <w:vAlign w:val="bottom"/>
            <w:gridSpan w:val="2"/>
          </w:tcPr>
          <w:p>
            <w:pPr>
              <w:spacing w:after="0"/>
              <w:rPr>
                <w:sz w:val="20"/>
                <w:szCs w:val="20"/>
                <w:color w:val="auto"/>
              </w:rPr>
            </w:pPr>
            <w:r>
              <w:rPr>
                <w:rFonts w:ascii="Arial" w:cs="Arial" w:eastAsia="Arial" w:hAnsi="Arial"/>
                <w:sz w:val="11"/>
                <w:szCs w:val="11"/>
                <w:color w:val="auto"/>
              </w:rPr>
              <w:t>Eligible Credit Card Receivables</w:t>
            </w:r>
          </w:p>
        </w:tc>
        <w:tc>
          <w:tcPr>
            <w:tcW w:w="2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740" w:type="dxa"/>
            <w:vAlign w:val="bottom"/>
          </w:tcPr>
          <w:p>
            <w:pPr>
              <w:ind w:left="360"/>
              <w:spacing w:after="0"/>
              <w:rPr>
                <w:sz w:val="20"/>
                <w:szCs w:val="20"/>
                <w:color w:val="auto"/>
              </w:rPr>
            </w:pPr>
            <w:r>
              <w:rPr>
                <w:rFonts w:ascii="Arial" w:cs="Arial" w:eastAsia="Arial" w:hAnsi="Arial"/>
                <w:sz w:val="11"/>
                <w:szCs w:val="11"/>
                <w:color w:val="auto"/>
              </w:rPr>
              <w:t>Advance Rate (10% for Year 1, 7.5% for Year 2, 5% for Year 3 and thereafter)</w:t>
            </w:r>
          </w:p>
        </w:tc>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264"/>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FILO Credit Card Receivables Availability</w:t>
            </w:r>
          </w:p>
        </w:tc>
        <w:tc>
          <w:tcPr>
            <w:tcW w:w="234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760" w:type="dxa"/>
            <w:vAlign w:val="bottom"/>
            <w:gridSpan w:val="2"/>
          </w:tcPr>
          <w:p>
            <w:pPr>
              <w:spacing w:after="0"/>
              <w:rPr>
                <w:sz w:val="20"/>
                <w:szCs w:val="20"/>
                <w:color w:val="auto"/>
              </w:rPr>
            </w:pPr>
            <w:r>
              <w:rPr>
                <w:rFonts w:ascii="Arial" w:cs="Arial" w:eastAsia="Arial" w:hAnsi="Arial"/>
                <w:sz w:val="11"/>
                <w:szCs w:val="11"/>
                <w:color w:val="auto"/>
              </w:rPr>
              <w:t>Net Orderly Liquidation Value of Eligible Trade Names</w:t>
            </w:r>
          </w:p>
        </w:tc>
        <w:tc>
          <w:tcPr>
            <w:tcW w:w="2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740" w:type="dxa"/>
            <w:vAlign w:val="bottom"/>
          </w:tcPr>
          <w:p>
            <w:pPr>
              <w:ind w:left="360"/>
              <w:spacing w:after="0"/>
              <w:rPr>
                <w:sz w:val="20"/>
                <w:szCs w:val="20"/>
                <w:color w:val="auto"/>
              </w:rPr>
            </w:pPr>
            <w:r>
              <w:rPr>
                <w:rFonts w:ascii="Arial" w:cs="Arial" w:eastAsia="Arial" w:hAnsi="Arial"/>
                <w:sz w:val="11"/>
                <w:szCs w:val="11"/>
                <w:color w:val="auto"/>
              </w:rPr>
              <w:t>Advance Rate (50% for Year 1, 45% for Year 2, 40% for Year 3, 35% for Year 4, 30% for Year 5)</w:t>
            </w:r>
          </w:p>
        </w:tc>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264"/>
        </w:trPr>
        <w:tc>
          <w:tcPr>
            <w:tcW w:w="7760" w:type="dxa"/>
            <w:vAlign w:val="bottom"/>
            <w:gridSpan w:val="2"/>
          </w:tcPr>
          <w:p>
            <w:pPr>
              <w:spacing w:after="0"/>
              <w:rPr>
                <w:sz w:val="20"/>
                <w:szCs w:val="20"/>
                <w:color w:val="auto"/>
              </w:rPr>
            </w:pPr>
            <w:r>
              <w:rPr>
                <w:rFonts w:ascii="Arial" w:cs="Arial" w:eastAsia="Arial" w:hAnsi="Arial"/>
                <w:sz w:val="11"/>
                <w:szCs w:val="11"/>
                <w:b w:val="1"/>
                <w:bCs w:val="1"/>
                <w:color w:val="auto"/>
              </w:rPr>
              <w:t>FILO Trade Name Availability (capped at $4MM)</w:t>
            </w:r>
          </w:p>
        </w:tc>
        <w:tc>
          <w:tcPr>
            <w:tcW w:w="2340" w:type="dxa"/>
            <w:vAlign w:val="bottom"/>
          </w:tcPr>
          <w:p>
            <w:pPr>
              <w:spacing w:after="0"/>
              <w:rPr>
                <w:sz w:val="22"/>
                <w:szCs w:val="22"/>
                <w:color w:val="auto"/>
              </w:rPr>
            </w:pPr>
          </w:p>
        </w:tc>
        <w:tc>
          <w:tcPr>
            <w:tcW w:w="2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740" w:type="dxa"/>
            <w:vAlign w:val="bottom"/>
            <w:tcBorders>
              <w:top w:val="single" w:sz="8" w:color="auto"/>
            </w:tcBorders>
          </w:tcPr>
          <w:p>
            <w:pPr>
              <w:ind w:left="360"/>
              <w:spacing w:after="0"/>
              <w:rPr>
                <w:sz w:val="20"/>
                <w:szCs w:val="20"/>
                <w:color w:val="auto"/>
              </w:rPr>
            </w:pPr>
            <w:r>
              <w:rPr>
                <w:rFonts w:ascii="Arial" w:cs="Arial" w:eastAsia="Arial" w:hAnsi="Arial"/>
                <w:sz w:val="11"/>
                <w:szCs w:val="11"/>
                <w:color w:val="auto"/>
              </w:rPr>
              <w:t>LESS: Availability Reserves relating to Eligible Trade Names</w:t>
            </w:r>
          </w:p>
        </w:tc>
        <w:tc>
          <w:tcPr>
            <w:tcW w:w="234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7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74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1"/>
                <w:szCs w:val="11"/>
                <w:b w:val="1"/>
                <w:bCs w:val="1"/>
                <w:color w:val="auto"/>
              </w:rPr>
              <w:t>Total FILO Collateral Availability</w:t>
            </w:r>
          </w:p>
        </w:tc>
        <w:tc>
          <w:tcPr>
            <w:tcW w:w="2580" w:type="dxa"/>
            <w:vAlign w:val="bottom"/>
            <w:tcBorders>
              <w:bottom w:val="single" w:sz="8" w:color="auto"/>
            </w:tcBorders>
            <w:gridSpan w:val="2"/>
            <w:shd w:val="clear" w:color="auto" w:fill="D9D9D9"/>
          </w:tcPr>
          <w:p>
            <w:pPr>
              <w:jc w:val="right"/>
              <w:ind w:right="106"/>
              <w:spacing w:after="0"/>
              <w:rPr>
                <w:sz w:val="20"/>
                <w:szCs w:val="20"/>
                <w:color w:val="auto"/>
              </w:rPr>
            </w:pPr>
            <w:r>
              <w:rPr>
                <w:rFonts w:ascii="Arial" w:cs="Arial" w:eastAsia="Arial" w:hAnsi="Arial"/>
                <w:sz w:val="11"/>
                <w:szCs w:val="11"/>
                <w:b w:val="1"/>
                <w:bCs w:val="1"/>
                <w:color w:val="auto"/>
              </w:rPr>
              <w:t>$</w:t>
            </w:r>
          </w:p>
        </w:tc>
        <w:tc>
          <w:tcPr>
            <w:tcW w:w="9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7760" w:type="dxa"/>
            <w:vAlign w:val="bottom"/>
            <w:gridSpan w:val="2"/>
          </w:tcPr>
          <w:p>
            <w:pPr>
              <w:spacing w:after="0"/>
              <w:rPr>
                <w:sz w:val="20"/>
                <w:szCs w:val="20"/>
                <w:color w:val="auto"/>
              </w:rPr>
            </w:pPr>
            <w:r>
              <w:rPr>
                <w:rFonts w:ascii="Arial" w:cs="Arial" w:eastAsia="Arial" w:hAnsi="Arial"/>
                <w:sz w:val="11"/>
                <w:szCs w:val="11"/>
                <w:b w:val="1"/>
                <w:bCs w:val="1"/>
                <w:color w:val="auto"/>
              </w:rPr>
              <w:t>FILO Loan Principal</w:t>
            </w:r>
          </w:p>
        </w:tc>
        <w:tc>
          <w:tcPr>
            <w:tcW w:w="2580" w:type="dxa"/>
            <w:vAlign w:val="bottom"/>
            <w:gridSpan w:val="2"/>
          </w:tcPr>
          <w:p>
            <w:pPr>
              <w:jc w:val="right"/>
              <w:ind w:right="106"/>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15,000,000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gridSpan w:val="2"/>
          </w:tcPr>
          <w:p>
            <w:pPr>
              <w:spacing w:after="0"/>
              <w:rPr>
                <w:sz w:val="20"/>
                <w:szCs w:val="20"/>
                <w:color w:val="auto"/>
              </w:rPr>
            </w:pPr>
            <w:r>
              <w:rPr>
                <w:rFonts w:ascii="Arial" w:cs="Arial" w:eastAsia="Arial" w:hAnsi="Arial"/>
                <w:sz w:val="11"/>
                <w:szCs w:val="11"/>
                <w:i w:val="1"/>
                <w:iCs w:val="1"/>
                <w:color w:val="auto"/>
              </w:rPr>
              <w:t>FILO Pushdown Reserve</w:t>
            </w:r>
          </w:p>
        </w:tc>
        <w:tc>
          <w:tcPr>
            <w:tcW w:w="2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DB1/ 102725325.2</w:t>
      </w:r>
    </w:p>
    <w:sectPr>
      <w:pgSz w:w="11900" w:h="16838" w:orient="portrait"/>
      <w:cols w:equalWidth="0" w:num="1">
        <w:col w:w="11420"/>
      </w:cols>
      <w:pgMar w:left="240" w:top="3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4"/>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1"/>
      <w:numFmt w:val="lowerRoman"/>
      <w:start w:val="1"/>
    </w:lvl>
    <w:lvl w:ilvl="1">
      <w:lvlJc w:val="left"/>
      <w:lvlText w:val="(%2)"/>
      <w:numFmt w:val="lowerLetter"/>
      <w:start w:val="5"/>
    </w:lvl>
  </w:abstractNum>
  <w:abstractNum w:abstractNumId="5">
    <w:nsid w:val="216231B"/>
    <w:multiLevelType w:val="hybridMultilevel"/>
    <w:lvl w:ilvl="0">
      <w:lvlJc w:val="left"/>
      <w:lvlText w:val="%1."/>
      <w:numFmt w:val="lowerRoman"/>
      <w:start w:val="2"/>
    </w:lvl>
    <w:lvl w:ilvl="1">
      <w:lvlJc w:val="left"/>
      <w:lvlText w:val="%2"/>
      <w:numFmt w:val="lowerLetter"/>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35"/>
    </w:lvl>
  </w:abstractNum>
  <w:abstractNum w:abstractNumId="8">
    <w:nsid w:val="66EF438D"/>
    <w:multiLevelType w:val="hybridMultilevel"/>
    <w:lvl w:ilvl="0">
      <w:lvlJc w:val="left"/>
      <w:lvlText w:val="(%1)"/>
      <w:numFmt w:val="lowerLetter"/>
      <w:start w:val="5"/>
    </w:lvl>
  </w:abstractNum>
  <w:abstractNum w:abstractNumId="9">
    <w:nsid w:val="140E0F76"/>
    <w:multiLevelType w:val="hybridMultilevel"/>
    <w:lvl w:ilvl="0">
      <w:lvlJc w:val="left"/>
      <w:lvlText w:val="(%1)"/>
      <w:numFmt w:val="lowerLetter"/>
      <w:start w:val="6"/>
    </w:lvl>
  </w:abstractNum>
  <w:abstractNum w:abstractNumId="10">
    <w:nsid w:val="3352255A"/>
    <w:multiLevelType w:val="hybridMultilevel"/>
    <w:lvl w:ilvl="0">
      <w:lvlJc w:val="left"/>
      <w:lvlText w:val="%1"/>
      <w:numFmt w:val="decimal"/>
      <w:start w:val="1"/>
    </w:lvl>
    <w:lvl w:ilvl="1">
      <w:lvlJc w:val="left"/>
      <w:lvlText w:val="%2."/>
      <w:numFmt w:val="lowerLetter"/>
      <w:start w:val="2"/>
    </w:lvl>
  </w:abstractNum>
  <w:abstractNum w:abstractNumId="11">
    <w:nsid w:val="109CF92E"/>
    <w:multiLevelType w:val="hybridMultilevel"/>
    <w:lvl w:ilvl="0">
      <w:lvlJc w:val="left"/>
      <w:lvlText w:val="%1."/>
      <w:numFmt w:val="decimal"/>
      <w:start w:val="5"/>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3"/>
    </w:lvl>
  </w:abstractNum>
  <w:abstractNum w:abstractNumId="13">
    <w:nsid w:val="7FDCC233"/>
    <w:multiLevelType w:val="hybridMultilevel"/>
    <w:lvl w:ilvl="0">
      <w:lvlJc w:val="left"/>
      <w:lvlText w:val="%1."/>
      <w:numFmt w:val="decimal"/>
      <w:start w:val="6"/>
    </w:lvl>
    <w:lvl w:ilvl="1">
      <w:lvlJc w:val="left"/>
      <w:lvlText w:val="%2"/>
      <w:numFmt w:val="lowerLetter"/>
      <w:start w:val="1"/>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2019-12-28T11:34:46Z</dcterms:created>
  <dcterms:modified xsi:type="dcterms:W3CDTF">2019-12-28T11:34:46Z</dcterms:modified>
</cp:coreProperties>
</file>