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May 1, 1999</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4020" w:space="720"/>
            <w:col w:w="2320" w:space="320"/>
            <w:col w:w="28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740"/>
        <w:spacing w:after="0" w:line="238" w:lineRule="auto"/>
        <w:rPr>
          <w:sz w:val="20"/>
          <w:szCs w:val="20"/>
          <w:color w:val="auto"/>
        </w:rPr>
      </w:pPr>
      <w:r>
        <w:rPr>
          <w:rFonts w:ascii="Courier New" w:cs="Courier New" w:eastAsia="Courier New" w:hAnsi="Courier New"/>
          <w:sz w:val="18"/>
          <w:szCs w:val="18"/>
          <w:color w:val="auto"/>
        </w:rPr>
        <w:t>(Exact name of registrant as</w:t>
      </w:r>
    </w:p>
    <w:p>
      <w:pPr>
        <w:ind w:left="2960"/>
        <w:spacing w:after="0"/>
        <w:rPr>
          <w:sz w:val="20"/>
          <w:szCs w:val="20"/>
          <w:color w:val="auto"/>
        </w:rPr>
      </w:pPr>
      <w:r>
        <w:rPr>
          <w:rFonts w:ascii="Courier New" w:cs="Courier New" w:eastAsia="Courier New" w:hAnsi="Courier New"/>
          <w:sz w:val="18"/>
          <w:szCs w:val="18"/>
          <w:color w:val="auto"/>
        </w:rPr>
        <w:t>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Delaware</w:t>
            </w:r>
          </w:p>
        </w:tc>
        <w:tc>
          <w:tcPr>
            <w:tcW w:w="3800" w:type="dxa"/>
            <w:vAlign w:val="bottom"/>
          </w:tcPr>
          <w:p>
            <w:pPr>
              <w:ind w:left="1580"/>
              <w:spacing w:after="0"/>
              <w:rPr>
                <w:sz w:val="20"/>
                <w:szCs w:val="20"/>
                <w:color w:val="auto"/>
              </w:rPr>
            </w:pPr>
            <w:r>
              <w:rPr>
                <w:rFonts w:ascii="Courier New" w:cs="Courier New" w:eastAsia="Courier New" w:hAnsi="Courier New"/>
                <w:sz w:val="18"/>
                <w:szCs w:val="18"/>
                <w:color w:val="auto"/>
              </w:rPr>
              <w:t>04-2623104</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 jurisdiction of</w:t>
            </w:r>
          </w:p>
        </w:tc>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incorporation or</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organization)</w:t>
            </w:r>
          </w:p>
        </w:tc>
        <w:tc>
          <w:tcPr>
            <w:tcW w:w="3800" w:type="dxa"/>
            <w:vAlign w:val="bottom"/>
          </w:tcPr>
          <w:p>
            <w:pPr>
              <w:spacing w:after="0"/>
              <w:rPr>
                <w:sz w:val="17"/>
                <w:szCs w:val="17"/>
                <w:color w:val="auto"/>
              </w:rPr>
            </w:pP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66 B</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Needham, MA</w:t>
            </w:r>
          </w:p>
        </w:tc>
        <w:tc>
          <w:tcPr>
            <w:tcW w:w="38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02494</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principal executive offices)</w:t>
            </w:r>
          </w:p>
        </w:tc>
        <w:tc>
          <w:tcPr>
            <w:tcW w:w="38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2640" w:hanging="1895"/>
        <w:spacing w:after="0" w:line="238"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20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Class</w:t>
            </w:r>
          </w:p>
        </w:tc>
        <w:tc>
          <w:tcPr>
            <w:tcW w:w="4640" w:type="dxa"/>
            <w:vAlign w:val="bottom"/>
          </w:tcPr>
          <w:p>
            <w:pPr>
              <w:ind w:left="1580"/>
              <w:spacing w:after="0"/>
              <w:rPr>
                <w:sz w:val="20"/>
                <w:szCs w:val="20"/>
                <w:color w:val="auto"/>
              </w:rPr>
            </w:pPr>
            <w:r>
              <w:rPr>
                <w:rFonts w:ascii="Courier New" w:cs="Courier New" w:eastAsia="Courier New" w:hAnsi="Courier New"/>
                <w:sz w:val="18"/>
                <w:szCs w:val="18"/>
                <w:color w:val="auto"/>
                <w:w w:val="97"/>
              </w:rPr>
              <w:t>Outstanding as of May 1, 1999</w:t>
            </w:r>
          </w:p>
        </w:tc>
      </w:tr>
      <w:tr>
        <w:trPr>
          <w:trHeight w:val="203"/>
        </w:trPr>
        <w:tc>
          <w:tcPr>
            <w:tcW w:w="22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20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2"/>
              </w:rPr>
              <w:t>Common</w:t>
            </w:r>
          </w:p>
        </w:tc>
        <w:tc>
          <w:tcPr>
            <w:tcW w:w="46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15,930,000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0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DESIGNS, INC.</w:t>
            </w: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CONSOLIDATED BALANCE</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SHEETS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00" w:type="dxa"/>
            <w:vAlign w:val="bottom"/>
            <w:gridSpan w:val="4"/>
          </w:tcPr>
          <w:p>
            <w:pPr>
              <w:ind w:left="1900"/>
              <w:spacing w:after="0" w:line="203" w:lineRule="exact"/>
              <w:rPr>
                <w:sz w:val="20"/>
                <w:szCs w:val="20"/>
                <w:color w:val="auto"/>
              </w:rPr>
            </w:pPr>
            <w:r>
              <w:rPr>
                <w:rFonts w:ascii="Courier New" w:cs="Courier New" w:eastAsia="Courier New" w:hAnsi="Courier New"/>
                <w:sz w:val="18"/>
                <w:szCs w:val="18"/>
                <w:color w:val="auto"/>
              </w:rPr>
              <w:t>May 1, 1999, May 2, 1998 and January 30, 1999</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data)</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39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May</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1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May 2,</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30,</w:t>
            </w:r>
          </w:p>
        </w:tc>
      </w:tr>
      <w:tr>
        <w:trPr>
          <w:trHeight w:val="203"/>
        </w:trPr>
        <w:tc>
          <w:tcPr>
            <w:tcW w:w="390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gridSpan w:val="2"/>
          </w:tcPr>
          <w:p>
            <w:pPr>
              <w:ind w:left="3800"/>
              <w:spacing w:after="0"/>
              <w:rPr>
                <w:sz w:val="20"/>
                <w:szCs w:val="20"/>
                <w:color w:val="auto"/>
              </w:rPr>
            </w:pPr>
            <w:r>
              <w:rPr>
                <w:rFonts w:ascii="Courier New" w:cs="Courier New" w:eastAsia="Courier New" w:hAnsi="Courier New"/>
                <w:sz w:val="14"/>
                <w:szCs w:val="14"/>
                <w:color w:val="auto"/>
                <w:w w:val="71"/>
              </w:rPr>
              <w:t>-------------</w:t>
            </w:r>
          </w:p>
        </w:tc>
        <w:tc>
          <w:tcPr>
            <w:tcW w:w="460" w:type="dxa"/>
            <w:vAlign w:val="bottom"/>
          </w:tcPr>
          <w:p>
            <w:pPr>
              <w:spacing w:after="0"/>
              <w:rPr>
                <w:sz w:val="17"/>
                <w:szCs w:val="17"/>
                <w:color w:val="auto"/>
              </w:rPr>
            </w:pP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00" w:type="dxa"/>
            <w:vAlign w:val="bottom"/>
          </w:tcPr>
          <w:p>
            <w:pPr>
              <w:spacing w:after="0"/>
              <w:rPr>
                <w:sz w:val="17"/>
                <w:szCs w:val="17"/>
                <w:color w:val="auto"/>
              </w:rPr>
            </w:pPr>
          </w:p>
        </w:tc>
        <w:tc>
          <w:tcPr>
            <w:tcW w:w="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$ 3,758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0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214</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52,480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56,926</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57,925</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Income taxes refundable and deferred</w:t>
            </w:r>
          </w:p>
        </w:tc>
        <w:tc>
          <w:tcPr>
            <w:tcW w:w="70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2,760</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3,031</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1,342</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w:t>
            </w:r>
          </w:p>
        </w:tc>
      </w:tr>
    </w:tbl>
    <w:p>
      <w:pPr>
        <w:spacing w:after="0" w:line="4" w:lineRule="exact"/>
        <w:rPr>
          <w:sz w:val="24"/>
          <w:szCs w:val="24"/>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193" w:lineRule="auto"/>
        <w:framePr w:w="920" w:h="146" w:wrap="auto" w:vAnchor="page" w:hAnchor="page" w:x="4220" w:y="10474"/>
        <w:rPr>
          <w:rFonts w:ascii="Courier New" w:cs="Courier New" w:eastAsia="Courier New" w:hAnsi="Courier New"/>
          <w:sz w:val="16"/>
          <w:szCs w:val="16"/>
          <w:color w:val="auto"/>
        </w:rPr>
      </w:pPr>
      <w:r>
        <w:rPr>
          <w:rFonts w:ascii="Courier New" w:cs="Courier New" w:eastAsia="Courier New" w:hAnsi="Courier New"/>
          <w:sz w:val="16"/>
          <w:szCs w:val="16"/>
          <w:color w:val="auto"/>
        </w:rPr>
        <w:t>$ 95,817</w:t>
      </w:r>
    </w:p>
    <w:p>
      <w:pPr>
        <w:spacing w:after="0" w:line="193" w:lineRule="auto"/>
        <w:framePr w:w="1040" w:h="146" w:wrap="auto" w:vAnchor="page" w:hAnchor="page" w:x="5680" w:y="10474"/>
        <w:rPr>
          <w:rFonts w:ascii="Courier New" w:cs="Courier New" w:eastAsia="Courier New" w:hAnsi="Courier New"/>
          <w:sz w:val="16"/>
          <w:szCs w:val="16"/>
          <w:color w:val="auto"/>
        </w:rPr>
      </w:pPr>
      <w:r>
        <w:rPr>
          <w:rFonts w:ascii="Courier New" w:cs="Courier New" w:eastAsia="Courier New" w:hAnsi="Courier New"/>
          <w:sz w:val="16"/>
          <w:szCs w:val="16"/>
          <w:color w:val="auto"/>
        </w:rPr>
        <w:t>$ 107,427</w:t>
      </w:r>
    </w:p>
    <w:p>
      <w:pPr>
        <w:spacing w:after="0" w:line="193" w:lineRule="auto"/>
        <w:framePr w:w="920" w:h="146" w:wrap="auto" w:vAnchor="page" w:hAnchor="page" w:x="7480" w:y="10474"/>
        <w:rPr>
          <w:rFonts w:ascii="Courier New" w:cs="Courier New" w:eastAsia="Courier New" w:hAnsi="Courier New"/>
          <w:sz w:val="16"/>
          <w:szCs w:val="16"/>
          <w:color w:val="auto"/>
        </w:rPr>
      </w:pPr>
      <w:r>
        <w:rPr>
          <w:rFonts w:ascii="Courier New" w:cs="Courier New" w:eastAsia="Courier New" w:hAnsi="Courier New"/>
          <w:sz w:val="16"/>
          <w:szCs w:val="16"/>
          <w:color w:val="auto"/>
        </w:rPr>
        <w:t>$ 99,317</w:t>
      </w:r>
    </w:p>
    <w:p>
      <w:pPr>
        <w:spacing w:after="0" w:line="193" w:lineRule="auto"/>
        <w:framePr w:w="4520" w:h="146" w:wrap="auto" w:vAnchor="page" w:hAnchor="page" w:x="4100" w:y="1067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Total current assets</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56,793</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65,000</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59,439</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 and</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17,142</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32,724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17,788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8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18,456</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6,362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18,570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8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2,549</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2,885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2,628</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8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877</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892</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8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$ 95,817</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$ 107,427</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$ 99,317</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5220" w:type="dxa"/>
            <w:vAlign w:val="bottom"/>
            <w:gridSpan w:val="3"/>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$ 7,926</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$ 12,592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$ 8,716</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Accrued expenses and other</w:t>
            </w: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6,278</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6,543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6,433</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2,992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closings</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3,598</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4,372</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12,829</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13,825</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32,621</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23,618</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35,361</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800" w:type="dxa"/>
            <w:vAlign w:val="bottom"/>
          </w:tcPr>
          <w:p>
            <w:pPr>
              <w:spacing w:after="0"/>
              <w:rPr>
                <w:sz w:val="24"/>
                <w:szCs w:val="24"/>
                <w:color w:val="auto"/>
              </w:rPr>
            </w:pP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4,465</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Preferred Stock, $0.01 par value,</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1,000,000 shares authorized,</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 issued</w:t>
            </w: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50,000,000 shares authorized,</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16,217,000,16,020,000,and</w:t>
            </w:r>
          </w:p>
        </w:tc>
        <w:tc>
          <w:tcPr>
            <w:tcW w:w="2320" w:type="dxa"/>
            <w:vAlign w:val="bottom"/>
            <w:gridSpan w:val="2"/>
          </w:tcPr>
          <w:p>
            <w:pPr>
              <w:jc w:val="right"/>
              <w:ind w:right="1112"/>
              <w:spacing w:after="0" w:line="203" w:lineRule="exact"/>
              <w:rPr>
                <w:sz w:val="20"/>
                <w:szCs w:val="20"/>
                <w:color w:val="auto"/>
              </w:rPr>
            </w:pPr>
            <w:r>
              <w:rPr>
                <w:rFonts w:ascii="Courier New" w:cs="Courier New" w:eastAsia="Courier New" w:hAnsi="Courier New"/>
                <w:sz w:val="18"/>
                <w:szCs w:val="18"/>
                <w:color w:val="auto"/>
              </w:rPr>
              <w:t>16,178,000</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 issued at May 1, 1999,</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May 2, 1998 and January 30, 1999,</w:t>
            </w: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Additional paid-in capital</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53,996</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53,668</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53,908</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10,990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27,343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11,854</w:t>
            </w:r>
          </w:p>
        </w:tc>
      </w:tr>
      <w:tr>
        <w:trPr>
          <w:trHeight w:val="203"/>
        </w:trPr>
        <w:tc>
          <w:tcPr>
            <w:tcW w:w="5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286,650 shares</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at May 1, 1999 and January 30, 1999</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and 281,000 shares at May 2, 1998</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(1,830)</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80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Total stockholders' equity</w:t>
            </w:r>
          </w:p>
        </w:tc>
        <w:tc>
          <w:tcPr>
            <w:tcW w:w="8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63,196</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79,344</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63,956</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rFonts w:ascii="Courier New" w:cs="Courier New" w:eastAsia="Courier New" w:hAnsi="Courier New"/>
          <w:sz w:val="16"/>
          <w:szCs w:val="16"/>
          <w:color w:val="auto"/>
        </w:rPr>
      </w:pPr>
    </w:p>
    <w:p>
      <w:pPr>
        <w:jc w:val="right"/>
        <w:ind w:left="120" w:right="7899"/>
        <w:spacing w:after="0" w:line="290" w:lineRule="auto"/>
        <w:rPr>
          <w:sz w:val="20"/>
          <w:szCs w:val="20"/>
          <w:color w:val="auto"/>
        </w:rPr>
      </w:pPr>
      <w:r>
        <w:rPr>
          <w:rFonts w:ascii="Courier New" w:cs="Courier New" w:eastAsia="Courier New" w:hAnsi="Courier New"/>
          <w:sz w:val="16"/>
          <w:szCs w:val="16"/>
          <w:color w:val="auto"/>
        </w:rPr>
        <w:t>Total liabilities and stockholders' equity</w:t>
      </w:r>
    </w:p>
    <w:p>
      <w:pPr>
        <w:spacing w:after="0" w:line="367" w:lineRule="exact"/>
        <w:rPr>
          <w:rFonts w:ascii="Courier New" w:cs="Courier New" w:eastAsia="Courier New" w:hAnsi="Courier New"/>
          <w:sz w:val="16"/>
          <w:szCs w:val="16"/>
          <w:color w:val="auto"/>
        </w:rPr>
      </w:pPr>
    </w:p>
    <w:p>
      <w:pPr>
        <w:ind w:left="1700"/>
        <w:spacing w:after="0"/>
        <w:rPr>
          <w:sz w:val="20"/>
          <w:szCs w:val="20"/>
          <w:color w:val="auto"/>
        </w:rPr>
      </w:pPr>
      <w:r>
        <w:rPr>
          <w:rFonts w:ascii="Courier New" w:cs="Courier New" w:eastAsia="Courier New" w:hAnsi="Courier New"/>
          <w:sz w:val="18"/>
          <w:szCs w:val="18"/>
          <w:color w:val="auto"/>
        </w:rPr>
        <w:t>The accompanying notes are an intergral part of</w:t>
      </w:r>
    </w:p>
    <w:p>
      <w:pPr>
        <w:ind w:left="2220"/>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960" w:type="dxa"/>
            <w:vAlign w:val="bottom"/>
          </w:tcPr>
          <w:p>
            <w:pPr>
              <w:ind w:left="3480"/>
              <w:spacing w:after="0"/>
              <w:rPr>
                <w:sz w:val="20"/>
                <w:szCs w:val="20"/>
                <w:color w:val="auto"/>
              </w:rPr>
            </w:pPr>
            <w:r>
              <w:rPr>
                <w:rFonts w:ascii="Courier New" w:cs="Courier New" w:eastAsia="Courier New" w:hAnsi="Courier New"/>
                <w:sz w:val="18"/>
                <w:szCs w:val="18"/>
                <w:color w:val="auto"/>
              </w:rPr>
              <w:t>DESIGNS, INC.</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5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1800" w:type="dxa"/>
            <w:vAlign w:val="bottom"/>
          </w:tcPr>
          <w:p>
            <w:pPr>
              <w:spacing w:after="0"/>
              <w:rPr>
                <w:sz w:val="17"/>
                <w:szCs w:val="17"/>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data)</w:t>
            </w:r>
          </w:p>
        </w:tc>
        <w:tc>
          <w:tcPr>
            <w:tcW w:w="1800" w:type="dxa"/>
            <w:vAlign w:val="bottom"/>
          </w:tcPr>
          <w:p>
            <w:pPr>
              <w:spacing w:after="0"/>
              <w:rPr>
                <w:sz w:val="17"/>
                <w:szCs w:val="17"/>
                <w:color w:val="auto"/>
              </w:rPr>
            </w:pPr>
          </w:p>
        </w:tc>
      </w:tr>
      <w:tr>
        <w:trPr>
          <w:trHeight w:val="203"/>
        </w:trPr>
        <w:tc>
          <w:tcPr>
            <w:tcW w:w="496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May 1,</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May 2,</w:t>
            </w:r>
          </w:p>
        </w:tc>
      </w:tr>
      <w:tr>
        <w:trPr>
          <w:trHeight w:val="203"/>
        </w:trPr>
        <w:tc>
          <w:tcPr>
            <w:tcW w:w="4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39,835</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$ 43,400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29,618</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34,024</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48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10,217</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9,376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9,593</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11,946</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1,726</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2,491</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11,319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14,437</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loss</w:t>
            </w:r>
          </w:p>
        </w:tc>
        <w:tc>
          <w:tcPr>
            <w:tcW w:w="4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(1,102)</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(5,061)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48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325</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minority</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(1,421)</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(5,232)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minority interest</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Loss before income taxes</w:t>
            </w:r>
          </w:p>
        </w:tc>
        <w:tc>
          <w:tcPr>
            <w:tcW w:w="4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(1,421)</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(5,006)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for income taxes</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(558)</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(863)</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(3,052)</w:t>
            </w:r>
          </w:p>
        </w:tc>
      </w:tr>
      <w:tr>
        <w:trPr>
          <w:trHeight w:val="203"/>
        </w:trPr>
        <w:tc>
          <w:tcPr>
            <w:tcW w:w="496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960" w:type="dxa"/>
            <w:vAlign w:val="bottom"/>
          </w:tcPr>
          <w:p>
            <w:pPr>
              <w:spacing w:after="0"/>
              <w:rPr>
                <w:sz w:val="20"/>
                <w:szCs w:val="20"/>
                <w:color w:val="auto"/>
              </w:rPr>
            </w:pPr>
            <w:r>
              <w:rPr>
                <w:rFonts w:ascii="Courier New" w:cs="Courier New" w:eastAsia="Courier New" w:hAnsi="Courier New"/>
                <w:sz w:val="18"/>
                <w:szCs w:val="18"/>
                <w:color w:val="auto"/>
              </w:rPr>
              <w:t>Loss per share- Basic and Diluted</w:t>
            </w:r>
          </w:p>
        </w:tc>
        <w:tc>
          <w:tcPr>
            <w:tcW w:w="4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$(0.05)</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$(0.19)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15,889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15,733</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4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15,889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15,733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accompanying notes are an intergral part of</w:t>
      </w:r>
    </w:p>
    <w:p>
      <w:pPr>
        <w:ind w:left="2220"/>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Three months ended</w:t>
      </w:r>
    </w:p>
    <w:p>
      <w:pPr>
        <w:ind w:left="49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May 1,</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May 2,</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8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(863)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(3,052)</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1,726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5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w:t>
            </w:r>
          </w:p>
        </w:tc>
      </w:tr>
      <w:tr>
        <w:trPr>
          <w:trHeight w:val="405"/>
        </w:trPr>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5,445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(2,120)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(1,308)</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11,097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(3,273)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Accrued expenses and other current liabilities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2,327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rent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1,798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11,161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(1,131)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Proceeds from disposal of property and equipment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Net borrowings (repayments) under credit facility</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(996)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(8,828)</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to Board of Directors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103</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Issuance of common stock under option program (1)</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(8,812)</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 and cash</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period</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$3,758</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(1)Net of related tax effect.</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accompanying notes are an intergral part of</w:t>
      </w:r>
    </w:p>
    <w:p>
      <w:pPr>
        <w:ind w:left="2220"/>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January 30, 1999 (filed on Form 10-K, as amended, with the Securities and Exchange Commission). 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04"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("Designs JV Subsidiary"), and LDJV Inc., a subsidiary of Levi's Only Stores, Inc. ("LOS"), which is a wholly-owned subsidiary of Levi Strauss &amp; Co., entered into a partnership agreement (the "Partnership Agreement"). The purpose of the Partnership Agreement was to sell Levi's(R) brand jeans and jeans-related products in Original Levi's Stores(TM) and Levi's(R) Outlet stores in a specified territory. The joint venture established under the Partnership Agreement was known as The Designs/OLS Partnership (the "OLS Partnership").</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1998, the Company reached an agreement with LOS to dissolve and wind up the OLS Partnership. Pursuant to this agreement, the OLS Partnership distributed to Designs JV Subsidiary 11 Levi's(R) Outlet stores, with a net book value of approximately $6.3 million. In addition, the OLS Partnership distributed three Original Levi's Stores(TM) to LDJV Inc. The net book value of these three Original Levi's Stores(TM) was approximately $5.5 million, which was greater than LDJV Inc.'s equity interest in the OLS Partnership. Consequently, LDJV Inc. made a $2.9 million capital contribution of cash to the OLS Partnership at October 31, 1998.</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Additionally, in connection with the plan to dissolve and wind up the OLS Partnership, the OLS Partnership recorded a pre-tax charge of $4.5 million during the third quarter of fiscal 1998, related to the closing of the remaining eight Original Levi's Stores(TM) that it did not distribute. This $4.5 million charge is included in the total $13.4 million charge recorded by the Company and discussed in Note 3 below. The total estimated cost to close these stores is $1.3 million less than the original charge, primarily due to favorable lease termination payments. This $1.3 million was part of the total $2.9 million that the Company recognized as restructuring income in the fourth quarter of fiscal 1998. All eight of these stores were closed by the end of fiscal 1998.</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operating results of the OLS Partnership are consolidated with the financial statements of the Company for the three months ended May 2, 1998. Minority interest at May 2, 1998 represents LDJV Inc.'s 30% interest in the OLS Partnership.</w:t>
      </w:r>
    </w:p>
    <w:p>
      <w:pPr>
        <w:spacing w:after="0" w:line="20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for Store Closings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During the third quarter of fiscal 1998, the Company announced its plans to close 14 unprofitable Designs stores and eight unprofitable Boston Trading Co.(R)/BTC(TM) stores through lease terminations and expirations. This store closing strategy resulted in the Company recording a pre-tax charge of $13.4 million, or $0.47 per share after tax, related to the closing of 14 Designs stores, eight Boston Trading Co.(R)/BTC(TM) and the remaining eight Original Levi's Stores(TM) closed by the joint venture. The total revised estimated cost to close these stores is $10.5 million, which is $2.9 million less than the original charge, primarily due to favorable landlord negotiations on lease termination payments. As a result, the Company recognized pre-tax income of $2.9 million in the fourth quarter of fiscal 1998. Total estimated cash costs are expected to be $4.2 million related to lease terminations, employee</w:t>
      </w:r>
    </w:p>
    <w:p>
      <w:pPr>
        <w:sectPr>
          <w:pgSz w:w="11900" w:h="16838" w:orient="portrait"/>
          <w:cols w:equalWidth="0" w:num="1">
            <w:col w:w="10219"/>
          </w:cols>
          <w:pgMar w:left="240" w:top="1122" w:right="1440" w:bottom="0" w:gutter="0" w:footer="0" w:header="0"/>
        </w:sectPr>
      </w:pPr>
    </w:p>
    <w:bookmarkStart w:id="5" w:name="page6"/>
    <w:bookmarkEnd w:id="5"/>
    <w:p>
      <w:pPr>
        <w:ind w:right="1879"/>
        <w:spacing w:after="0" w:line="268" w:lineRule="auto"/>
        <w:rPr>
          <w:sz w:val="20"/>
          <w:szCs w:val="20"/>
          <w:color w:val="auto"/>
        </w:rPr>
      </w:pPr>
      <w:r>
        <w:rPr>
          <w:rFonts w:ascii="Courier New" w:cs="Courier New" w:eastAsia="Courier New" w:hAnsi="Courier New"/>
          <w:sz w:val="16"/>
          <w:szCs w:val="16"/>
          <w:color w:val="auto"/>
        </w:rPr>
        <w:t>severance and other related expenses. The remainder of the $10.5 million charge consists of non-cash costs of approximately $6.3 million in store fixed asset write-offs. All of these stores were closed by the end of fiscal 1998. At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May 1, 1999, the remaining reserve balance related to these store closings was $1.4 million, which primarily relates to landlord settlements and severance payments that the Company anticipates will be paid in fiscal 1999.</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fourth quarter of fiscal 1998, the Company recorded additional store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and severance reserves of $5.2 million, or $0.20 per share, related to</w:t>
      </w:r>
    </w:p>
    <w:p>
      <w:pPr>
        <w:spacing w:after="0" w:line="238" w:lineRule="auto"/>
        <w:rPr>
          <w:sz w:val="20"/>
          <w:szCs w:val="20"/>
          <w:color w:val="auto"/>
        </w:rPr>
      </w:pPr>
      <w:r>
        <w:rPr>
          <w:rFonts w:ascii="Courier New" w:cs="Courier New" w:eastAsia="Courier New" w:hAnsi="Courier New"/>
          <w:sz w:val="18"/>
          <w:szCs w:val="18"/>
          <w:color w:val="auto"/>
        </w:rPr>
        <w:t>the decision to close three BTC(TM) stores, one Designs store, and four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Traders(R) Outlet stores and to further reduce corporate headcount.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pre-tax charge included cash costs of approximately $2.9 million related to</w:t>
      </w:r>
    </w:p>
    <w:p>
      <w:pPr>
        <w:spacing w:after="0" w:line="238" w:lineRule="auto"/>
        <w:rPr>
          <w:sz w:val="20"/>
          <w:szCs w:val="20"/>
          <w:color w:val="auto"/>
        </w:rPr>
      </w:pPr>
      <w:r>
        <w:rPr>
          <w:rFonts w:ascii="Courier New" w:cs="Courier New" w:eastAsia="Courier New" w:hAnsi="Courier New"/>
          <w:sz w:val="18"/>
          <w:szCs w:val="18"/>
          <w:color w:val="auto"/>
        </w:rPr>
        <w:t>lease terminations and corporate severance, and $2.3 million of non-cash costs</w:t>
      </w:r>
    </w:p>
    <w:p>
      <w:pPr>
        <w:spacing w:after="0"/>
        <w:rPr>
          <w:sz w:val="20"/>
          <w:szCs w:val="20"/>
          <w:color w:val="auto"/>
        </w:rPr>
      </w:pPr>
      <w:r>
        <w:rPr>
          <w:rFonts w:ascii="Courier New" w:cs="Courier New" w:eastAsia="Courier New" w:hAnsi="Courier New"/>
          <w:sz w:val="18"/>
          <w:szCs w:val="18"/>
          <w:color w:val="auto"/>
        </w:rPr>
        <w:t>related to store fixed asset write-offs and markdowns. At May 1, 1999, the</w:t>
      </w:r>
    </w:p>
    <w:p>
      <w:pPr>
        <w:spacing w:after="0" w:line="237" w:lineRule="auto"/>
        <w:rPr>
          <w:sz w:val="20"/>
          <w:szCs w:val="20"/>
          <w:color w:val="auto"/>
        </w:rPr>
      </w:pPr>
      <w:r>
        <w:rPr>
          <w:rFonts w:ascii="Courier New" w:cs="Courier New" w:eastAsia="Courier New" w:hAnsi="Courier New"/>
          <w:sz w:val="18"/>
          <w:szCs w:val="18"/>
          <w:color w:val="auto"/>
        </w:rPr>
        <w:t>remaining reserve balance related to these store closings is $4.2 million.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combined earnings and cash flow benefits of the third and fourth quarter charges are expected, barring unforeseen circumstances, to be $8.5 million and $13.5 million, respectively, for both fiscal 1999 and 2000.</w:t>
      </w:r>
    </w:p>
    <w:p>
      <w:pPr>
        <w:spacing w:after="0" w:line="203"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the first quarter of fiscal 1996,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07"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This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limitations on payment of dividends by the Company. The Company is subject to a prepayment penalty of $250,000 to $500,000 if the Credit Agreement terminates prior to June 4, 2000.</w:t>
      </w:r>
    </w:p>
    <w:p>
      <w:pPr>
        <w:spacing w:after="0" w:line="39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nine Levi's(R) Outlet stores and 16 Dockers(R) Outlet stores from LOS and to permit and acknowledge the transactions associated with the dissolution and winding up of the OLS Partnership. These amendments included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w:t>
      </w:r>
    </w:p>
    <w:p>
      <w:pPr>
        <w:sectPr>
          <w:pgSz w:w="11900" w:h="16838" w:orient="portrait"/>
          <w:cols w:equalWidth="0" w:num="1">
            <w:col w:w="10219"/>
          </w:cols>
          <w:pgMar w:left="240" w:top="142"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financial covenants. Subject to certain limitations and conditions, the Credit Agreement permits the Company, without the prior permission of the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May 1, 1999 the Company had borrowings of approximately $11.8 million outstanding under this facility and had two outstanding standby letters of credit totaling approximately $377,400. Average borrowings outstanding under this credit facility for the first quarter of fiscal 1999 were approximately $14.3 million. The Company was in compliance with all debt covenants under the Credit Agreement at the end of the first quarter.</w:t>
      </w:r>
    </w:p>
    <w:p>
      <w:pPr>
        <w:spacing w:after="0" w:line="204"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year. Diluted earnings per share is determined by giving effect to the exercise of stock options using the treasury stock method. The following table provides a reconciliation of the number of shares outstanding for basic and diluted earnings per share.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For the</w:t>
      </w:r>
    </w:p>
    <w:p>
      <w:pPr>
        <w:ind w:left="420"/>
        <w:spacing w:after="0" w:line="238" w:lineRule="auto"/>
        <w:rPr>
          <w:sz w:val="20"/>
          <w:szCs w:val="20"/>
          <w:color w:val="auto"/>
        </w:rPr>
      </w:pPr>
      <w:r>
        <w:rPr>
          <w:rFonts w:ascii="Courier New" w:cs="Courier New" w:eastAsia="Courier New" w:hAnsi="Courier New"/>
          <w:sz w:val="18"/>
          <w:szCs w:val="18"/>
          <w:color w:val="auto"/>
        </w:rPr>
        <w:t>three months ended</w:t>
      </w:r>
    </w:p>
    <w:p>
      <w:pPr>
        <w:spacing w:after="0" w:line="5" w:lineRule="exact"/>
        <w:rPr>
          <w:sz w:val="20"/>
          <w:szCs w:val="20"/>
          <w:color w:val="auto"/>
        </w:rPr>
      </w:pPr>
    </w:p>
    <w:p>
      <w:pPr>
        <w:ind w:left="100"/>
        <w:spacing w:after="0"/>
        <w:tabs>
          <w:tab w:leader="none" w:pos="2080" w:val="left"/>
        </w:tabs>
        <w:rPr>
          <w:sz w:val="20"/>
          <w:szCs w:val="20"/>
          <w:color w:val="auto"/>
        </w:rPr>
      </w:pPr>
      <w:r>
        <w:rPr>
          <w:rFonts w:ascii="Courier New" w:cs="Courier New" w:eastAsia="Courier New" w:hAnsi="Courier New"/>
          <w:sz w:val="16"/>
          <w:szCs w:val="16"/>
          <w:color w:val="auto"/>
        </w:rPr>
        <w:t>5/1/99</w:t>
      </w:r>
      <w:r>
        <w:rPr>
          <w:sz w:val="20"/>
          <w:szCs w:val="20"/>
          <w:color w:val="auto"/>
        </w:rPr>
        <w:tab/>
      </w:r>
      <w:r>
        <w:rPr>
          <w:rFonts w:ascii="Courier New" w:cs="Courier New" w:eastAsia="Courier New" w:hAnsi="Courier New"/>
          <w:sz w:val="16"/>
          <w:szCs w:val="16"/>
          <w:color w:val="auto"/>
        </w:rPr>
        <w:t>5/2/98</w:t>
      </w:r>
    </w:p>
    <w:p>
      <w:pPr>
        <w:spacing w:after="0" w:line="2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Basic weighted average common</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15,889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15,733</w:t>
      </w:r>
    </w:p>
    <w:p>
      <w:pPr>
        <w:spacing w:after="0" w:line="200" w:lineRule="exact"/>
        <w:rPr>
          <w:sz w:val="20"/>
          <w:szCs w:val="20"/>
          <w:color w:val="auto"/>
        </w:rPr>
      </w:pPr>
    </w:p>
    <w:p>
      <w:pPr>
        <w:sectPr>
          <w:pgSz w:w="11900" w:h="16838" w:orient="portrait"/>
          <w:cols w:equalWidth="0" w:num="3">
            <w:col w:w="4980" w:space="720"/>
            <w:col w:w="1280" w:space="720"/>
            <w:col w:w="2519"/>
          </w:cols>
          <w:pgMar w:left="240" w:top="142" w:right="1440" w:bottom="0" w:gutter="0" w:footer="0" w:header="0"/>
          <w:type w:val="continuous"/>
        </w:sectPr>
      </w:pPr>
    </w:p>
    <w:p>
      <w:pPr>
        <w:spacing w:after="0" w:line="24"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6"/>
          <w:szCs w:val="16"/>
          <w:color w:val="auto"/>
        </w:rPr>
        <w:t>Stock options, excluding anti-dilutive options</w:t>
      </w:r>
    </w:p>
    <w:p>
      <w:pPr>
        <w:spacing w:after="0" w:line="16"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of 139 shares and 56 shares for May 1, 1999</w:t>
      </w:r>
    </w:p>
    <w:p>
      <w:pPr>
        <w:sectPr>
          <w:pgSz w:w="11900" w:h="16838" w:orient="portrait"/>
          <w:cols w:equalWidth="0" w:num="1">
            <w:col w:w="10219"/>
          </w:cols>
          <w:pgMar w:left="240" w:top="142" w:right="1440" w:bottom="0" w:gutter="0" w:footer="0" w:header="0"/>
          <w:type w:val="continuous"/>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May 2, 1998, respectively</w:t>
      </w:r>
    </w:p>
    <w:p>
      <w:pPr>
        <w:spacing w:after="0" w:line="20" w:lineRule="exact"/>
        <w:rPr>
          <w:sz w:val="20"/>
          <w:szCs w:val="20"/>
          <w:color w:val="auto"/>
        </w:rPr>
      </w:pPr>
      <w:r>
        <w:rPr>
          <w:sz w:val="20"/>
          <w:szCs w:val="20"/>
          <w:color w:val="auto"/>
        </w:rPr>
        <w:br w:type="column"/>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980" w:space="720"/>
            <w:col w:w="1280" w:space="720"/>
            <w:col w:w="25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weighted average shares</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15,889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15,733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980" w:space="720"/>
            <w:col w:w="1280" w:space="720"/>
            <w:col w:w="2519"/>
          </w:cols>
          <w:pgMar w:left="240" w:top="142" w:right="1440" w:bottom="0" w:gutter="0" w:footer="0" w:header="0"/>
          <w:type w:val="continuous"/>
        </w:sectPr>
      </w:pPr>
    </w:p>
    <w:p>
      <w:pPr>
        <w:spacing w:after="0" w:line="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Options to purchase shares of the Company's Common Stock of 1,867,832 and 1,938,350 for May 1, 1999 and May 2, 1998, respectively, were excluded from the computation of diluted EPS because the exercise price of the options was greater than the average market price per share of Common Stock for the periods reported.</w:t>
      </w:r>
    </w:p>
    <w:p>
      <w:pPr>
        <w:spacing w:after="0" w:line="203"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Disclosure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its business under two reportable store segments:</w:t>
      </w:r>
    </w:p>
    <w:p>
      <w:pPr>
        <w:spacing w:after="0" w:line="4" w:lineRule="exact"/>
        <w:rPr>
          <w:sz w:val="20"/>
          <w:szCs w:val="20"/>
          <w:color w:val="auto"/>
        </w:rPr>
      </w:pPr>
    </w:p>
    <w:p>
      <w:pPr>
        <w:ind w:right="219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Outlet Store Group and (ii) the Specialty Store Group. The Company also has a segment for Closed Stores and Other which includes the operations of all closed stores and stores that are expected to close through the third quarter of fiscal 1999.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Outlet Store Group: At May 1, 1999, this store group included the Company's 60 Levi's(R) Outlet by Designs stores, the 25 acquired Dockers(R) and Levi's(R) Outlet stores, the 11 Levi's(R) Outlet stores that were previously owned and operated by the OLS Partnership through October 31, 1998 and the five Buffalo Jeans Factory Stores. These outlet stores all operate in outlet parks located in the eastern United States and primarily sell close out and end-of-season merchandise from vendors.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Specialty Store Group: At May 1, 1999, this store group consisted of the five remaining Designs stores that the Company intends to operate through fiscal 1999. These stores are located in enclosed regional shopping centers and offer a broad selection of Levi Strauss &amp; Co. branded merchandise together with other complementary brands of tops and bottoms.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Closed Stores and Other: This group included the Designs, Boston Trading Co.(R) and Boston Traders(R) Outlet stores that were closed as part of the fiscal 1997 and fiscal 1998 store closing programs. The operations of the three Original Levi's Stores(TM) that were distributed to LDJV Inc in October 1998 and the operations of the eight Original Levi's Stores(TM) that were closed in fiscal 1998 are also included in this group. Also included in this segment are the four Boston Traders(R) Outlet stores, two BTC(TM) and one Designs store that are all planned, barring unforeseen circumstances, to close by the end of the third quarter of fiscal 1999.</w:t>
      </w:r>
    </w:p>
    <w:p>
      <w:pPr>
        <w:spacing w:after="0" w:line="21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Company evaluates individual store profitability based on the store's "Contribution to Profit", which is defined by the Company as gross margin less occupancy costs and all store specific expenses such as payroll, advertising,</w:t>
      </w:r>
    </w:p>
    <w:p>
      <w:pPr>
        <w:sectPr>
          <w:pgSz w:w="11900" w:h="16838" w:orient="portrait"/>
          <w:cols w:equalWidth="0" w:num="1">
            <w:col w:w="10219"/>
          </w:cols>
          <w:pgMar w:left="240" w:top="142" w:right="1440" w:bottom="0" w:gutter="0" w:footer="0" w:header="0"/>
          <w:type w:val="continuous"/>
        </w:sectPr>
      </w:pPr>
    </w:p>
    <w:bookmarkStart w:id="7" w:name="page8"/>
    <w:bookmarkEnd w:id="7"/>
    <w:p>
      <w:pPr>
        <w:ind w:right="2199"/>
        <w:spacing w:after="0" w:line="237" w:lineRule="auto"/>
        <w:rPr>
          <w:sz w:val="20"/>
          <w:szCs w:val="20"/>
          <w:color w:val="auto"/>
        </w:rPr>
      </w:pPr>
      <w:r>
        <w:rPr>
          <w:rFonts w:ascii="Courier New" w:cs="Courier New" w:eastAsia="Courier New" w:hAnsi="Courier New"/>
          <w:sz w:val="18"/>
          <w:szCs w:val="18"/>
          <w:color w:val="auto"/>
        </w:rPr>
        <w:t>insurance and depreciation. The Company sometimes transfers end-of-season merchandise from its Specialty stores to its Outlet stores. Transfers represented approximately five percent of the Outlet Store Group's total receipts in fiscal 1998. The Company transfers merchandise at the receiving store's retail price with any associated markdowns being recorded by the sending store.</w:t>
      </w: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Below is a summary of the results of operations for each of the reportable segments for the three months ended May 1, 1999 and May 2, 1998: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rPr>
              <w:t>For the three months ended May 1, 1999</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Closed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5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Outlets</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Specialty</w:t>
            </w:r>
          </w:p>
        </w:tc>
        <w:tc>
          <w:tcPr>
            <w:tcW w:w="2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and Other</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36,644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1,544</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1,647</w:t>
            </w:r>
          </w:p>
        </w:tc>
        <w:tc>
          <w:tcPr>
            <w:tcW w:w="4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39,835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15,305</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529</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646</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16,480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5,230</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418</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6,263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10,075</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111</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10,217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3,332</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50,264</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2,100</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52,480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9,461</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859</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6,822</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w:t>
            </w: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17,142</w:t>
            </w:r>
          </w:p>
        </w:tc>
      </w:tr>
      <w:tr>
        <w:trPr>
          <w:trHeight w:val="810"/>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rPr>
              <w:t>For the three months ended May 2, 1998</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Closed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Outlets</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Specialty</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and Other</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28,883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1,907</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12,610</w:t>
            </w:r>
          </w:p>
        </w:tc>
        <w:tc>
          <w:tcPr>
            <w:tcW w:w="4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43,400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12,663</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621</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5,148</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18,432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4,103</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9,056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8,560</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w:t>
            </w:r>
          </w:p>
        </w:tc>
        <w:tc>
          <w:tcPr>
            <w:tcW w:w="2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9,376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3,075</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(3,661)</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37,420</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2,321</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17,185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56,926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5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6,735</w:t>
            </w: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1,099</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24,890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32,724</w:t>
            </w:r>
          </w:p>
        </w:tc>
      </w:tr>
    </w:tbl>
    <w:p>
      <w:pPr>
        <w:spacing w:after="0" w:line="207" w:lineRule="exact"/>
        <w:rPr>
          <w:sz w:val="20"/>
          <w:szCs w:val="20"/>
          <w:color w:val="auto"/>
        </w:rPr>
      </w:pPr>
    </w:p>
    <w:p>
      <w:pPr>
        <w:ind w:left="640" w:right="1779" w:hanging="632"/>
        <w:spacing w:after="0" w:line="23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assets for the Closed Stores and Other includes fixed assets for the corporate office which were $6.2 million and $8.2 million as of May 1, 1999 and May 2, 1998,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Contribution to Profit to Operating Loss</w:t>
      </w:r>
    </w:p>
    <w:p>
      <w:pPr>
        <w:spacing w:after="0" w:line="238" w:lineRule="auto"/>
        <w:rPr>
          <w:sz w:val="20"/>
          <w:szCs w:val="20"/>
          <w:color w:val="auto"/>
        </w:rPr>
      </w:pPr>
      <w:r>
        <w:rPr>
          <w:rFonts w:ascii="Courier New" w:cs="Courier New" w:eastAsia="Courier New" w:hAnsi="Courier New"/>
          <w:sz w:val="18"/>
          <w:szCs w:val="18"/>
          <w:color w:val="auto"/>
        </w:rPr>
        <w:t>- ----------------------------------------------------------</w:t>
      </w:r>
    </w:p>
    <w:p>
      <w:pPr>
        <w:ind w:left="5480"/>
        <w:spacing w:after="0"/>
        <w:rPr>
          <w:sz w:val="20"/>
          <w:szCs w:val="20"/>
          <w:color w:val="auto"/>
        </w:rPr>
      </w:pPr>
      <w:r>
        <w:rPr>
          <w:rFonts w:ascii="Courier New" w:cs="Courier New" w:eastAsia="Courier New" w:hAnsi="Courier New"/>
          <w:sz w:val="18"/>
          <w:szCs w:val="18"/>
          <w:color w:val="auto"/>
        </w:rPr>
        <w:t>For the three months ended</w:t>
      </w:r>
    </w:p>
    <w:p>
      <w:pPr>
        <w:spacing w:after="0"/>
        <w:tabs>
          <w:tab w:leader="none" w:pos="5140" w:val="left"/>
          <w:tab w:leader="none" w:pos="716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6"/>
          <w:szCs w:val="16"/>
          <w:color w:val="auto"/>
        </w:rPr>
        <w:t>May 2, 1998</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to Profit: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Outlet store segment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3,332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$ 3,075</w:t>
            </w: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Specialty store segment</w:t>
            </w:r>
          </w:p>
        </w:tc>
        <w:tc>
          <w:tcPr>
            <w:tcW w:w="74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Closed store and other</w:t>
            </w:r>
          </w:p>
        </w:tc>
        <w:tc>
          <w:tcPr>
            <w:tcW w:w="74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(3,661)</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74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(3,647)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(4,199)</w:t>
            </w:r>
          </w:p>
        </w:tc>
      </w:tr>
      <w:tr>
        <w:trPr>
          <w:trHeight w:val="203"/>
        </w:trPr>
        <w:tc>
          <w:tcPr>
            <w:tcW w:w="4700" w:type="dxa"/>
            <w:vAlign w:val="bottom"/>
          </w:tcPr>
          <w:p>
            <w:pPr>
              <w:spacing w:after="0"/>
              <w:rPr>
                <w:sz w:val="17"/>
                <w:szCs w:val="17"/>
                <w:color w:val="auto"/>
              </w:rPr>
            </w:pPr>
          </w:p>
        </w:tc>
        <w:tc>
          <w:tcPr>
            <w:tcW w:w="21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Loss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(1,102)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Instruments and Hedging Activities" ("SFAS 133"). SFAS 133 requires that all derivative instruments be recorded on the balance sheet at their fair value. Changes in the fair value of derivatives are recorded in current earnings or other comprehensive income, depending on whether the derivative is designed as part of a hedge transaction and, if it is, the type of hedge transaction. The Company will be required to adopt SFAS 133 for the fiscal year ending January 29, 2000. The Company does not anticipate that the adoption of SFAS 133 will have a significant effect on the Company's results of operations or financial position.</w:t>
      </w:r>
    </w:p>
    <w:p>
      <w:pPr>
        <w:sectPr>
          <w:pgSz w:w="11900" w:h="16838" w:orient="portrait"/>
          <w:cols w:equalWidth="0" w:num="1">
            <w:col w:w="10219"/>
          </w:cols>
          <w:pgMar w:left="240" w:top="142" w:right="1440" w:bottom="1440" w:gutter="0" w:footer="0" w:header="0"/>
        </w:sectPr>
      </w:pPr>
    </w:p>
    <w:bookmarkStart w:id="8" w:name="page9"/>
    <w:bookmarkEnd w:id="8"/>
    <w:p>
      <w:pPr>
        <w:ind w:left="1900" w:right="3159" w:hanging="2843"/>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December 7, 1998, a consent with respect to 1,570,000 shares of Common Stock executed on behalf of Jewelcor Management, Inc., a Nevada corporation ("Jewelcor"), and its controlling shareholder, Seymour Holtzman, was delivered to the Company for the purpose of removing and replacing the members of the Company's Board of Directors other than the Chairman, Stanley I. Berger. A preliminary Consent Solicitation Statement was filed on December 7, 1998 by the Holtzman Group with the Securities and Exchange Commission. On December 11, 1998, the Board of Directors of the Company determined to oppose the consent solicitation (the "Consent Solicitation") by Jewelcor and Mr. Holtzman.</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Company did not enter into any settlement with Jewelcor or Mr. Holtzman terminating the Consent Solicitation.</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December 11, 1998, the Company announced that its Board of Directors had formed a committee of independent outside directors to consider the Company's strategic alternatives, including a possible sale of the Company, with a view towards maximizing shareholder value in the near term.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April 30, 1999, the Company announced that Jewelcor had submitted a proposal to the Company to explore the purchase by Jewelcor or its affiliates of all of the outstanding Common Stock of the Company for $3.65 per share. The proposal is subject to various contingencies, including obtaining adequate financing, completion of certain due diligence matters and obtaining the prior consent of Levi Strauss &amp; Co. under the Outlet License Agreement, as defined below in "Capital Expenditures". On May 6, 1999, the Special Committee of the Board of Directors responded to the proposal in a letter to Jewelcor that indicated its willingness to explore the acquisition by Jewelcor and its affiliates of all of the outstanding Common Stock of the Company, subject to the resolution of the contingencies outlined above.</w:t>
      </w:r>
    </w:p>
    <w:p>
      <w:pPr>
        <w:spacing w:after="0" w:line="216"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Company is cooperating with Jewelcor on its various due diligence requests and has urged Jewelcor to provide more details regarding the structure, terms and financing of Jewelcor's proposal, which to date has not been forthcoming.</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date, the Company has not entered into an agreement providing for the sale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are the Company's total sales and comparable store sales for the first quarter of fiscal 1999 and fiscal 1998. Of the 113 stores the Company operated as of May 1, 1999, 73 were comparable stores.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Change at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 percentage data)</w:t>
            </w:r>
          </w:p>
        </w:tc>
        <w:tc>
          <w:tcPr>
            <w:tcW w:w="2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May 1, 1999</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May 2, 1998</w:t>
            </w:r>
          </w:p>
        </w:tc>
        <w:tc>
          <w:tcPr>
            <w:tcW w:w="1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5"/>
              </w:rPr>
              <w:t>May 1, 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Comparable</w:t>
            </w:r>
          </w:p>
        </w:tc>
        <w:tc>
          <w:tcPr>
            <w:tcW w:w="1700" w:type="dxa"/>
            <w:vAlign w:val="bottom"/>
          </w:tcPr>
          <w:p>
            <w:pPr>
              <w:spacing w:after="0"/>
              <w:rPr>
                <w:sz w:val="20"/>
                <w:szCs w:val="20"/>
                <w:color w:val="auto"/>
              </w:rPr>
            </w:pPr>
            <w:r>
              <w:rPr>
                <w:rFonts w:ascii="Courier New" w:cs="Courier New" w:eastAsia="Courier New" w:hAnsi="Courier New"/>
                <w:sz w:val="18"/>
                <w:szCs w:val="18"/>
                <w:color w:val="auto"/>
              </w:rPr>
              <w:t>Stores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31,509</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30,792</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Stores</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6,679</w:t>
            </w:r>
          </w:p>
        </w:tc>
        <w:tc>
          <w:tcPr>
            <w:tcW w:w="58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Closed Stores (2)</w:t>
            </w: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1,647</w:t>
            </w:r>
          </w:p>
        </w:tc>
        <w:tc>
          <w:tcPr>
            <w:tcW w:w="5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12,608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(86.9%)</w:t>
            </w:r>
          </w:p>
        </w:tc>
      </w:tr>
      <w:tr>
        <w:trPr>
          <w:trHeight w:val="203"/>
        </w:trPr>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Total Sales</w:t>
            </w:r>
          </w:p>
        </w:tc>
        <w:tc>
          <w:tcPr>
            <w:tcW w:w="17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39,835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bl>
    <w:p>
      <w:pPr>
        <w:spacing w:after="0" w:line="207"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Stores include stores that have been operating less than 13 months.</w:t>
      </w:r>
    </w:p>
    <w:p>
      <w:pPr>
        <w:spacing w:after="0" w:line="21" w:lineRule="exact"/>
        <w:rPr>
          <w:rFonts w:ascii="Courier New" w:cs="Courier New" w:eastAsia="Courier New" w:hAnsi="Courier New"/>
          <w:sz w:val="16"/>
          <w:szCs w:val="16"/>
          <w:color w:val="auto"/>
        </w:rPr>
      </w:pPr>
    </w:p>
    <w:p>
      <w:pPr>
        <w:ind w:left="960" w:right="20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stores include seven stores scheduled to close in fiscal 1999 as part of the Company's fiscal 1998 restructuring program.</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decline in total sales of $3.6 million or 8.2 percent for the three months ended May 1, 1999 as compared to the same period in the prior year is primarily due to the closure of 34 stores in fiscal 1998. This decrease was partially offset by sales generated by new stores and comparable store sales growth. The</w:t>
      </w:r>
    </w:p>
    <w:p>
      <w:pPr>
        <w:sectPr>
          <w:pgSz w:w="11900" w:h="16838" w:orient="portrait"/>
          <w:cols w:equalWidth="0" w:num="1">
            <w:col w:w="10219"/>
          </w:cols>
          <w:pgMar w:left="240" w:top="1128"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Company's Outlet Store Group, which represents approximately 93% of sales,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had comparable store sales growth of 3.7% for the first three months of fiscal 1999 as compared to the same period in the prior year, due primarily to increased sales of men's Dockers(R) brand products and women's and youthwear Levi's(R)and Dockers(R) brand product.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Set forth below are merchandise and gross margin rates and occupancy costs as a percentage of total sales for the first quarter of fiscal 1999 and fiscal 1998.</w:t>
      </w:r>
    </w:p>
    <w:p>
      <w:pPr>
        <w:spacing w:after="0" w:line="164" w:lineRule="exact"/>
        <w:rPr>
          <w:sz w:val="20"/>
          <w:szCs w:val="20"/>
          <w:color w:val="auto"/>
        </w:rPr>
      </w:pPr>
    </w:p>
    <w:p>
      <w:pPr>
        <w:ind w:left="4320"/>
        <w:spacing w:after="0"/>
        <w:tabs>
          <w:tab w:leader="none" w:pos="7160" w:val="left"/>
        </w:tabs>
        <w:rPr>
          <w:sz w:val="20"/>
          <w:szCs w:val="20"/>
          <w:color w:val="auto"/>
        </w:rPr>
      </w:pPr>
      <w:r>
        <w:rPr>
          <w:rFonts w:ascii="Courier New" w:cs="Courier New" w:eastAsia="Courier New" w:hAnsi="Courier New"/>
          <w:sz w:val="18"/>
          <w:szCs w:val="18"/>
          <w:color w:val="auto"/>
        </w:rPr>
        <w:t>Gross Margin</w:t>
      </w:r>
      <w:r>
        <w:rPr>
          <w:sz w:val="20"/>
          <w:szCs w:val="20"/>
          <w:color w:val="auto"/>
        </w:rPr>
        <w:tab/>
      </w:r>
      <w:r>
        <w:rPr>
          <w:rFonts w:ascii="Courier New" w:cs="Courier New" w:eastAsia="Courier New" w:hAnsi="Courier New"/>
          <w:sz w:val="16"/>
          <w:szCs w:val="16"/>
          <w:color w:val="auto"/>
        </w:rPr>
        <w:t>Percentage</w:t>
      </w:r>
    </w:p>
    <w:p>
      <w:pPr>
        <w:ind w:left="46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8"/>
          <w:szCs w:val="18"/>
          <w:color w:val="auto"/>
        </w:rPr>
        <w:t>Change at</w:t>
      </w:r>
    </w:p>
    <w:p>
      <w:pPr>
        <w:ind w:left="3480"/>
        <w:spacing w:after="0"/>
        <w:tabs>
          <w:tab w:leader="none" w:pos="5460" w:val="left"/>
          <w:tab w:leader="none" w:pos="7160" w:val="left"/>
        </w:tabs>
        <w:rPr>
          <w:sz w:val="20"/>
          <w:szCs w:val="20"/>
          <w:color w:val="auto"/>
        </w:rPr>
      </w:pP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8"/>
          <w:szCs w:val="18"/>
          <w:color w:val="auto"/>
        </w:rPr>
        <w:t>May 2, 1998</w:t>
      </w:r>
      <w:r>
        <w:rPr>
          <w:sz w:val="20"/>
          <w:szCs w:val="20"/>
          <w:color w:val="auto"/>
        </w:rPr>
        <w:tab/>
      </w:r>
      <w:r>
        <w:rPr>
          <w:rFonts w:ascii="Courier New" w:cs="Courier New" w:eastAsia="Courier New" w:hAnsi="Courier New"/>
          <w:sz w:val="16"/>
          <w:szCs w:val="16"/>
          <w:color w:val="auto"/>
        </w:rPr>
        <w:t>May 1,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Merchandise Margin</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41.3%</w:t>
            </w:r>
          </w:p>
        </w:tc>
        <w:tc>
          <w:tcPr>
            <w:tcW w:w="2780" w:type="dxa"/>
            <w:vAlign w:val="bottom"/>
          </w:tcPr>
          <w:p>
            <w:pPr>
              <w:ind w:left="780"/>
              <w:spacing w:after="0"/>
              <w:rPr>
                <w:sz w:val="20"/>
                <w:szCs w:val="20"/>
                <w:color w:val="auto"/>
              </w:rPr>
            </w:pPr>
            <w:r>
              <w:rPr>
                <w:rFonts w:ascii="Courier New" w:cs="Courier New" w:eastAsia="Courier New" w:hAnsi="Courier New"/>
                <w:sz w:val="18"/>
                <w:szCs w:val="18"/>
                <w:color w:val="auto"/>
              </w:rPr>
              <w:t>42.5%</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(2.8%)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w:t>
            </w: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20.9%</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25.6%</w:t>
            </w: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21.6%</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18.5%</w:t>
            </w:r>
          </w:p>
        </w:tc>
      </w:tr>
      <w:tr>
        <w:trPr>
          <w:trHeight w:val="608"/>
        </w:trPr>
        <w:tc>
          <w:tcPr>
            <w:tcW w:w="7480" w:type="dxa"/>
            <w:vAlign w:val="bottom"/>
            <w:gridSpan w:val="3"/>
          </w:tcPr>
          <w:p>
            <w:pPr>
              <w:spacing w:after="0"/>
              <w:rPr>
                <w:sz w:val="20"/>
                <w:szCs w:val="20"/>
                <w:color w:val="auto"/>
              </w:rPr>
            </w:pPr>
            <w:r>
              <w:rPr>
                <w:rFonts w:ascii="Courier New" w:cs="Courier New" w:eastAsia="Courier New" w:hAnsi="Courier New"/>
                <w:sz w:val="18"/>
                <w:szCs w:val="18"/>
                <w:color w:val="auto"/>
                <w:w w:val="98"/>
              </w:rPr>
              <w:t>The 4.0 percentage point increase in gross margin in the first quarter</w:t>
            </w:r>
          </w:p>
        </w:tc>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of fiscal</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1999 compared to the first quarter of fiscal</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1998 is primarily the result of</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occupancy costs remaining stable while sales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increased, which resulted</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a</w:t>
            </w:r>
          </w:p>
        </w:tc>
      </w:tr>
      <w:tr>
        <w:trPr>
          <w:trHeight w:val="203"/>
        </w:trPr>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5.2 percentage point increase in occupancy. This increase was partially</w:t>
            </w:r>
          </w:p>
        </w:tc>
        <w:tc>
          <w:tcPr>
            <w:tcW w:w="960" w:type="dxa"/>
            <w:vAlign w:val="bottom"/>
          </w:tcPr>
          <w:p>
            <w:pPr>
              <w:spacing w:after="0"/>
              <w:rPr>
                <w:sz w:val="17"/>
                <w:szCs w:val="17"/>
                <w:color w:val="auto"/>
              </w:rPr>
            </w:pP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offset by a 1.2 percentage point decrease in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merchandise margin, which</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was the</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result of short-term promotional mark-ups on</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selected merchandise during the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 of fiscal 1998.</w:t>
            </w: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first quarter of fiscal 1999 and fiscal 1998.</w:t>
      </w:r>
    </w:p>
    <w:p>
      <w:pPr>
        <w:spacing w:after="0" w:line="200" w:lineRule="exact"/>
        <w:rPr>
          <w:sz w:val="20"/>
          <w:szCs w:val="20"/>
          <w:color w:val="auto"/>
        </w:rPr>
      </w:pPr>
    </w:p>
    <w:p>
      <w:pPr>
        <w:spacing w:after="0" w:line="206" w:lineRule="exact"/>
        <w:rPr>
          <w:sz w:val="20"/>
          <w:szCs w:val="20"/>
          <w:color w:val="auto"/>
        </w:rPr>
      </w:pPr>
    </w:p>
    <w:p>
      <w:pPr>
        <w:spacing w:after="0"/>
        <w:tabs>
          <w:tab w:leader="none" w:pos="4420" w:val="left"/>
          <w:tab w:leader="none" w:pos="704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6"/>
          <w:szCs w:val="16"/>
          <w:color w:val="auto"/>
        </w:rPr>
        <w:t>May 2, 1998</w:t>
      </w:r>
    </w:p>
    <w:p>
      <w:pPr>
        <w:ind w:left="220"/>
        <w:spacing w:after="0"/>
        <w:tabs>
          <w:tab w:leader="none" w:pos="4520" w:val="left"/>
          <w:tab w:leader="none" w:pos="5140" w:val="left"/>
          <w:tab w:leader="none" w:pos="6840" w:val="left"/>
          <w:tab w:leader="none" w:pos="726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of sales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of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$9,593</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24.1%</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$ 11,946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27.5%</w:t>
            </w:r>
          </w:p>
        </w:tc>
      </w:tr>
    </w:tbl>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$2.4 million or 19.7 percent decrease in selling, general and administrative expenses was primarily due to the expense reduction actions taken in fiscal 1998 and 1997 as well as ongoing expense reduction programs. Store payroll expense, the largest component of selling, general and administrative expenses, was 11.7 percent of sales, compared with 13.1 percent of sales in the prior year.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Set forth below are depreciation and amortization expenses for the Company for the first quarter of fiscal 1999 and fiscal 1998.</w:t>
      </w:r>
    </w:p>
    <w:p>
      <w:pPr>
        <w:ind w:left="7180"/>
        <w:spacing w:after="0"/>
        <w:rPr>
          <w:sz w:val="20"/>
          <w:szCs w:val="20"/>
          <w:color w:val="auto"/>
        </w:rPr>
      </w:pPr>
      <w:r>
        <w:rPr>
          <w:rFonts w:ascii="Courier New" w:cs="Courier New" w:eastAsia="Courier New" w:hAnsi="Courier New"/>
          <w:sz w:val="18"/>
          <w:szCs w:val="18"/>
          <w:color w:val="auto"/>
        </w:rPr>
        <w:t>Percentage</w:t>
      </w:r>
    </w:p>
    <w:p>
      <w:pPr>
        <w:spacing w:after="0"/>
        <w:tabs>
          <w:tab w:leader="none" w:pos="726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6"/>
          <w:szCs w:val="16"/>
          <w:color w:val="auto"/>
        </w:rPr>
        <w:t>Change at</w:t>
      </w:r>
    </w:p>
    <w:p>
      <w:pPr>
        <w:ind w:left="220"/>
        <w:spacing w:after="0"/>
        <w:tabs>
          <w:tab w:leader="none" w:pos="3040" w:val="left"/>
          <w:tab w:leader="none" w:pos="4940" w:val="left"/>
          <w:tab w:leader="none" w:pos="716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8"/>
          <w:szCs w:val="18"/>
          <w:color w:val="auto"/>
        </w:rPr>
        <w:t>May 2, 1998</w:t>
      </w:r>
      <w:r>
        <w:rPr>
          <w:sz w:val="20"/>
          <w:szCs w:val="20"/>
          <w:color w:val="auto"/>
        </w:rPr>
        <w:tab/>
      </w:r>
      <w:r>
        <w:rPr>
          <w:rFonts w:ascii="Courier New" w:cs="Courier New" w:eastAsia="Courier New" w:hAnsi="Courier New"/>
          <w:sz w:val="16"/>
          <w:szCs w:val="16"/>
          <w:color w:val="auto"/>
        </w:rPr>
        <w:t>May 1, 1999</w:t>
      </w:r>
    </w:p>
    <w:p>
      <w:pPr>
        <w:spacing w:after="0" w:line="3"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2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$1,726</w:t>
            </w:r>
          </w:p>
        </w:tc>
        <w:tc>
          <w:tcPr>
            <w:tcW w:w="21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$2,491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(30.7%)</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decrease in depreciation and amortization expenses in the first quarter of fiscal year 1999 compared to the first quarter of fiscal year 1998 is principally due to the write off of fixed assets in fiscal 1998 as part of the Company's store closing program.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expense was $325,000 and $191,000 in the first quarter of fiscal 1999 and fiscal 1998, respectively. This increase was attributable to higher average borrowing levels under the Company's revolving credit facility for the three months ended May 1, 1999 as compared to the same period in the prior year. The Company anticipates, barring unforeseen circumstances, that interest expense for the remainder of fiscal 1999 will be greater than the prior year due to the anticipated additional borrowings under the Company's revolving credit facility. These additional borrowings primarily will fund payments necessary for capital expenditures, lease terminations in connection with store closings and merchandise purchases for the Levi's(R) and Dockers(R) Outlets by Designs stores.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Interest income for the first quarter of fiscal 1999 was $6,000 compared to</w:t>
      </w:r>
    </w:p>
    <w:p>
      <w:pPr>
        <w:sectPr>
          <w:pgSz w:w="11900" w:h="16838" w:orient="portrait"/>
          <w:cols w:equalWidth="0" w:num="1">
            <w:col w:w="10219"/>
          </w:cols>
          <w:pgMar w:left="240" w:top="136"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$20,000 in the first quarter of fiscal year 1998. The decrease in interest income is attributable to lower average investment balances compared to the same periods in the prior year. The Company anticipates that interest income will be minimal through fiscal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Profit/Loss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Set forth below is the net loss for the Company for the first quarter of fiscal 1999 and fiscal 1998.</w:t>
      </w:r>
    </w:p>
    <w:p>
      <w:pPr>
        <w:ind w:left="5480"/>
        <w:spacing w:after="0"/>
        <w:rPr>
          <w:sz w:val="20"/>
          <w:szCs w:val="20"/>
          <w:color w:val="auto"/>
        </w:rPr>
      </w:pPr>
      <w:r>
        <w:rPr>
          <w:rFonts w:ascii="Courier New" w:cs="Courier New" w:eastAsia="Courier New" w:hAnsi="Courier New"/>
          <w:sz w:val="18"/>
          <w:szCs w:val="18"/>
          <w:color w:val="auto"/>
        </w:rPr>
        <w:t>Net Loss</w:t>
      </w:r>
    </w:p>
    <w:p>
      <w:pPr>
        <w:spacing w:after="0"/>
        <w:tabs>
          <w:tab w:leader="none" w:pos="3780" w:val="left"/>
          <w:tab w:leader="none" w:pos="672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6"/>
          <w:szCs w:val="16"/>
          <w:color w:val="auto"/>
        </w:rPr>
        <w:t>May 2, 1998</w:t>
      </w:r>
    </w:p>
    <w:p>
      <w:pPr>
        <w:ind w:left="220"/>
        <w:spacing w:after="0"/>
        <w:tabs>
          <w:tab w:leader="none" w:pos="3680" w:val="left"/>
          <w:tab w:leader="none" w:pos="4300" w:val="left"/>
          <w:tab w:leader="none" w:pos="6520" w:val="left"/>
          <w:tab w:leader="none" w:pos="7360" w:val="left"/>
        </w:tabs>
        <w:rPr>
          <w:sz w:val="20"/>
          <w:szCs w:val="20"/>
          <w:color w:val="auto"/>
        </w:rPr>
      </w:pPr>
      <w:r>
        <w:rPr>
          <w:rFonts w:ascii="Courier New" w:cs="Courier New" w:eastAsia="Courier New" w:hAnsi="Courier New"/>
          <w:sz w:val="18"/>
          <w:szCs w:val="18"/>
          <w:color w:val="auto"/>
        </w:rPr>
        <w:t>per share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per share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(863)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$( 3,052)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($0.19)</w:t>
      </w:r>
    </w:p>
    <w:p>
      <w:pPr>
        <w:spacing w:after="0" w:line="200" w:lineRule="exact"/>
        <w:rPr>
          <w:sz w:val="20"/>
          <w:szCs w:val="20"/>
          <w:color w:val="auto"/>
        </w:rPr>
      </w:pPr>
    </w:p>
    <w:p>
      <w:pPr>
        <w:sectPr>
          <w:pgSz w:w="11900" w:h="16838" w:orient="portrait"/>
          <w:cols w:equalWidth="0" w:num="5">
            <w:col w:w="2560" w:space="720"/>
            <w:col w:w="740" w:space="420"/>
            <w:col w:w="1060" w:space="720"/>
            <w:col w:w="960" w:space="520"/>
            <w:col w:w="251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Information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its business under two reportable store segments:</w:t>
      </w:r>
    </w:p>
    <w:p>
      <w:pPr>
        <w:spacing w:after="0" w:line="4" w:lineRule="exact"/>
        <w:rPr>
          <w:sz w:val="20"/>
          <w:szCs w:val="20"/>
          <w:color w:val="auto"/>
        </w:rPr>
      </w:pPr>
    </w:p>
    <w:p>
      <w:pPr>
        <w:ind w:right="21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Outlet Store Group and (ii) the Specialty Store Group. The Company also has a segment for Closed Stores and Other which includes the operations of all closed stores and stores that are expected to close through the third quarter of fiscal 1999.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Outlet Store Group: At May 1, 1999, this store group included the Company's 60 Levi's(R) Outlet by Designs stores, the 25 acquired Dockers(R) and Levi's(R) Outlet stores, the 11 Levi's(R) Outlet stores that were previously owned and operated by the OLS Partnership through October 31, 1998 and five Buffalo Jeans Factory Stores. These outlet stores all operate in outlet parks located primarily in the eastern United States and primarily sell close out and end of season merchandise from vendors.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Specialty Store Group: At May 1, 1999, this store group consisted of the five remaining Designs stores that the Company intends to operate through fiscal 1999. These stores are located in enclosed regional shopping centers and offer a broad selection of Levi Strauss &amp; Co. branded merchandise with complementary brands of tops and bottoms.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Closed Stores and Other: This group included the Designs, Boston Trading Co.(TM) and Boston Traders(R) Outlet stores that were closed as part of the fiscal 1997 and fiscal 1998 store closing programs. The operations of the three Original Levi's Stores(TM) that were distributed to LDJV, Inc. in October 1998 and the operations of the eight Original Levi's Stores(TM) that were closed in fiscal 1998 are also included in this group. Also included in this segment are the four Boston Traders(R) Outlet stores, two BTC(TM) and one Designs store that are all expected to close by the end of the third quarter of fiscal 1999.</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evaluates individual store profitability based on the store's "Contribution to Profit", which is defined by the Company as gross margin less occupancy costs and all store specific expenses such as payroll, advertising, insurance and depreciation. The Company sometimes transfers end-of-season merchandise from its Specialty stores to its Outlet stores. Transfers represented approximately five percent of the Outlet Store Group's total receipts in fiscal 1998. The Company transfers merchandise at the receiving store's retail price with any associated markdowns being recorded by the sending store.</w:t>
      </w:r>
    </w:p>
    <w:p>
      <w:pPr>
        <w:spacing w:after="0" w:line="200" w:lineRule="exact"/>
        <w:rPr>
          <w:sz w:val="20"/>
          <w:szCs w:val="20"/>
          <w:color w:val="auto"/>
        </w:rPr>
      </w:pPr>
    </w:p>
    <w:p>
      <w:pPr>
        <w:spacing w:after="0" w:line="216"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Below is a summary of the results of operations for each of the reportable segments for the three months ended May 1, 1999 and May 2, 1998: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w w:val="98"/>
              </w:rPr>
              <w:t>For the three months ended May 1, 1999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Closed</w:t>
            </w: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Outlets</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Specialty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Other</w:t>
            </w:r>
          </w:p>
        </w:tc>
        <w:tc>
          <w:tcPr>
            <w:tcW w:w="54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36,644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1,647</w:t>
            </w:r>
          </w:p>
        </w:tc>
        <w:tc>
          <w:tcPr>
            <w:tcW w:w="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39,835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15,305</w:t>
            </w: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646</w:t>
            </w:r>
          </w:p>
        </w:tc>
        <w:tc>
          <w:tcPr>
            <w:tcW w:w="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16,480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5,230</w:t>
            </w: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615</w:t>
            </w:r>
          </w:p>
        </w:tc>
        <w:tc>
          <w:tcPr>
            <w:tcW w:w="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6,263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10,075</w:t>
            </w: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10,217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3,332</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w:t>
            </w:r>
          </w:p>
        </w:tc>
        <w:tc>
          <w:tcPr>
            <w:tcW w:w="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2,545</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50,264</w:t>
            </w: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w:t>
            </w:r>
          </w:p>
        </w:tc>
        <w:tc>
          <w:tcPr>
            <w:tcW w:w="54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52,480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9,461</w:t>
            </w: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6,822</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17,142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 ended May 2, 1998</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Closed</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Outlets</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Specialty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Other</w:t>
            </w:r>
          </w:p>
        </w:tc>
        <w:tc>
          <w:tcPr>
            <w:tcW w:w="58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28,883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1,907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12,610</w:t>
            </w:r>
          </w:p>
        </w:tc>
        <w:tc>
          <w:tcPr>
            <w:tcW w:w="5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43,400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12,663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5,148</w:t>
            </w:r>
          </w:p>
        </w:tc>
        <w:tc>
          <w:tcPr>
            <w:tcW w:w="5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18,432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4,453</w:t>
            </w:r>
          </w:p>
        </w:tc>
        <w:tc>
          <w:tcPr>
            <w:tcW w:w="5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9,056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8,560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695</w:t>
            </w:r>
          </w:p>
        </w:tc>
        <w:tc>
          <w:tcPr>
            <w:tcW w:w="5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9,376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to profit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(3,661)</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Segment Assets: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37,420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2,321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17,185</w:t>
            </w:r>
          </w:p>
        </w:tc>
        <w:tc>
          <w:tcPr>
            <w:tcW w:w="5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56,926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 net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6,735</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24,890</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32,724</w:t>
            </w:r>
          </w:p>
        </w:tc>
      </w:tr>
    </w:tbl>
    <w:p>
      <w:pPr>
        <w:spacing w:after="0" w:line="207" w:lineRule="exact"/>
        <w:rPr>
          <w:sz w:val="20"/>
          <w:szCs w:val="20"/>
          <w:color w:val="auto"/>
        </w:rPr>
      </w:pPr>
    </w:p>
    <w:p>
      <w:pPr>
        <w:ind w:left="960" w:right="1879" w:hanging="947"/>
        <w:spacing w:after="0" w:line="236" w:lineRule="auto"/>
        <w:rPr>
          <w:sz w:val="20"/>
          <w:szCs w:val="20"/>
          <w:color w:val="auto"/>
        </w:rPr>
      </w:pPr>
      <w:r>
        <w:rPr>
          <w:rFonts w:ascii="Courier New" w:cs="Courier New" w:eastAsia="Courier New" w:hAnsi="Courier New"/>
          <w:sz w:val="18"/>
          <w:szCs w:val="18"/>
          <w:color w:val="auto"/>
        </w:rPr>
        <w:t>(1)Fixed assets for the Closed Stores and Other include fixed assets for the corporate office which were $6.2 million and $8.2 million as of May 1, 1999 and May 2, 1998, respectively.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Reconciliation of Contribution to Profit to Operating Loss</w:t>
      </w:r>
    </w:p>
    <w:p>
      <w:pPr>
        <w:spacing w:after="0" w:line="238" w:lineRule="auto"/>
        <w:rPr>
          <w:sz w:val="20"/>
          <w:szCs w:val="20"/>
          <w:color w:val="auto"/>
        </w:rPr>
      </w:pPr>
      <w:r>
        <w:rPr>
          <w:rFonts w:ascii="Courier New" w:cs="Courier New" w:eastAsia="Courier New" w:hAnsi="Courier New"/>
          <w:sz w:val="18"/>
          <w:szCs w:val="18"/>
          <w:color w:val="auto"/>
        </w:rPr>
        <w:t>- ----------------------------------------------------------</w:t>
      </w:r>
    </w:p>
    <w:p>
      <w:pPr>
        <w:ind w:left="5160"/>
        <w:spacing w:after="0"/>
        <w:rPr>
          <w:sz w:val="20"/>
          <w:szCs w:val="20"/>
          <w:color w:val="auto"/>
        </w:rPr>
      </w:pPr>
      <w:r>
        <w:rPr>
          <w:rFonts w:ascii="Courier New" w:cs="Courier New" w:eastAsia="Courier New" w:hAnsi="Courier New"/>
          <w:sz w:val="18"/>
          <w:szCs w:val="18"/>
          <w:color w:val="auto"/>
        </w:rPr>
        <w:t>For the three months ended</w:t>
      </w:r>
    </w:p>
    <w:p>
      <w:pPr>
        <w:spacing w:after="0"/>
        <w:tabs>
          <w:tab w:leader="none" w:pos="4940" w:val="left"/>
          <w:tab w:leader="none" w:pos="694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6"/>
          <w:szCs w:val="16"/>
          <w:color w:val="auto"/>
        </w:rPr>
        <w:t>May 2,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Outlet store segment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3,332</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$ 3,075</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Specialty store segment</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Closed store and other</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(3,661)</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 Expenses</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(3,647)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(4,199)</w:t>
            </w:r>
          </w:p>
        </w:tc>
      </w:tr>
      <w:tr>
        <w:trPr>
          <w:trHeight w:val="203"/>
        </w:trPr>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Loss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CLOSING PROGRAMS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During the third quarter of fiscal 1998, the Company announced its plans to close 14 unprofitable Designs stores and eight unprofitable Boston Trading Co.(R)/BTC(TM) stores through lease terminations and expirations. This store closing strategy resulted in the Company recording a pre-tax charge of $13.4 million, or $0.47 per share after tax, related to the closing of 14 Designs stores, eight Boston Trading Co.(R)/BTC(TM) and eight remaining Original Levi's Stores(TM) closed by the joint venture. The total revised estimated cost to close these stores is $10.5 million, which is $2.9 million less than the original charge, primarily due to favorable landlord negotiations on lease termination payments. As a result, the Company recognized pre-tax income of $2.9 million in the fourth quarter of fiscal 1998. Total estimated cash costs are expected to be $4.2 million related to lease terminations, employee severance and other related expenses. The remainder of the $10.5 million charge consists of non-cash costs of approximately $6.3 million in store fixed asset write-offs. All of these stores were closed by the end of fiscal 1998. At</w:t>
      </w:r>
    </w:p>
    <w:p>
      <w:pPr>
        <w:spacing w:after="0" w:line="18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May 1, 1999, the remaining reserve balance related to these store closings was $1.4 million, which primarily relates to landlord settlements and severance payments that the Company anticipates will be paid in fiscal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fourth quarter of fiscal 1998, the Company recorded additional store</w:t>
      </w:r>
    </w:p>
    <w:p>
      <w:pPr>
        <w:spacing w:after="0" w:line="238" w:lineRule="auto"/>
        <w:rPr>
          <w:sz w:val="20"/>
          <w:szCs w:val="20"/>
          <w:color w:val="auto"/>
        </w:rPr>
      </w:pPr>
      <w:r>
        <w:rPr>
          <w:rFonts w:ascii="Courier New" w:cs="Courier New" w:eastAsia="Courier New" w:hAnsi="Courier New"/>
          <w:sz w:val="18"/>
          <w:szCs w:val="18"/>
          <w:color w:val="auto"/>
        </w:rPr>
        <w:t>closing and severance reserves of $5.2 million, or $0.20 per share, related to</w:t>
      </w:r>
    </w:p>
    <w:p>
      <w:pPr>
        <w:spacing w:after="0"/>
        <w:rPr>
          <w:sz w:val="20"/>
          <w:szCs w:val="20"/>
          <w:color w:val="auto"/>
        </w:rPr>
      </w:pPr>
      <w:r>
        <w:rPr>
          <w:rFonts w:ascii="Courier New" w:cs="Courier New" w:eastAsia="Courier New" w:hAnsi="Courier New"/>
          <w:sz w:val="18"/>
          <w:szCs w:val="18"/>
          <w:color w:val="auto"/>
        </w:rPr>
        <w:t>the decision to close three BTC(TM) stores, one Designs store, and four</w:t>
      </w:r>
    </w:p>
    <w:p>
      <w:pPr>
        <w:spacing w:after="0" w:line="237" w:lineRule="auto"/>
        <w:rPr>
          <w:sz w:val="20"/>
          <w:szCs w:val="20"/>
          <w:color w:val="auto"/>
        </w:rPr>
      </w:pPr>
      <w:r>
        <w:rPr>
          <w:rFonts w:ascii="Courier New" w:cs="Courier New" w:eastAsia="Courier New" w:hAnsi="Courier New"/>
          <w:sz w:val="18"/>
          <w:szCs w:val="18"/>
          <w:color w:val="auto"/>
        </w:rPr>
        <w:t>Boston Traders(R) Outlet stores and to further reduce corporate headcount. This</w:t>
      </w:r>
    </w:p>
    <w:p>
      <w:pPr>
        <w:spacing w:after="0" w:line="238" w:lineRule="auto"/>
        <w:rPr>
          <w:sz w:val="20"/>
          <w:szCs w:val="20"/>
          <w:color w:val="auto"/>
        </w:rPr>
      </w:pPr>
      <w:r>
        <w:rPr>
          <w:rFonts w:ascii="Courier New" w:cs="Courier New" w:eastAsia="Courier New" w:hAnsi="Courier New"/>
          <w:sz w:val="18"/>
          <w:szCs w:val="18"/>
          <w:color w:val="auto"/>
        </w:rPr>
        <w:t>pre-tax charge included cash costs of approximately $2.9 million related to</w:t>
      </w:r>
    </w:p>
    <w:p>
      <w:pPr>
        <w:spacing w:after="0"/>
        <w:rPr>
          <w:sz w:val="20"/>
          <w:szCs w:val="20"/>
          <w:color w:val="auto"/>
        </w:rPr>
      </w:pPr>
      <w:r>
        <w:rPr>
          <w:rFonts w:ascii="Courier New" w:cs="Courier New" w:eastAsia="Courier New" w:hAnsi="Courier New"/>
          <w:sz w:val="18"/>
          <w:szCs w:val="18"/>
          <w:color w:val="auto"/>
        </w:rPr>
        <w:t>lease terminations and corporate severance, and $2.3 million of non-cash costs</w:t>
      </w:r>
    </w:p>
    <w:p>
      <w:pPr>
        <w:spacing w:after="0" w:line="237" w:lineRule="auto"/>
        <w:rPr>
          <w:sz w:val="20"/>
          <w:szCs w:val="20"/>
          <w:color w:val="auto"/>
        </w:rPr>
      </w:pPr>
      <w:r>
        <w:rPr>
          <w:rFonts w:ascii="Courier New" w:cs="Courier New" w:eastAsia="Courier New" w:hAnsi="Courier New"/>
          <w:sz w:val="18"/>
          <w:szCs w:val="18"/>
          <w:color w:val="auto"/>
        </w:rPr>
        <w:t>related to store fixed asset write-offs and markdowns. At May 1, 1999, the</w:t>
      </w:r>
    </w:p>
    <w:p>
      <w:pPr>
        <w:spacing w:after="0"/>
        <w:rPr>
          <w:sz w:val="20"/>
          <w:szCs w:val="20"/>
          <w:color w:val="auto"/>
        </w:rPr>
      </w:pPr>
      <w:r>
        <w:rPr>
          <w:rFonts w:ascii="Courier New" w:cs="Courier New" w:eastAsia="Courier New" w:hAnsi="Courier New"/>
          <w:sz w:val="18"/>
          <w:szCs w:val="18"/>
          <w:color w:val="auto"/>
        </w:rPr>
        <w:t>remaining reserve balance related to these store closings is $4.2 million.</w:t>
      </w:r>
    </w:p>
    <w:p>
      <w:pPr>
        <w:spacing w:after="0" w:line="20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combined earnings and cash flow benefits of the third and fourth quarter charges are expected, barring unforeseen circumstances, to be $8.5 million and $13.5 million, respectively, for both fiscal 1999 and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business historically has been seasonal, reflecting increased consumer buying in the "Fall" and "Holiday" seasons. Historically, the second half of each fiscal year has generated a greater portion of the Company's annual sales and operating income. In recent years, the Company's focus has shifted towards its outlet store business. The percentage of the Company's outlet business has increased and is anticipated to continue to increase because of the shift in the Company's store mix towards outlet stores and away from mall-based specialty stores. Liquidity and Capital Resources</w:t>
      </w:r>
    </w:p>
    <w:p>
      <w:pPr>
        <w:spacing w:after="0" w:line="21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Company's primary cash needs have been for operating expenses, including cash outlays associated with inventory purchases, capital expenditures for new and remodeled stores, and the purchase of 25 outlet stores from Levi's Only Stores, Inc. in fiscal 1998. During fiscal 1999, the Company expects to incur capital expenditures related to building new outlet stores and outlet store</w:t>
      </w:r>
    </w:p>
    <w:p>
      <w:pPr>
        <w:sectPr>
          <w:pgSz w:w="11900" w:h="16838" w:orient="portrait"/>
          <w:cols w:equalWidth="0" w:num="1">
            <w:col w:w="10219"/>
          </w:cols>
          <w:pgMar w:left="240" w:top="136"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relocations and system enhancements of $2.6 million. The Company expects that cash flow from operations, short-term revolving borrowings and trade credit will enable it to finance its current working capital, store remodeling and opening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requirements,store opening and store closing programs and remodeling programs with cash flow from operations, income tax refunds, and borrowings under the Company's credit facility. Cash provided by operations for the first three months of fiscal 1999 was $1.8 million as compared to cash provided for operations of $11.2 million for the same period in the prior year. This $9.4 million change is primarily the result of the receipt of a federal income tax refund of $12.9 million received in the first quarter of fiscal 1998.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was no cash and investment position at May 1, 1999 as compared to $3.8</w:t>
      </w:r>
    </w:p>
    <w:p>
      <w:pPr>
        <w:spacing w:after="0" w:line="238" w:lineRule="auto"/>
        <w:rPr>
          <w:sz w:val="20"/>
          <w:szCs w:val="20"/>
          <w:color w:val="auto"/>
        </w:rPr>
      </w:pPr>
      <w:r>
        <w:rPr>
          <w:rFonts w:ascii="Courier New" w:cs="Courier New" w:eastAsia="Courier New" w:hAnsi="Courier New"/>
          <w:sz w:val="18"/>
          <w:szCs w:val="18"/>
          <w:color w:val="auto"/>
        </w:rPr>
        <w:t>million at May 2, 1998. At May 1, 1999, the Company had borrowings of $11.8</w:t>
      </w:r>
    </w:p>
    <w:p>
      <w:pPr>
        <w:spacing w:after="0"/>
        <w:rPr>
          <w:sz w:val="20"/>
          <w:szCs w:val="20"/>
          <w:color w:val="auto"/>
        </w:rPr>
      </w:pPr>
      <w:r>
        <w:rPr>
          <w:rFonts w:ascii="Courier New" w:cs="Courier New" w:eastAsia="Courier New" w:hAnsi="Courier New"/>
          <w:sz w:val="18"/>
          <w:szCs w:val="18"/>
          <w:color w:val="auto"/>
        </w:rPr>
        <w:t>million outstanding under its revolving credit facility as compared to no</w:t>
      </w:r>
    </w:p>
    <w:p>
      <w:pPr>
        <w:spacing w:after="0" w:line="237" w:lineRule="auto"/>
        <w:rPr>
          <w:sz w:val="20"/>
          <w:szCs w:val="20"/>
          <w:color w:val="auto"/>
        </w:rPr>
      </w:pPr>
      <w:r>
        <w:rPr>
          <w:rFonts w:ascii="Courier New" w:cs="Courier New" w:eastAsia="Courier New" w:hAnsi="Courier New"/>
          <w:sz w:val="18"/>
          <w:szCs w:val="18"/>
          <w:color w:val="auto"/>
        </w:rPr>
        <w:t>outstanding borrowings at May 2, 1998. The increase in the Company's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borrowing position at May 1, 1999 as compared to May 2, 1998 is primarily due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fact that in the first quarter of fiscal 1998, the Company received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$12.9 million income tax refund, which cash was not received in the same period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year. In addition, in October 1998, the Company purchased from Levi's Only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Stores, Inc. 16 Dockers(R) Outlet stores and nine Levi's(R) Outlet stores for</w:t>
      </w:r>
    </w:p>
    <w:p>
      <w:pPr>
        <w:spacing w:after="0" w:line="238" w:lineRule="auto"/>
        <w:rPr>
          <w:sz w:val="20"/>
          <w:szCs w:val="20"/>
          <w:color w:val="auto"/>
        </w:rPr>
      </w:pPr>
      <w:r>
        <w:rPr>
          <w:rFonts w:ascii="Courier New" w:cs="Courier New" w:eastAsia="Courier New" w:hAnsi="Courier New"/>
          <w:sz w:val="18"/>
          <w:szCs w:val="18"/>
          <w:color w:val="auto"/>
        </w:rPr>
        <w:t>$9.7 million, which was financed by borrowings under the Company's credit</w:t>
      </w:r>
    </w:p>
    <w:p>
      <w:pPr>
        <w:spacing w:after="0"/>
        <w:rPr>
          <w:sz w:val="20"/>
          <w:szCs w:val="20"/>
          <w:color w:val="auto"/>
        </w:rPr>
      </w:pPr>
      <w:r>
        <w:rPr>
          <w:rFonts w:ascii="Courier New" w:cs="Courier New" w:eastAsia="Courier New" w:hAnsi="Courier New"/>
          <w:sz w:val="18"/>
          <w:szCs w:val="18"/>
          <w:color w:val="auto"/>
        </w:rPr>
        <w:t>facility. The Company expects that average borrowings for fiscal 1999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higher than those in fiscal 1998 as a result of borrowings in the third quarter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fiscal 1998 to fund the acquisition of the 25 outlet stores, fiscal 1999</w:t>
      </w:r>
    </w:p>
    <w:p>
      <w:pPr>
        <w:spacing w:after="0" w:line="238" w:lineRule="auto"/>
        <w:rPr>
          <w:sz w:val="20"/>
          <w:szCs w:val="20"/>
          <w:color w:val="auto"/>
        </w:rPr>
      </w:pPr>
      <w:r>
        <w:rPr>
          <w:rFonts w:ascii="Courier New" w:cs="Courier New" w:eastAsia="Courier New" w:hAnsi="Courier New"/>
          <w:sz w:val="18"/>
          <w:szCs w:val="18"/>
          <w:color w:val="auto"/>
        </w:rPr>
        <w:t>inventory purchases and the cost of lease terminations associated with the</w:t>
      </w:r>
    </w:p>
    <w:p>
      <w:pPr>
        <w:spacing w:after="0"/>
        <w:rPr>
          <w:sz w:val="20"/>
          <w:szCs w:val="20"/>
          <w:color w:val="auto"/>
        </w:rPr>
      </w:pPr>
      <w:r>
        <w:rPr>
          <w:rFonts w:ascii="Courier New" w:cs="Courier New" w:eastAsia="Courier New" w:hAnsi="Courier New"/>
          <w:sz w:val="18"/>
          <w:szCs w:val="18"/>
          <w:color w:val="auto"/>
        </w:rPr>
        <w:t>closing of unprofitable stores, as described above.</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May 1999, the Company borrowed $2.3 million and deposited that amount in a trust established for the purpose of securing already existing obligations of the Company to its three senior executive officers, Mr. Joel H. Reichman, Mr. Scott N. Semel and Mrs. Carolyn R. Faulkner, under their employment agreements with the Company. These funds will be held in a trust to pay the amounts due under the employment agreements in the event of a change in control of the Company and also to pay any amounts due to them pursuant to indemnification obligations of the Company under certain indemnification agreements and the Company's by-laws.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working capital at May 1, 1999 was approximately $24.2 million,</w:t>
      </w:r>
    </w:p>
    <w:p>
      <w:pPr>
        <w:spacing w:after="0" w:line="238" w:lineRule="auto"/>
        <w:rPr>
          <w:sz w:val="20"/>
          <w:szCs w:val="20"/>
          <w:color w:val="auto"/>
        </w:rPr>
      </w:pPr>
      <w:r>
        <w:rPr>
          <w:rFonts w:ascii="Courier New" w:cs="Courier New" w:eastAsia="Courier New" w:hAnsi="Courier New"/>
          <w:sz w:val="18"/>
          <w:szCs w:val="18"/>
          <w:color w:val="auto"/>
        </w:rPr>
        <w:t>compared to $41.4 million at May 2, 1998. This decrease in working capital was</w:t>
      </w:r>
    </w:p>
    <w:p>
      <w:pPr>
        <w:spacing w:after="0"/>
        <w:rPr>
          <w:sz w:val="20"/>
          <w:szCs w:val="20"/>
          <w:color w:val="auto"/>
        </w:rPr>
      </w:pPr>
      <w:r>
        <w:rPr>
          <w:rFonts w:ascii="Courier New" w:cs="Courier New" w:eastAsia="Courier New" w:hAnsi="Courier New"/>
          <w:sz w:val="18"/>
          <w:szCs w:val="18"/>
          <w:color w:val="auto"/>
        </w:rPr>
        <w:t>primarily attributable to operating losses for the twelve months ending May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and costs incurred as part of the Company's store closing program in fiscal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The Company's working capital for the first quarter of fiscal 1999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$24.2 million has slightly increased from $24.1 million at January 30, 1999. 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 1999, total inventory equaled $52.5 million, compared to $56.9 million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 1998. The decrease of 7 percent in the Company's inventory level was</w:t>
      </w:r>
    </w:p>
    <w:p>
      <w:pPr>
        <w:spacing w:after="0" w:line="238" w:lineRule="auto"/>
        <w:rPr>
          <w:sz w:val="20"/>
          <w:szCs w:val="20"/>
          <w:color w:val="auto"/>
        </w:rPr>
      </w:pPr>
      <w:r>
        <w:rPr>
          <w:rFonts w:ascii="Courier New" w:cs="Courier New" w:eastAsia="Courier New" w:hAnsi="Courier New"/>
          <w:sz w:val="18"/>
          <w:szCs w:val="18"/>
          <w:color w:val="auto"/>
        </w:rPr>
        <w:t>primarily due to store closings in fiscal 1998.</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Company stocks its Levi's(R) Outlet by Designs and Dockers(R) Outlet by Designs stores with manufacturing overruns, merchandise specifically made for the outlets, discontinued lines and irregulars purchased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directly from Levi Strauss &amp; Co., and end-of-season merchandise transferred from the Company's Specialty Stores Group. By its nature, this merchandise, including the most popular Levi Strauss &amp; Co. styles of merchandise and the breadth of the mix of this merchandise, is subject to limited availability. The Company may act upon opportunities to purchase substantial quantities of Levi's(R), Dockers(R) and Slates(R) brand products for its Levi's(R) and Dockers(R) Outlet stores.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May 1, 1999, the accounts payable balance was $5.4 million as compared with a balance of $12.6 million at May 2, 1998. This 57 percent decrease was primarily related to the timing of payments to vendors associated with a reduced store count and the timing of merchandise receipts. The Company's trade payables to Levi Strauss &amp; Co., its principal vendor, generally are due 30 days after the date of invoice. The Company expects, barring unforeseen circumstances, that any purchases of branded merchandise from vendors other than Levi Strauss &amp; Co. will be limited and will be in accordance with customary industry credit terms.</w:t>
      </w:r>
    </w:p>
    <w:p>
      <w:pPr>
        <w:spacing w:after="0" w:line="1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This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w:t>
      </w:r>
    </w:p>
    <w:p>
      <w:pPr>
        <w:sectPr>
          <w:pgSz w:w="11900" w:h="16838" w:orient="portrait"/>
          <w:cols w:equalWidth="0" w:num="1">
            <w:col w:w="10219"/>
          </w:cols>
          <w:pgMar w:left="240" w:top="142" w:right="1440" w:bottom="0" w:gutter="0" w:footer="0" w:header="0"/>
        </w:sectPr>
      </w:pPr>
    </w:p>
    <w:bookmarkStart w:id="13" w:name="page14"/>
    <w:bookmarkEnd w:id="13"/>
    <w:p>
      <w:pPr>
        <w:ind w:right="1879"/>
        <w:spacing w:after="0" w:line="270" w:lineRule="auto"/>
        <w:rPr>
          <w:sz w:val="20"/>
          <w:szCs w:val="20"/>
          <w:color w:val="auto"/>
        </w:rPr>
      </w:pPr>
      <w:r>
        <w:rPr>
          <w:rFonts w:ascii="Courier New" w:cs="Courier New" w:eastAsia="Courier New" w:hAnsi="Courier New"/>
          <w:sz w:val="16"/>
          <w:szCs w:val="16"/>
          <w:color w:val="auto"/>
        </w:rPr>
        <w:t>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restrictions on payment of dividends by the Company. The Company is subject to a prepayment penalty of $250,000 to $500,000 if the Credit Agreement terminates prior to June 4, 2000.</w:t>
      </w:r>
    </w:p>
    <w:p>
      <w:pPr>
        <w:spacing w:after="0" w:line="39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nine Levi's(R) Outlet and 16 Dockers(R) Outlet stores from Levi's Only Stores, Inc. and to permit and acknowledge the transactions associated with the dissolution and winding up of The Designs/OLS Partnership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the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May 1, 1999, the Company had borrowings of $11.8 million outstanding under this facility and had two outstanding standby letters of credit totaling approximately $377,400. The Company was in compliance with all debt covenants at the end of the first quarter.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("Boston Trading") in accordance with the terms of an Asset Purchase Agreement dated April 21, 1995. The Company paid $5.4 million in cash, financed by operations, and delivered a non-negotiable promissory note in the original principal amount of $1 million (the "Purchase Note"). The principal amount of the Purchase Note was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on the Purchase Note that were due on May 2, 1996 and May 2, 1997. Nevertheless, the Company continued to pay interest on the original principal amount of the Purchase Note through May 2, 1996 and continued to pay interest thereafter through November 2, 1997 on $500,000 of principal. The portion of the principal amount of the Purchase Note ultimately to be paid by the Company depends upon whether its claims are satisfied by Boston Trading and its stockholders.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Issue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1879"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Readiness: 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technology and its information systems to be Year 2000 compliant. Barring unforeseen circumstances, the Company anticipates that the conversion will be complete by the end of calendar year 1999.</w:t>
      </w:r>
    </w:p>
    <w:p>
      <w:pPr>
        <w:spacing w:after="0" w:line="212"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primary data processing systems for financial reporting, and merchandise management have been upgraded with new releases of year 2000 compliant software. Other significant systems utilized by the Company, which include point of sale register systems are in the process of being upgraded and will be complete in the second quarter of 1999. The payroll system is in process of being reviewed and the Company plans to upgrade this system in 1999.</w:t>
      </w:r>
    </w:p>
    <w:p>
      <w:pPr>
        <w:spacing w:after="0" w:line="211"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is reviewing embedded systems impacted by the year 2000 issue and a plan has been developed to address embedded systems based upon how critical they are to the business. During the second quarter of fiscal 1999 the Company expects to implement a plan to determine the year 2000 readiness of the Company's vendors including, Levi Strauss &amp; Co. and the Company's other merchandise vendors.</w:t>
      </w:r>
    </w:p>
    <w:p>
      <w:pPr>
        <w:spacing w:after="0" w:line="210" w:lineRule="exact"/>
        <w:rPr>
          <w:sz w:val="20"/>
          <w:szCs w:val="20"/>
          <w:color w:val="auto"/>
        </w:rPr>
      </w:pPr>
    </w:p>
    <w:p>
      <w:pPr>
        <w:ind w:left="960" w:right="1879" w:hanging="952"/>
        <w:spacing w:after="0" w:line="290"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to Address Year 2000 Issues: The Company expects to spend a total of approximately $600,000,which will be expensed in the Company's</w:t>
      </w:r>
    </w:p>
    <w:p>
      <w:pPr>
        <w:sectPr>
          <w:pgSz w:w="11900" w:h="16838" w:orient="portrait"/>
          <w:cols w:equalWidth="0" w:num="1">
            <w:col w:w="10219"/>
          </w:cols>
          <w:pgMar w:left="240" w:top="142" w:right="1440" w:bottom="0" w:gutter="0" w:footer="0" w:header="0"/>
        </w:sectPr>
      </w:pPr>
    </w:p>
    <w:bookmarkStart w:id="14" w:name="page15"/>
    <w:bookmarkEnd w:id="14"/>
    <w:p>
      <w:pPr>
        <w:ind w:left="960" w:right="1879"/>
        <w:spacing w:after="0" w:line="275" w:lineRule="auto"/>
        <w:rPr>
          <w:sz w:val="20"/>
          <w:szCs w:val="20"/>
          <w:color w:val="auto"/>
        </w:rPr>
      </w:pPr>
      <w:r>
        <w:rPr>
          <w:rFonts w:ascii="Courier New" w:cs="Courier New" w:eastAsia="Courier New" w:hAnsi="Courier New"/>
          <w:sz w:val="16"/>
          <w:szCs w:val="16"/>
          <w:color w:val="auto"/>
        </w:rPr>
        <w:t>financial statements as incurred, in conversion and upgrade costs. Through the end of fiscal year 1998, the Company had spent $300,000. The Company expects that cash flow from operations, and short-term revolving borrowings will enable it to fund its Year 2000 remediation.</w:t>
      </w:r>
    </w:p>
    <w:p>
      <w:pPr>
        <w:spacing w:after="0" w:line="182" w:lineRule="exact"/>
        <w:rPr>
          <w:sz w:val="20"/>
          <w:szCs w:val="20"/>
          <w:color w:val="auto"/>
        </w:rPr>
      </w:pPr>
    </w:p>
    <w:p>
      <w:pPr>
        <w:ind w:left="960" w:right="1879" w:hanging="952"/>
        <w:spacing w:after="0" w:line="237"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related to the Company's Year 2000 Issues: The Company's ability to operate would be impacted by the lack of electronic transmission of data from its merchandise vendors and would result in the implementation of manual processes to account for receipt of merchandise. The implementation of manual processes would result in a slow down of product shipments to the Company's stores, which could have an adverse impact on sales. In a worst case scenario, telecommunications or electrical power interruptions on a regional or national scale could adversely affect all merchants' ability to operate.</w:t>
      </w:r>
    </w:p>
    <w:p>
      <w:pPr>
        <w:sectPr>
          <w:pgSz w:w="11900" w:h="16838" w:orient="portrait"/>
          <w:cols w:equalWidth="0" w:num="1">
            <w:col w:w="10219"/>
          </w:cols>
          <w:pgMar w:left="240" w:top="142" w:right="1440" w:bottom="0" w:gutter="0" w:footer="0" w:header="0"/>
        </w:sect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Company's Contingency Plan: The Company's contingency plan in the event that a slow down of shipments from Levi Strauss &amp; Co. occurs includes increasing purchases in advance of the beginning of the year 2000 to ensure adequate supplies of merchandise would be available.</w:t>
      </w:r>
    </w:p>
    <w:p>
      <w:pPr>
        <w:spacing w:after="0" w:line="200" w:lineRule="exact"/>
        <w:rPr>
          <w:sz w:val="20"/>
          <w:szCs w:val="20"/>
          <w:color w:val="auto"/>
        </w:rPr>
      </w:pPr>
    </w:p>
    <w:p>
      <w:pPr>
        <w:sectPr>
          <w:pgSz w:w="11900" w:h="16838" w:orient="portrait"/>
          <w:cols w:equalWidth="0" w:num="2">
            <w:col w:w="320" w:space="640"/>
            <w:col w:w="9259"/>
          </w:cols>
          <w:pgMar w:left="2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cash outlays for capital expenditures for the first three months of fiscal 1999 were $1,131,000, which represents the cost of new and remodeled stores. Total cash outlays for the first three months of fiscal 1998 were $151,000. During the first three months of fiscal 1999, the Company opened three new Levi's(R)/Dockers(R) Outlet by Designs stores and began to remodel four of the older Levi's(R) Outlet by Designs stores.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present plans for expansion for the remainder of fiscal 1999, barring unforeseen circumstances, include relocating an additional eight Levi's(R)/Dockers(R) Outlet by Designs stores, and opening two Dockers(R) Outlet by Designs stores and one Levi's(R) Outlet by Designs store.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 Beginning with the amendment to the Outlet License Agreement effective on October 31, 1998, the Outlet License Agreement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 At May 1, 1999, the average remaining lease term (including extension options) of the Company's Levi's(R) Outlet by Designs and Dockers(R) Outlet by Designs stores was approximately 10 years.</w:t>
      </w: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with the approval of Levi Strauss &amp; Co., initiated a program to remodel or replace its 59 oldest Levi's(R) Outlet by Designs stores beginning in fiscal 1999. The Company intends, barring unforeseen circumstances, to move, remodel or replace these stores over the next five years beginning in fiscal 1999. At May 1, 1998, the Company had closed two of its older 59 Levi's(R) Outlet stores and has opened three new Levi's(R)/Dockers(R) Outlet by Designs stores.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MAY 1, 1998, WHICH IDENTIFIES CERTAIN RISKS AND UNCERTAINTIES THAT MAY HAVE AN IMPACT ON FUTURE EARNINGS AND THE DIRECTION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ectPr>
          <w:pgSz w:w="11900" w:h="16838" w:orient="portrait"/>
          <w:cols w:equalWidth="0" w:num="1">
            <w:col w:w="10219"/>
          </w:cols>
          <w:pgMar w:left="240" w:top="142" w:right="1440" w:bottom="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9259"/>
          </w:cols>
          <w:pgMar w:left="1200" w:top="14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December 7, 1998, a consent with respect to 1,570,000 shares of Common Stock executed on behalf of Jewelcor Management, Inc., a Nevada corporation ("Jewelcor"), and its controlling shareholder, Seymour Holtzman, was delivered to the Company for the purpose of removing and replacing the members of the Company's Board of Directors other than the Chairman, Stanley I. Berger. A preliminary Consent Solicitation Statement was filed on December 7, 1998 by the Holtzman Group with the Securities and Exchange Commission. On December 11, 1998, the Board of Directors of the Company determined to oppose the consent solicitation (the "Consent Solicitation") by Jewelcor and Mr. Holtzman.</w:t>
      </w:r>
    </w:p>
    <w:p>
      <w:pPr>
        <w:spacing w:after="0" w:line="184"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185"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Company did not enter into any settlement with Jewelcor or Mr. Holtzman terminating the Consent Solicitation.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Accompanying this Quarterly Report as Exhibit 99.2 and incorporated herein by reference is a copy of a letter sent by the Special Committee of the Board of Directors of Designs, Inc. to Mr. Seymour Holtzman, President of Jewelcor Management, Inc. on June 11, 1999.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960" w:right="7159" w:hanging="952"/>
        <w:spacing w:after="0" w:line="708" w:lineRule="auto"/>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3.1</w:t>
            </w:r>
          </w:p>
        </w:tc>
        <w:tc>
          <w:tcPr>
            <w:tcW w:w="51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8"/>
              </w:rPr>
              <w:t>Restated Certificate of Incorporation of the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Company, as</w:t>
            </w:r>
          </w:p>
        </w:tc>
      </w:tr>
      <w:tr>
        <w:trPr>
          <w:trHeight w:val="203"/>
        </w:trPr>
        <w:tc>
          <w:tcPr>
            <w:tcW w:w="740" w:type="dxa"/>
            <w:vAlign w:val="bottom"/>
          </w:tcPr>
          <w:p>
            <w:pPr>
              <w:spacing w:after="0"/>
              <w:rPr>
                <w:sz w:val="17"/>
                <w:szCs w:val="17"/>
                <w:color w:val="auto"/>
              </w:rPr>
            </w:pPr>
          </w:p>
        </w:tc>
        <w:tc>
          <w:tcPr>
            <w:tcW w:w="74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 of the</w:t>
            </w:r>
          </w:p>
        </w:tc>
      </w:tr>
      <w:tr>
        <w:trPr>
          <w:trHeight w:val="203"/>
        </w:trPr>
        <w:tc>
          <w:tcPr>
            <w:tcW w:w="740" w:type="dxa"/>
            <w:vAlign w:val="bottom"/>
          </w:tcPr>
          <w:p>
            <w:pPr>
              <w:spacing w:after="0"/>
              <w:rPr>
                <w:sz w:val="17"/>
                <w:szCs w:val="17"/>
                <w:color w:val="auto"/>
              </w:rPr>
            </w:pPr>
          </w:p>
        </w:tc>
        <w:tc>
          <w:tcPr>
            <w:tcW w:w="2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Company's Registration</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Statement on Form S-1</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33-13402),</w:t>
            </w:r>
          </w:p>
        </w:tc>
      </w:tr>
      <w:tr>
        <w:trPr>
          <w:trHeight w:val="203"/>
        </w:trPr>
        <w:tc>
          <w:tcPr>
            <w:tcW w:w="740" w:type="dxa"/>
            <w:vAlign w:val="bottom"/>
          </w:tcPr>
          <w:p>
            <w:pPr>
              <w:spacing w:after="0"/>
              <w:rPr>
                <w:sz w:val="17"/>
                <w:szCs w:val="17"/>
                <w:color w:val="auto"/>
              </w:rPr>
            </w:pPr>
          </w:p>
        </w:tc>
        <w:tc>
          <w:tcPr>
            <w:tcW w:w="3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and incorporated herein by</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3.2</w:t>
            </w:r>
          </w:p>
        </w:tc>
        <w:tc>
          <w:tcPr>
            <w:tcW w:w="748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8"/>
              </w:rPr>
              <w:t>Certificate of Amendment to Restated Certificate of Incorporation,</w:t>
            </w:r>
          </w:p>
        </w:tc>
      </w:tr>
      <w:tr>
        <w:trPr>
          <w:trHeight w:val="203"/>
        </w:trPr>
        <w:tc>
          <w:tcPr>
            <w:tcW w:w="740" w:type="dxa"/>
            <w:vAlign w:val="bottom"/>
          </w:tcPr>
          <w:p>
            <w:pPr>
              <w:spacing w:after="0"/>
              <w:rPr>
                <w:sz w:val="17"/>
                <w:szCs w:val="17"/>
                <w:color w:val="auto"/>
              </w:rPr>
            </w:pPr>
          </w:p>
        </w:tc>
        <w:tc>
          <w:tcPr>
            <w:tcW w:w="2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as amended, dated June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1993 (included as</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 3.2 to the</w:t>
            </w:r>
          </w:p>
        </w:tc>
      </w:tr>
      <w:tr>
        <w:trPr>
          <w:trHeight w:val="203"/>
        </w:trPr>
        <w:tc>
          <w:tcPr>
            <w:tcW w:w="740" w:type="dxa"/>
            <w:vAlign w:val="bottom"/>
          </w:tcPr>
          <w:p>
            <w:pPr>
              <w:spacing w:after="0"/>
              <w:rPr>
                <w:sz w:val="17"/>
                <w:szCs w:val="17"/>
                <w:color w:val="auto"/>
              </w:rPr>
            </w:pPr>
          </w:p>
        </w:tc>
        <w:tc>
          <w:tcPr>
            <w:tcW w:w="3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Company's Quarterly Report</w:t>
            </w:r>
          </w:p>
        </w:tc>
        <w:tc>
          <w:tcPr>
            <w:tcW w:w="4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Form 10-Q dated June 17, 1996, and</w:t>
            </w:r>
          </w:p>
        </w:tc>
      </w:tr>
      <w:tr>
        <w:trPr>
          <w:trHeight w:val="203"/>
        </w:trPr>
        <w:tc>
          <w:tcPr>
            <w:tcW w:w="740" w:type="dxa"/>
            <w:vAlign w:val="bottom"/>
          </w:tcPr>
          <w:p>
            <w:pPr>
              <w:spacing w:after="0"/>
              <w:rPr>
                <w:sz w:val="17"/>
                <w:szCs w:val="17"/>
                <w:color w:val="auto"/>
              </w:rPr>
            </w:pPr>
          </w:p>
        </w:tc>
        <w:tc>
          <w:tcPr>
            <w:tcW w:w="2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incorporated herein by</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Certificate of Designations, Preferences and Rights of a Series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Preferred Stock of the Company establishing Series A Junior</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Participating Cumulative Preferred Stock dated May 1, 1995</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(included as Exhibit 3.2 to the Company's Annual Report on</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10-K dated May 1, 1996, and incorporated herein by</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By-Laws of the Company, as amended (included as Exhibit 3.4 to</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Company's Amendment No. 1 to Annual Report on Form 10-K-/A</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May 28, 1999,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Shareholder Rights Agreement dated as of May 1, 1995 between the</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First Amendment dated as of October 6, 1997 to the Shareholder</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Rights Agreement dated as of May 1, 1995 between the Company its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transfer agent (included as Exhibit 4.1 to the Company's Current</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Report on Form 8-K dated October 9, 1997, and incorporated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Second Amendment dated as of May 19, 1999 to the Shareholder</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Rights Agreement between the Company and its transfer agent, as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amended (included as Exhibit 4.1 to the Company's Current Report</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on Form 8-K dated May 25, 1999, and incorporated herein by</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w w:val="98"/>
              </w:rPr>
              <w:t>1987 Incentive Stock Option Plan, as amended (included as Exhibit</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10.1 to the Company's Annual Report on Form 10-K dated April 29,</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1993,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1987 Non-Qualified Stock Option Plan, as amended (included as</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10.2 to the Company's Annual Report on Form 10-K dated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April 29, 1993,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1992 Stock Incentive Plan, as amended (included as Exhibit 10.3</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 June 16,</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w w:val="97"/>
              </w:rPr>
              <w:t>Senior Executive Incentive Plan for fiscal year ending January 29,</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2000 (included as Exhibit 10.4 to the Company's Annual Report on</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10-K dated April 30, 1999 and incorporated herein</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 and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Amended and Restated Trademark License Agreement between the</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 Report on</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Amended and Restated Loan and Security Agreement dated as of</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June 4, 1998, between the Company and BankBoston Retail Finance</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 as agent for the Lender(s) identified therein ("BRBF"),</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the Lender(s) (included as Exhibit 10.1 to the Company's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June 11, 1998, and incorporated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Fee letter dated as of June 4, 1998, between the Company and</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BBRF (included as Exhibit 10.2 to the Company's Current Report</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on Form 8-K dated June 11, 1998, and incorporated herein</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First Amendment to Loan and Security Agreement dated as of</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September 29, 1998 among the Company, BBRF and the Lender(s)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identified therein (included as Exhibit 10.5 to the Company's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December 3, 1998, and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260" w:type="dxa"/>
            <w:vAlign w:val="bottom"/>
          </w:tcPr>
          <w:p>
            <w:pPr>
              <w:ind w:left="300"/>
              <w:spacing w:after="0"/>
              <w:rPr>
                <w:sz w:val="20"/>
                <w:szCs w:val="20"/>
                <w:color w:val="auto"/>
              </w:rPr>
            </w:pPr>
            <w:r>
              <w:rPr>
                <w:rFonts w:ascii="Courier New" w:cs="Courier New" w:eastAsia="Courier New" w:hAnsi="Courier New"/>
                <w:sz w:val="18"/>
                <w:szCs w:val="18"/>
                <w:color w:val="auto"/>
              </w:rPr>
              <w:t>Second Amendment to Loan and Security Agreement dated as of</w:t>
            </w: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October 31, 1998 among the Company, BBRF and the Lender(s)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identified therein (included as Exhibit 10.6 to the Company's</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December 3, 1998, and</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bl>
    <w:p>
      <w:pPr>
        <w:sectPr>
          <w:pgSz w:w="11900" w:h="16838" w:orient="portrait"/>
          <w:cols w:equalWidth="0" w:num="1">
            <w:col w:w="10219"/>
          </w:cols>
          <w:pgMar w:left="240" w:top="339"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10.11</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Only Stores, Inc. ("LOS"), Levi Strauss &amp; Co. ("LS&amp;CO")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Levi Strauss Associates Inc. ("LSAI") dated January 28,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 by</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10.12</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dated January 28, 1995 (included as Exhibit 10.2 to the Company's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Current Report on Form 8-K dated April 24, 1995, and incorporated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10.13</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 LOS, LS&amp;CO, LSAI and the OLS Partnership dated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January 28, 1995 (included as Exhibit 10.3 to the Company's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10.14</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Sublicense Agreement between LOS and the LOS Partner dated</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January 28, 1995 (included as Exhibit 10.4 to the Company's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10.15</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the Company's Current Report on Form 8-K dated April 24,</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10.16</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dated January 28, 1995 (included as Exhibit 10.6 to the Company's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Current Report on Form 8-K dated April 24, 1995, and incorporated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10.17</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Administrative Services Agreement between the Company and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OLS Partnership dated January 28, 1995 (included as Exhibit 10.7</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to the Company's Current Report on Form 8-K dated April 24,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10.18</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w w:val="98"/>
              </w:rPr>
              <w:t>Amendment and Distribution Agreement dated as of October 31, 1998</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among the Designs Partner, the LOS Partner and the OLS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Partnership (included as Exhibit 10.2 to the Company's Current</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10.19</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w w:val="98"/>
              </w:rPr>
              <w:t>Guaranty by the Company in favor of LS&amp;CO. of the indemnification</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obligation of the Designs Partner dated as of October 31, 1998</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(included as Exhibit 10.3 to the Company's Current Report on</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10.20</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w w:val="99"/>
              </w:rPr>
              <w:t>Asset Purchase Agreement between LOS and the Company relating to</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sale by the Company of stores located in Minneapolis,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Minnesota dated January 28, 1995 (included as Exhibit 10.9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10.21</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w w:val="98"/>
              </w:rPr>
              <w:t>Asset Purchase Agreement among Boston Trading Ltd., Inc., Designs</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(included as 10.16 to the Company's Quarterly Report on Form 10-Q</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3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dated September 12, 1995, and incorporated herein by reference).  *</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10.22</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Non-Negotiable Promissory Note between the Company and Atlantic</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Harbor, Inc., formerly known as Boston Trading Ltd., Inc., dated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May 2, 1995 (included as 10.17 to the Company's Quarterly Report</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on Form 10-Q dated September 12, 1995, and incorporated herein</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10.23</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Asset Purchase Agreement dated as of September 30, 1998 between</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the Company and LOS relating to the purchase by the Company of 16</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Dockers(R) Outlet and nine Levi's(R) Outlet stores (included as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 dated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December 3, 1998,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10.24</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10.25</w:t>
            </w:r>
          </w:p>
        </w:tc>
        <w:tc>
          <w:tcPr>
            <w:tcW w:w="7200" w:type="dxa"/>
            <w:vAlign w:val="bottom"/>
          </w:tcPr>
          <w:p>
            <w:pPr>
              <w:ind w:left="30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16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10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8"/>
              </w:rPr>
              <w:t>Company and Scott N. Semel</w:t>
            </w:r>
          </w:p>
        </w:tc>
        <w:tc>
          <w:tcPr>
            <w:tcW w:w="4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(included as Exhibit 10.2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10.26</w:t>
            </w:r>
          </w:p>
        </w:tc>
        <w:tc>
          <w:tcPr>
            <w:tcW w:w="310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8"/>
              </w:rPr>
              <w:t>Employment Agreement dated</w:t>
            </w:r>
          </w:p>
        </w:tc>
        <w:tc>
          <w:tcPr>
            <w:tcW w:w="4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as of May 9, 1997 between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Company and Carolyn R. Faulkner (included as Exhibit 10.23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the Company's Quarterly</w:t>
            </w: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 on</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10-Q dated June 17, 1997,</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10.27</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the Company and James G.</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Groninger, dated December 10, 1998 (included as Exhibit 10.30</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to the Company's Annual</w:t>
            </w: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 on</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10-K dated April 30, 1999</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10.28</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the Company and Bernard M.</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8"/>
              </w:rPr>
              <w:t>Manuel, dated December 10,</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1998 (included as Exhibit 10.31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10.29</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the Company and Peter L.</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Thigpen, dated December</w:t>
            </w:r>
          </w:p>
        </w:tc>
        <w:tc>
          <w:tcPr>
            <w:tcW w:w="4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10, 1998 (included as Exhibit 10.32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10.30</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the Company and Melvin I.</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Shapiro, dated December</w:t>
            </w:r>
          </w:p>
        </w:tc>
        <w:tc>
          <w:tcPr>
            <w:tcW w:w="4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10, 1998 (included as Exhibit 10.33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10.31</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the Company and Joel H.</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88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9"/>
              </w:rPr>
              <w:t>Reichman, dated December 10, 1998</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as Exhibit 10.34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10.32</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the Company and Scott N. Semel,</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dated December 10, 1998</w:t>
            </w:r>
          </w:p>
        </w:tc>
        <w:tc>
          <w:tcPr>
            <w:tcW w:w="1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(included</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as Exhibit 10.35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Company's Annual Report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Form 10-K dated April 30, 1999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8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6"/>
              </w:rPr>
              <w:t>incorporated herein by reference).</w:t>
            </w:r>
          </w:p>
        </w:tc>
        <w:tc>
          <w:tcPr>
            <w:tcW w:w="33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10.33</w:t>
            </w:r>
          </w:p>
        </w:tc>
        <w:tc>
          <w:tcPr>
            <w:tcW w:w="3880" w:type="dxa"/>
            <w:vAlign w:val="bottom"/>
            <w:gridSpan w:val="3"/>
          </w:tcPr>
          <w:p>
            <w:pPr>
              <w:ind w:left="300"/>
              <w:spacing w:after="0"/>
              <w:rPr>
                <w:sz w:val="20"/>
                <w:szCs w:val="20"/>
                <w:color w:val="auto"/>
              </w:rPr>
            </w:pPr>
            <w:r>
              <w:rPr>
                <w:rFonts w:ascii="Courier New" w:cs="Courier New" w:eastAsia="Courier New" w:hAnsi="Courier New"/>
                <w:sz w:val="18"/>
                <w:szCs w:val="18"/>
                <w:color w:val="auto"/>
                <w:w w:val="99"/>
              </w:rPr>
              <w:t>Indemnification Agreement between</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the Company and Carolyn R.</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88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9"/>
              </w:rPr>
              <w:t>Faulkner, dated December 10, 1998</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as Exhibit 10.36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0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the Company's Annual Report on Form 10-K dated April 30, 1999</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and 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160" w:hanging="1152"/>
        <w:spacing w:after="0"/>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2640" w:type="dxa"/>
            <w:vAlign w:val="bottom"/>
          </w:tcPr>
          <w:p>
            <w:pPr>
              <w:ind w:left="360"/>
              <w:spacing w:after="0"/>
              <w:rPr>
                <w:sz w:val="20"/>
                <w:szCs w:val="20"/>
                <w:color w:val="auto"/>
              </w:rPr>
            </w:pPr>
            <w:r>
              <w:rPr>
                <w:rFonts w:ascii="Courier New" w:cs="Courier New" w:eastAsia="Courier New" w:hAnsi="Courier New"/>
                <w:sz w:val="18"/>
                <w:szCs w:val="18"/>
                <w:color w:val="auto"/>
                <w:w w:val="99"/>
              </w:rPr>
              <w:t>Report of the Company</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dated May 1, 1998 concerning certain</w:t>
            </w:r>
          </w:p>
        </w:tc>
      </w:tr>
      <w:tr>
        <w:trPr>
          <w:trHeight w:val="203"/>
        </w:trPr>
        <w:tc>
          <w:tcPr>
            <w:tcW w:w="800" w:type="dxa"/>
            <w:vAlign w:val="bottom"/>
          </w:tcPr>
          <w:p>
            <w:pPr>
              <w:spacing w:after="0"/>
              <w:rPr>
                <w:sz w:val="17"/>
                <w:szCs w:val="17"/>
                <w:color w:val="auto"/>
              </w:rPr>
            </w:pPr>
          </w:p>
        </w:tc>
        <w:tc>
          <w:tcPr>
            <w:tcW w:w="7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cautionary statements of the Company to be taken into account in</w:t>
            </w:r>
          </w:p>
        </w:tc>
      </w:tr>
      <w:tr>
        <w:trPr>
          <w:trHeight w:val="203"/>
        </w:trPr>
        <w:tc>
          <w:tcPr>
            <w:tcW w:w="800" w:type="dxa"/>
            <w:vAlign w:val="bottom"/>
          </w:tcPr>
          <w:p>
            <w:pPr>
              <w:spacing w:after="0"/>
              <w:rPr>
                <w:sz w:val="17"/>
                <w:szCs w:val="17"/>
                <w:color w:val="auto"/>
              </w:rPr>
            </w:pPr>
          </w:p>
        </w:tc>
        <w:tc>
          <w:tcPr>
            <w:tcW w:w="7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conjunction with consideration and review of the Company's</w:t>
            </w:r>
          </w:p>
        </w:tc>
      </w:tr>
      <w:tr>
        <w:trPr>
          <w:trHeight w:val="203"/>
        </w:trPr>
        <w:tc>
          <w:tcPr>
            <w:tcW w:w="800" w:type="dxa"/>
            <w:vAlign w:val="bottom"/>
          </w:tcPr>
          <w:p>
            <w:pPr>
              <w:spacing w:after="0"/>
              <w:rPr>
                <w:sz w:val="17"/>
                <w:szCs w:val="17"/>
                <w:color w:val="auto"/>
              </w:rPr>
            </w:pPr>
          </w:p>
        </w:tc>
        <w:tc>
          <w:tcPr>
            <w:tcW w:w="7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publicly-disseminated documents (including oral statements made</w:t>
            </w:r>
          </w:p>
        </w:tc>
      </w:tr>
      <w:tr>
        <w:trPr>
          <w:trHeight w:val="203"/>
        </w:trPr>
        <w:tc>
          <w:tcPr>
            <w:tcW w:w="800" w:type="dxa"/>
            <w:vAlign w:val="bottom"/>
          </w:tcPr>
          <w:p>
            <w:pPr>
              <w:spacing w:after="0"/>
              <w:rPr>
                <w:sz w:val="17"/>
                <w:szCs w:val="17"/>
                <w:color w:val="auto"/>
              </w:rPr>
            </w:pPr>
          </w:p>
        </w:tc>
        <w:tc>
          <w:tcPr>
            <w:tcW w:w="7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by others on behalf of the Company) that include forward</w:t>
            </w:r>
          </w:p>
        </w:tc>
      </w:tr>
      <w:tr>
        <w:trPr>
          <w:trHeight w:val="203"/>
        </w:trPr>
        <w:tc>
          <w:tcPr>
            <w:tcW w:w="800" w:type="dxa"/>
            <w:vAlign w:val="bottom"/>
          </w:tcPr>
          <w:p>
            <w:pPr>
              <w:spacing w:after="0"/>
              <w:rPr>
                <w:sz w:val="17"/>
                <w:szCs w:val="17"/>
                <w:color w:val="auto"/>
              </w:rPr>
            </w:pPr>
          </w:p>
        </w:tc>
        <w:tc>
          <w:tcPr>
            <w:tcW w:w="2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looking information.</w:t>
            </w:r>
          </w:p>
        </w:tc>
        <w:tc>
          <w:tcPr>
            <w:tcW w:w="4780" w:type="dxa"/>
            <w:vAlign w:val="bottom"/>
          </w:tcPr>
          <w:p>
            <w:pPr>
              <w:ind w:left="468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2640" w:type="dxa"/>
            <w:vAlign w:val="bottom"/>
          </w:tcPr>
          <w:p>
            <w:pPr>
              <w:ind w:left="360"/>
              <w:spacing w:after="0"/>
              <w:rPr>
                <w:sz w:val="20"/>
                <w:szCs w:val="20"/>
                <w:color w:val="auto"/>
              </w:rPr>
            </w:pPr>
            <w:r>
              <w:rPr>
                <w:rFonts w:ascii="Courier New" w:cs="Courier New" w:eastAsia="Courier New" w:hAnsi="Courier New"/>
                <w:sz w:val="18"/>
                <w:szCs w:val="18"/>
                <w:color w:val="auto"/>
                <w:w w:val="99"/>
              </w:rPr>
              <w:t>Letter dated June 11,</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1999 from the Special Committee of the</w:t>
            </w:r>
          </w:p>
        </w:tc>
      </w:tr>
      <w:tr>
        <w:trPr>
          <w:trHeight w:val="203"/>
        </w:trPr>
        <w:tc>
          <w:tcPr>
            <w:tcW w:w="800" w:type="dxa"/>
            <w:vAlign w:val="bottom"/>
          </w:tcPr>
          <w:p>
            <w:pPr>
              <w:spacing w:after="0"/>
              <w:rPr>
                <w:sz w:val="17"/>
                <w:szCs w:val="17"/>
                <w:color w:val="auto"/>
              </w:rPr>
            </w:pPr>
          </w:p>
        </w:tc>
        <w:tc>
          <w:tcPr>
            <w:tcW w:w="2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Board of Directors of</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Designs, Inc. to Mr. Seymour Holtzman.</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ind w:left="360"/>
              <w:spacing w:after="0"/>
              <w:rPr>
                <w:sz w:val="20"/>
                <w:szCs w:val="20"/>
                <w:color w:val="auto"/>
              </w:rPr>
            </w:pPr>
            <w:r>
              <w:rPr>
                <w:rFonts w:ascii="Courier New" w:cs="Courier New" w:eastAsia="Courier New" w:hAnsi="Courier New"/>
                <w:sz w:val="18"/>
                <w:szCs w:val="18"/>
                <w:color w:val="auto"/>
                <w:w w:val="99"/>
              </w:rPr>
              <w:t>Previously filed with</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the Securities and Exchange Commission.</w:t>
            </w:r>
          </w:p>
        </w:tc>
      </w:tr>
    </w:tbl>
    <w:p>
      <w:pPr>
        <w:sectPr>
          <w:pgSz w:w="11900" w:h="16838" w:orient="portrait"/>
          <w:cols w:equalWidth="0" w:num="1">
            <w:col w:w="10219"/>
          </w:cols>
          <w:pgMar w:left="240" w:top="136" w:right="1440" w:bottom="1440" w:gutter="0" w:footer="0" w:header="0"/>
        </w:sectPr>
      </w:pPr>
    </w:p>
    <w:bookmarkStart w:id="20" w:name="page21"/>
    <w:bookmarkEnd w:id="20"/>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CAROLYN R. FAULKNER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Carolyn R. Faulkner, Vice 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 and Treasurer</w:t>
      </w:r>
    </w:p>
    <w:p>
      <w:pPr>
        <w:sectPr>
          <w:pgSz w:w="11900" w:h="16838" w:orient="portrait"/>
          <w:cols w:equalWidth="0" w:num="2">
            <w:col w:w="3080" w:space="720"/>
            <w:col w:w="6419"/>
          </w:cols>
          <w:pgMar w:left="240" w:top="1330"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EX-11</w:t>
      </w:r>
    </w:p>
    <w:p>
      <w:pPr>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11.</w:t>
            </w:r>
          </w:p>
        </w:tc>
        <w:tc>
          <w:tcPr>
            <w:tcW w:w="532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w w:val="99"/>
              </w:rPr>
              <w:t>Statement Re: Computation of Per Share Earnings</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EX-11</w:t>
            </w: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84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May 1, 1999</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May 2, 1998</w:t>
            </w:r>
          </w:p>
        </w:tc>
      </w:tr>
      <w:tr>
        <w:trPr>
          <w:trHeight w:val="203"/>
        </w:trPr>
        <w:tc>
          <w:tcPr>
            <w:tcW w:w="1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EPS Computation</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w:t>
            </w:r>
          </w:p>
        </w:tc>
        <w:tc>
          <w:tcPr>
            <w:tcW w:w="3060" w:type="dxa"/>
            <w:vAlign w:val="bottom"/>
          </w:tcPr>
          <w:p>
            <w:pPr>
              <w:spacing w:after="0"/>
              <w:rPr>
                <w:sz w:val="17"/>
                <w:szCs w:val="17"/>
                <w:color w:val="auto"/>
              </w:rPr>
            </w:pP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(863)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(3,052)</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Weighted average</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520" w:type="dxa"/>
            <w:vAlign w:val="bottom"/>
          </w:tcPr>
          <w:p>
            <w:pPr>
              <w:spacing w:after="0"/>
              <w:rPr>
                <w:sz w:val="17"/>
                <w:szCs w:val="17"/>
                <w:color w:val="auto"/>
              </w:rPr>
            </w:pP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15,889</w:t>
            </w:r>
          </w:p>
        </w:tc>
        <w:tc>
          <w:tcPr>
            <w:tcW w:w="7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15,733</w:t>
            </w:r>
          </w:p>
        </w:tc>
      </w:tr>
      <w:tr>
        <w:trPr>
          <w:trHeight w:val="203"/>
        </w:trPr>
        <w:tc>
          <w:tcPr>
            <w:tcW w:w="1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EPS</w:t>
            </w:r>
          </w:p>
        </w:tc>
        <w:tc>
          <w:tcPr>
            <w:tcW w:w="3060" w:type="dxa"/>
            <w:vAlign w:val="bottom"/>
          </w:tcPr>
          <w:p>
            <w:pPr>
              <w:spacing w:after="0"/>
              <w:rPr>
                <w:sz w:val="17"/>
                <w:szCs w:val="17"/>
                <w:color w:val="auto"/>
              </w:rPr>
            </w:pP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(0.05)</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(0.19)</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Diluted EPS Computation</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w:t>
            </w:r>
          </w:p>
        </w:tc>
        <w:tc>
          <w:tcPr>
            <w:tcW w:w="3060" w:type="dxa"/>
            <w:vAlign w:val="bottom"/>
          </w:tcPr>
          <w:p>
            <w:pPr>
              <w:spacing w:after="0"/>
              <w:rPr>
                <w:sz w:val="17"/>
                <w:szCs w:val="17"/>
                <w:color w:val="auto"/>
              </w:rPr>
            </w:pP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(863)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(3,052)</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520" w:type="dxa"/>
            <w:vAlign w:val="bottom"/>
          </w:tcPr>
          <w:p>
            <w:pPr>
              <w:spacing w:after="0"/>
              <w:rPr>
                <w:sz w:val="17"/>
                <w:szCs w:val="17"/>
                <w:color w:val="auto"/>
              </w:rPr>
            </w:pP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15,889</w:t>
            </w:r>
          </w:p>
        </w:tc>
        <w:tc>
          <w:tcPr>
            <w:tcW w:w="7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15,733</w:t>
            </w: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Stock options, excluding anti-dilutive</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options of 139 shares and 56 shares</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for the three months ending May 1, 1999</w:t>
            </w: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May 2, 1998, respectively.</w:t>
            </w:r>
          </w:p>
        </w:tc>
        <w:tc>
          <w:tcPr>
            <w:tcW w:w="520" w:type="dxa"/>
            <w:vAlign w:val="bottom"/>
          </w:tcPr>
          <w:p>
            <w:pPr>
              <w:spacing w:after="0"/>
              <w:rPr>
                <w:sz w:val="17"/>
                <w:szCs w:val="17"/>
                <w:color w:val="auto"/>
              </w:rPr>
            </w:pPr>
          </w:p>
        </w:tc>
        <w:tc>
          <w:tcPr>
            <w:tcW w:w="17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Shares</w:t>
            </w:r>
          </w:p>
        </w:tc>
        <w:tc>
          <w:tcPr>
            <w:tcW w:w="520" w:type="dxa"/>
            <w:vAlign w:val="bottom"/>
          </w:tcPr>
          <w:p>
            <w:pPr>
              <w:spacing w:after="0"/>
              <w:rPr>
                <w:sz w:val="17"/>
                <w:szCs w:val="17"/>
                <w:color w:val="auto"/>
              </w:rPr>
            </w:pP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15,889</w:t>
            </w:r>
          </w:p>
        </w:tc>
        <w:tc>
          <w:tcPr>
            <w:tcW w:w="7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15,733</w:t>
            </w:r>
          </w:p>
        </w:tc>
      </w:tr>
      <w:tr>
        <w:trPr>
          <w:trHeight w:val="405"/>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Diluted EPS</w:t>
            </w:r>
          </w:p>
        </w:tc>
        <w:tc>
          <w:tcPr>
            <w:tcW w:w="3060" w:type="dxa"/>
            <w:vAlign w:val="bottom"/>
          </w:tcPr>
          <w:p>
            <w:pPr>
              <w:spacing w:after="0"/>
              <w:rPr>
                <w:sz w:val="24"/>
                <w:szCs w:val="24"/>
                <w:color w:val="auto"/>
              </w:rPr>
            </w:pP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w:t>
            </w:r>
          </w:p>
        </w:tc>
        <w:tc>
          <w:tcPr>
            <w:tcW w:w="174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(0.05)</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(0.19)</w:t>
            </w:r>
          </w:p>
        </w:tc>
      </w:tr>
    </w:tbl>
    <w:p>
      <w:pPr>
        <w:sectPr>
          <w:pgSz w:w="11900" w:h="16838" w:orient="portrait"/>
          <w:cols w:equalWidth="0" w:num="1">
            <w:col w:w="10219"/>
          </w:cols>
          <w:pgMar w:left="240" w:top="541" w:right="1440" w:bottom="1440" w:gutter="0" w:footer="0" w:header="0"/>
        </w:sectPr>
      </w:pPr>
    </w:p>
    <w:bookmarkStart w:id="22" w:name="page23"/>
    <w:bookmarkEnd w:id="22"/>
    <w:p>
      <w:pPr>
        <w:ind w:left="21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07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May 1, 1999 and the Consolidated Statements of Income for the three months ending May 1, 1999 and is qualified in its entirety by reference to such financial statements.</w:t>
      </w:r>
    </w:p>
    <w:p>
      <w:pPr>
        <w:spacing w:after="0" w:line="379"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3120"/>
        <w:spacing w:after="0" w:line="238" w:lineRule="auto"/>
        <w:rPr>
          <w:sz w:val="20"/>
          <w:szCs w:val="20"/>
          <w:color w:val="auto"/>
        </w:rPr>
      </w:pPr>
      <w:r>
        <w:rPr>
          <w:rFonts w:ascii="Courier New" w:cs="Courier New" w:eastAsia="Courier New" w:hAnsi="Courier New"/>
          <w:sz w:val="18"/>
          <w:szCs w:val="18"/>
          <w:color w:val="auto"/>
        </w:rPr>
        <w:t>JAN-29-2000</w:t>
      </w:r>
    </w:p>
    <w:p>
      <w:pPr>
        <w:ind w:left="3440"/>
        <w:spacing w:after="0"/>
        <w:rPr>
          <w:sz w:val="20"/>
          <w:szCs w:val="20"/>
          <w:color w:val="auto"/>
        </w:rPr>
      </w:pPr>
      <w:r>
        <w:rPr>
          <w:rFonts w:ascii="Courier New" w:cs="Courier New" w:eastAsia="Courier New" w:hAnsi="Courier New"/>
          <w:sz w:val="18"/>
          <w:szCs w:val="18"/>
          <w:color w:val="auto"/>
        </w:rPr>
        <w:t>JAN-31-1999</w:t>
      </w:r>
    </w:p>
    <w:p>
      <w:pPr>
        <w:ind w:left="3660"/>
        <w:spacing w:after="0" w:line="237" w:lineRule="auto"/>
        <w:rPr>
          <w:sz w:val="20"/>
          <w:szCs w:val="20"/>
          <w:color w:val="auto"/>
        </w:rPr>
      </w:pPr>
      <w:r>
        <w:rPr>
          <w:rFonts w:ascii="Courier New" w:cs="Courier New" w:eastAsia="Courier New" w:hAnsi="Courier New"/>
          <w:sz w:val="18"/>
          <w:szCs w:val="18"/>
          <w:color w:val="auto"/>
        </w:rPr>
        <w:t>MAY-01-1999</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jc w:val="center"/>
        <w:ind w:right="2759"/>
        <w:spacing w:after="0"/>
        <w:rPr>
          <w:sz w:val="20"/>
          <w:szCs w:val="20"/>
          <w:color w:val="auto"/>
        </w:rPr>
      </w:pPr>
      <w:r>
        <w:rPr>
          <w:rFonts w:ascii="Courier New" w:cs="Courier New" w:eastAsia="Courier New" w:hAnsi="Courier New"/>
          <w:sz w:val="18"/>
          <w:szCs w:val="18"/>
          <w:color w:val="auto"/>
        </w:rPr>
        <w:t>0</w:t>
      </w:r>
    </w:p>
    <w:p>
      <w:pPr>
        <w:jc w:val="center"/>
        <w:ind w:right="2759"/>
        <w:spacing w:after="0" w:line="237" w:lineRule="auto"/>
        <w:rPr>
          <w:sz w:val="20"/>
          <w:szCs w:val="20"/>
          <w:color w:val="auto"/>
        </w:rPr>
      </w:pPr>
      <w:r>
        <w:rPr>
          <w:rFonts w:ascii="Courier New" w:cs="Courier New" w:eastAsia="Courier New" w:hAnsi="Courier New"/>
          <w:sz w:val="18"/>
          <w:szCs w:val="18"/>
          <w:color w:val="auto"/>
        </w:rPr>
        <w:t>480</w:t>
      </w:r>
    </w:p>
    <w:p>
      <w:pPr>
        <w:jc w:val="center"/>
        <w:ind w:right="2759"/>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52,480</w:t>
      </w:r>
    </w:p>
    <w:p>
      <w:pPr>
        <w:ind w:left="3240"/>
        <w:spacing w:after="0"/>
        <w:rPr>
          <w:sz w:val="20"/>
          <w:szCs w:val="20"/>
          <w:color w:val="auto"/>
        </w:rPr>
      </w:pPr>
      <w:r>
        <w:rPr>
          <w:rFonts w:ascii="Courier New" w:cs="Courier New" w:eastAsia="Courier New" w:hAnsi="Courier New"/>
          <w:sz w:val="18"/>
          <w:szCs w:val="18"/>
          <w:color w:val="auto"/>
        </w:rPr>
        <w:t>56,793</w:t>
      </w:r>
    </w:p>
    <w:p>
      <w:pPr>
        <w:ind w:left="4280"/>
        <w:spacing w:after="0" w:line="237" w:lineRule="auto"/>
        <w:rPr>
          <w:sz w:val="20"/>
          <w:szCs w:val="20"/>
          <w:color w:val="auto"/>
        </w:rPr>
      </w:pPr>
      <w:r>
        <w:rPr>
          <w:rFonts w:ascii="Courier New" w:cs="Courier New" w:eastAsia="Courier New" w:hAnsi="Courier New"/>
          <w:sz w:val="18"/>
          <w:szCs w:val="18"/>
          <w:color w:val="auto"/>
        </w:rPr>
        <w:t>45,538</w:t>
      </w:r>
    </w:p>
    <w:p>
      <w:pPr>
        <w:ind w:left="3440"/>
        <w:spacing w:after="0" w:line="238" w:lineRule="auto"/>
        <w:rPr>
          <w:sz w:val="20"/>
          <w:szCs w:val="20"/>
          <w:color w:val="auto"/>
        </w:rPr>
      </w:pPr>
      <w:r>
        <w:rPr>
          <w:rFonts w:ascii="Courier New" w:cs="Courier New" w:eastAsia="Courier New" w:hAnsi="Courier New"/>
          <w:sz w:val="18"/>
          <w:szCs w:val="18"/>
          <w:color w:val="auto"/>
        </w:rPr>
        <w:t>28,396</w:t>
      </w:r>
    </w:p>
    <w:p>
      <w:pPr>
        <w:ind w:left="3440"/>
        <w:spacing w:after="0"/>
        <w:rPr>
          <w:sz w:val="20"/>
          <w:szCs w:val="20"/>
          <w:color w:val="auto"/>
        </w:rPr>
      </w:pPr>
      <w:r>
        <w:rPr>
          <w:rFonts w:ascii="Courier New" w:cs="Courier New" w:eastAsia="Courier New" w:hAnsi="Courier New"/>
          <w:sz w:val="18"/>
          <w:szCs w:val="18"/>
          <w:color w:val="auto"/>
        </w:rPr>
        <w:t>95,817</w:t>
      </w:r>
    </w:p>
    <w:p>
      <w:pPr>
        <w:ind w:left="2700"/>
        <w:spacing w:after="0" w:line="237" w:lineRule="auto"/>
        <w:rPr>
          <w:sz w:val="20"/>
          <w:szCs w:val="20"/>
          <w:color w:val="auto"/>
        </w:rPr>
      </w:pPr>
      <w:r>
        <w:rPr>
          <w:rFonts w:ascii="Courier New" w:cs="Courier New" w:eastAsia="Courier New" w:hAnsi="Courier New"/>
          <w:sz w:val="18"/>
          <w:szCs w:val="18"/>
          <w:color w:val="auto"/>
        </w:rPr>
        <w:t>32,621</w:t>
      </w:r>
    </w:p>
    <w:p>
      <w:pPr>
        <w:ind w:left="4180"/>
        <w:spacing w:after="0"/>
        <w:rPr>
          <w:sz w:val="20"/>
          <w:szCs w:val="20"/>
          <w:color w:val="auto"/>
        </w:rPr>
      </w:pPr>
      <w:r>
        <w:rPr>
          <w:rFonts w:ascii="Courier New" w:cs="Courier New" w:eastAsia="Courier New" w:hAnsi="Courier New"/>
          <w:sz w:val="18"/>
          <w:szCs w:val="18"/>
          <w:color w:val="auto"/>
        </w:rPr>
        <w:t>0</w:t>
      </w:r>
    </w:p>
    <w:p>
      <w:pPr>
        <w:ind w:left="27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162</w:t>
      </w:r>
    </w:p>
    <w:p>
      <w:pPr>
        <w:ind w:left="3860"/>
        <w:spacing w:after="0" w:line="238" w:lineRule="auto"/>
        <w:rPr>
          <w:sz w:val="20"/>
          <w:szCs w:val="20"/>
          <w:color w:val="auto"/>
        </w:rPr>
      </w:pPr>
      <w:r>
        <w:rPr>
          <w:rFonts w:ascii="Courier New" w:cs="Courier New" w:eastAsia="Courier New" w:hAnsi="Courier New"/>
          <w:sz w:val="18"/>
          <w:szCs w:val="18"/>
          <w:color w:val="auto"/>
        </w:rPr>
        <w:t>63,034</w:t>
      </w:r>
    </w:p>
    <w:p>
      <w:pPr>
        <w:ind w:left="1960"/>
        <w:spacing w:after="0"/>
        <w:rPr>
          <w:sz w:val="20"/>
          <w:szCs w:val="20"/>
          <w:color w:val="auto"/>
        </w:rPr>
      </w:pPr>
      <w:r>
        <w:rPr>
          <w:rFonts w:ascii="Courier New" w:cs="Courier New" w:eastAsia="Courier New" w:hAnsi="Courier New"/>
          <w:sz w:val="18"/>
          <w:szCs w:val="18"/>
          <w:color w:val="auto"/>
        </w:rPr>
        <w:t>95,817</w:t>
      </w:r>
    </w:p>
    <w:p>
      <w:pPr>
        <w:ind w:left="4180"/>
        <w:spacing w:after="0" w:line="237" w:lineRule="auto"/>
        <w:rPr>
          <w:sz w:val="20"/>
          <w:szCs w:val="20"/>
          <w:color w:val="auto"/>
        </w:rPr>
      </w:pPr>
      <w:r>
        <w:rPr>
          <w:rFonts w:ascii="Courier New" w:cs="Courier New" w:eastAsia="Courier New" w:hAnsi="Courier New"/>
          <w:sz w:val="18"/>
          <w:szCs w:val="18"/>
          <w:color w:val="auto"/>
        </w:rPr>
        <w:t>39,835</w:t>
      </w:r>
    </w:p>
    <w:p>
      <w:pPr>
        <w:ind w:left="3240"/>
        <w:spacing w:after="0"/>
        <w:rPr>
          <w:sz w:val="20"/>
          <w:szCs w:val="20"/>
          <w:color w:val="auto"/>
        </w:rPr>
      </w:pPr>
      <w:r>
        <w:rPr>
          <w:rFonts w:ascii="Courier New" w:cs="Courier New" w:eastAsia="Courier New" w:hAnsi="Courier New"/>
          <w:sz w:val="18"/>
          <w:szCs w:val="18"/>
          <w:color w:val="auto"/>
        </w:rPr>
        <w:t>39,835</w:t>
      </w:r>
    </w:p>
    <w:p>
      <w:pPr>
        <w:ind w:left="4400"/>
        <w:spacing w:after="0" w:line="237" w:lineRule="auto"/>
        <w:rPr>
          <w:sz w:val="20"/>
          <w:szCs w:val="20"/>
          <w:color w:val="auto"/>
        </w:rPr>
      </w:pPr>
      <w:r>
        <w:rPr>
          <w:rFonts w:ascii="Courier New" w:cs="Courier New" w:eastAsia="Courier New" w:hAnsi="Courier New"/>
          <w:sz w:val="18"/>
          <w:szCs w:val="18"/>
          <w:color w:val="auto"/>
        </w:rPr>
        <w:t>29,618</w:t>
      </w:r>
    </w:p>
    <w:p>
      <w:pPr>
        <w:ind w:left="3540"/>
        <w:spacing w:after="0"/>
        <w:rPr>
          <w:sz w:val="20"/>
          <w:szCs w:val="20"/>
          <w:color w:val="auto"/>
        </w:rPr>
      </w:pPr>
      <w:r>
        <w:rPr>
          <w:rFonts w:ascii="Courier New" w:cs="Courier New" w:eastAsia="Courier New" w:hAnsi="Courier New"/>
          <w:sz w:val="18"/>
          <w:szCs w:val="18"/>
          <w:color w:val="auto"/>
        </w:rPr>
        <w:t>29,618</w:t>
      </w:r>
    </w:p>
    <w:p>
      <w:pPr>
        <w:ind w:left="3240"/>
        <w:spacing w:after="0" w:line="237" w:lineRule="auto"/>
        <w:rPr>
          <w:sz w:val="20"/>
          <w:szCs w:val="20"/>
          <w:color w:val="auto"/>
        </w:rPr>
      </w:pPr>
      <w:r>
        <w:rPr>
          <w:rFonts w:ascii="Courier New" w:cs="Courier New" w:eastAsia="Courier New" w:hAnsi="Courier New"/>
          <w:sz w:val="18"/>
          <w:szCs w:val="18"/>
          <w:color w:val="auto"/>
        </w:rPr>
        <w:t>11,319</w:t>
      </w:r>
    </w:p>
    <w:p>
      <w:pPr>
        <w:ind w:left="324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325</w:t>
      </w:r>
    </w:p>
    <w:p>
      <w:pPr>
        <w:ind w:left="3340"/>
        <w:spacing w:after="0" w:line="238" w:lineRule="auto"/>
        <w:rPr>
          <w:sz w:val="20"/>
          <w:szCs w:val="20"/>
          <w:color w:val="auto"/>
        </w:rPr>
      </w:pPr>
      <w:r>
        <w:rPr>
          <w:rFonts w:ascii="Courier New" w:cs="Courier New" w:eastAsia="Courier New" w:hAnsi="Courier New"/>
          <w:sz w:val="18"/>
          <w:szCs w:val="18"/>
          <w:color w:val="auto"/>
        </w:rPr>
        <w:t>(1,421)</w:t>
      </w:r>
    </w:p>
    <w:p>
      <w:pPr>
        <w:ind w:left="3660"/>
        <w:spacing w:after="0"/>
        <w:rPr>
          <w:sz w:val="20"/>
          <w:szCs w:val="20"/>
          <w:color w:val="auto"/>
        </w:rPr>
      </w:pPr>
      <w:r>
        <w:rPr>
          <w:rFonts w:ascii="Courier New" w:cs="Courier New" w:eastAsia="Courier New" w:hAnsi="Courier New"/>
          <w:sz w:val="18"/>
          <w:szCs w:val="18"/>
          <w:color w:val="auto"/>
        </w:rPr>
        <w:t>(558)</w:t>
      </w:r>
    </w:p>
    <w:p>
      <w:pPr>
        <w:ind w:left="2920"/>
        <w:spacing w:after="0" w:line="237" w:lineRule="auto"/>
        <w:rPr>
          <w:sz w:val="20"/>
          <w:szCs w:val="20"/>
          <w:color w:val="auto"/>
        </w:rPr>
      </w:pPr>
      <w:r>
        <w:rPr>
          <w:rFonts w:ascii="Courier New" w:cs="Courier New" w:eastAsia="Courier New" w:hAnsi="Courier New"/>
          <w:sz w:val="18"/>
          <w:szCs w:val="18"/>
          <w:color w:val="auto"/>
        </w:rPr>
        <w:t>(863)</w:t>
      </w:r>
    </w:p>
    <w:p>
      <w:pPr>
        <w:ind w:left="344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(863)</w:t>
      </w:r>
    </w:p>
    <w:p>
      <w:pPr>
        <w:ind w:left="3540"/>
        <w:spacing w:after="0" w:line="238" w:lineRule="auto"/>
        <w:rPr>
          <w:sz w:val="20"/>
          <w:szCs w:val="20"/>
          <w:color w:val="auto"/>
        </w:rPr>
      </w:pPr>
      <w:r>
        <w:rPr>
          <w:rFonts w:ascii="Courier New" w:cs="Courier New" w:eastAsia="Courier New" w:hAnsi="Courier New"/>
          <w:sz w:val="18"/>
          <w:szCs w:val="18"/>
          <w:color w:val="auto"/>
        </w:rPr>
        <w:t>(0.05)</w:t>
      </w:r>
    </w:p>
    <w:p>
      <w:pPr>
        <w:ind w:left="3540"/>
        <w:spacing w:after="0"/>
        <w:rPr>
          <w:sz w:val="20"/>
          <w:szCs w:val="20"/>
          <w:color w:val="auto"/>
        </w:rPr>
      </w:pPr>
      <w:r>
        <w:rPr>
          <w:rFonts w:ascii="Courier New" w:cs="Courier New" w:eastAsia="Courier New" w:hAnsi="Courier New"/>
          <w:sz w:val="18"/>
          <w:szCs w:val="18"/>
          <w:color w:val="auto"/>
        </w:rPr>
        <w:t>(0.05)</w:t>
      </w:r>
    </w:p>
    <w:p>
      <w:pPr>
        <w:sectPr>
          <w:pgSz w:w="11900" w:h="16838" w:orient="portrait"/>
          <w:cols w:equalWidth="0" w:num="1">
            <w:col w:w="10179"/>
          </w:cols>
          <w:pgMar w:left="280" w:top="744" w:right="1440" w:bottom="1440" w:gutter="0" w:footer="0" w:header="0"/>
        </w:sectPr>
      </w:pPr>
    </w:p>
    <w:bookmarkStart w:id="23" w:name="page24"/>
    <w:bookmarkEnd w:id="23"/>
    <w:p>
      <w:pPr>
        <w:ind w:left="2000"/>
        <w:spacing w:after="0"/>
        <w:rPr>
          <w:sz w:val="20"/>
          <w:szCs w:val="20"/>
          <w:color w:val="auto"/>
        </w:rPr>
      </w:pPr>
      <w:r>
        <w:rPr>
          <w:rFonts w:ascii="Courier New" w:cs="Courier New" w:eastAsia="Courier New" w:hAnsi="Courier New"/>
          <w:sz w:val="18"/>
          <w:szCs w:val="18"/>
          <w:color w:val="auto"/>
        </w:rPr>
        <w:t>Special Committee of the Board of Directors</w:t>
      </w:r>
    </w:p>
    <w:p>
      <w:pPr>
        <w:ind w:left="3580"/>
        <w:spacing w:after="0" w:line="238" w:lineRule="auto"/>
        <w:rPr>
          <w:sz w:val="20"/>
          <w:szCs w:val="20"/>
          <w:color w:val="auto"/>
        </w:rPr>
      </w:pPr>
      <w:r>
        <w:rPr>
          <w:rFonts w:ascii="Courier New" w:cs="Courier New" w:eastAsia="Courier New" w:hAnsi="Courier New"/>
          <w:sz w:val="18"/>
          <w:szCs w:val="18"/>
          <w:color w:val="auto"/>
        </w:rPr>
        <w:t>Designs, Inc.</w:t>
      </w:r>
    </w:p>
    <w:p>
      <w:pPr>
        <w:ind w:left="3700"/>
        <w:spacing w:after="0"/>
        <w:rPr>
          <w:sz w:val="20"/>
          <w:szCs w:val="20"/>
          <w:color w:val="auto"/>
        </w:rPr>
      </w:pPr>
      <w:r>
        <w:rPr>
          <w:rFonts w:ascii="Courier New" w:cs="Courier New" w:eastAsia="Courier New" w:hAnsi="Courier New"/>
          <w:sz w:val="18"/>
          <w:szCs w:val="18"/>
          <w:color w:val="auto"/>
        </w:rPr>
        <w:t>66 B Street</w:t>
      </w:r>
    </w:p>
    <w:p>
      <w:pPr>
        <w:ind w:left="2740"/>
        <w:spacing w:after="0" w:line="237" w:lineRule="auto"/>
        <w:rPr>
          <w:sz w:val="20"/>
          <w:szCs w:val="20"/>
          <w:color w:val="auto"/>
        </w:rPr>
      </w:pPr>
      <w:r>
        <w:rPr>
          <w:rFonts w:ascii="Courier New" w:cs="Courier New" w:eastAsia="Courier New" w:hAnsi="Courier New"/>
          <w:sz w:val="18"/>
          <w:szCs w:val="18"/>
          <w:color w:val="auto"/>
        </w:rPr>
        <w:t>Needham, Massachusetts 02494</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June 11,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Telecopy - 561-447-4758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Seymour Holtzman</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rPr>
          <w:sz w:val="20"/>
          <w:szCs w:val="20"/>
          <w:color w:val="auto"/>
        </w:rPr>
      </w:pPr>
      <w:r>
        <w:rPr>
          <w:rFonts w:ascii="Courier New" w:cs="Courier New" w:eastAsia="Courier New" w:hAnsi="Courier New"/>
          <w:sz w:val="18"/>
          <w:szCs w:val="18"/>
          <w:color w:val="auto"/>
        </w:rPr>
        <w:t>Jewelcor Companies</w:t>
      </w:r>
    </w:p>
    <w:p>
      <w:pPr>
        <w:spacing w:after="0" w:line="237" w:lineRule="auto"/>
        <w:rPr>
          <w:sz w:val="20"/>
          <w:szCs w:val="20"/>
          <w:color w:val="auto"/>
        </w:rPr>
      </w:pPr>
      <w:r>
        <w:rPr>
          <w:rFonts w:ascii="Courier New" w:cs="Courier New" w:eastAsia="Courier New" w:hAnsi="Courier New"/>
          <w:sz w:val="18"/>
          <w:szCs w:val="18"/>
          <w:color w:val="auto"/>
        </w:rPr>
        <w:t>100 North Wilkes-Barre Boulevard</w:t>
      </w:r>
    </w:p>
    <w:p>
      <w:pPr>
        <w:spacing w:after="0" w:line="238" w:lineRule="auto"/>
        <w:rPr>
          <w:sz w:val="20"/>
          <w:szCs w:val="20"/>
          <w:color w:val="auto"/>
        </w:rPr>
      </w:pPr>
      <w:r>
        <w:rPr>
          <w:rFonts w:ascii="Courier New" w:cs="Courier New" w:eastAsia="Courier New" w:hAnsi="Courier New"/>
          <w:sz w:val="18"/>
          <w:szCs w:val="18"/>
          <w:color w:val="auto"/>
        </w:rPr>
        <w:t>Wilkes-Barre, PA 18702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Holtzman: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your proposal letter dated April 28, 1999, you stated that you could speedily and efficiently complete the proposed acquisition of the Company. Considerable time has passed since then, and unfortunately it remains unclear whether you are willing or able to complete this transaction.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has responded promptly and diligently to satisfy the conditions you raised. We have facilitated your completion of an appraisal of the Company's inventory and provided you with all the information you requested on our tax reserve.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You have stated that the consent of Levi Strauss &amp; Co. is a necessary condition to consummating the acquisition. We provided you with contact information at Levi Strauss and, as you requested, the Board of Directors of the Company has amended the Company's Shareholder Rights Agreement to permit Stanley Berger to participate with you in seeking the consent of Levi Strauss &amp; Co. We understand that Levi Strauss &amp; Co. is still awaiting your response to a questionnaire that they provided to you as part of their review. We urge you to complete all communications with Levi Strauss as soon as possible.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are concerned that your requests to talk with other large stockholders of Designs about joining your effort to acquire the Company suggest that you may be experiencing difficulty in arranging the financing for the acquisition of the Company's common stock at $3.65 per share. In April, you expressed confidence that you could arrange financing for the transaction. To date, however, you have not shared your financing plans with us or provided us any other information to enable us to assess the viability of your proposed financing. In view of your recent requests, we ask that you provide to us a written description of your financing plans and an opportunity to discuss those plans with your prospective financing sources as soon as possible.</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Special Committee remains ready to pursue your original proposal to acquire the Company's outstanding common stock at a price of $3.65 per share in cash. In the interests of all Designs' stockholders, the Special Committee reiterates its need to obtain greater clarity and certainty regarding your proposal and to complete this process expeditiously.</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Special Committee of the</w:t>
      </w:r>
    </w:p>
    <w:p>
      <w:pPr>
        <w:ind w:left="560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JAMES G. GRONINGER</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James G. Groninger</w:t>
      </w:r>
    </w:p>
    <w:p>
      <w:pPr>
        <w:ind w:left="5600"/>
        <w:spacing w:after="0" w:line="238" w:lineRule="auto"/>
        <w:rPr>
          <w:sz w:val="20"/>
          <w:szCs w:val="20"/>
          <w:color w:val="auto"/>
        </w:rPr>
      </w:pPr>
      <w:r>
        <w:rPr>
          <w:rFonts w:ascii="Courier New" w:cs="Courier New" w:eastAsia="Courier New" w:hAnsi="Courier New"/>
          <w:sz w:val="18"/>
          <w:szCs w:val="18"/>
          <w:color w:val="auto"/>
        </w:rPr>
        <w:t>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78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upperLetter"/>
      <w:start w:val="9"/>
    </w:lvl>
  </w:abstractNum>
  <w:abstractNum w:abstractNumId="17">
    <w:nsid w:val="62BBD95A"/>
    <w:multiLevelType w:val="hybridMultilevel"/>
    <w:lvl w:ilvl="0">
      <w:lvlJc w:val="left"/>
      <w:lvlText w:val="%1."/>
      <w:numFmt w:val="upperLetter"/>
      <w:start w:val="35"/>
    </w:lvl>
  </w:abstractNum>
  <w:abstractNum w:abstractNumId="18">
    <w:nsid w:val="436C6125"/>
    <w:multiLevelType w:val="hybridMultilevel"/>
    <w:lvl w:ilvl="0">
      <w:lvlJc w:val="left"/>
      <w:lvlText w:val="%1."/>
      <w:numFmt w:val="upperLetter"/>
      <w:start w:val="61"/>
    </w:lvl>
  </w:abstractNum>
  <w:abstractNum w:abstractNumId="19">
    <w:nsid w:val="628C895D"/>
    <w:multiLevelType w:val="hybridMultilevel"/>
    <w:lvl w:ilvl="0">
      <w:lvlJc w:val="left"/>
      <w:lvlText w:val="%1."/>
      <w:numFmt w:val="upperLetter"/>
      <w:start w:val="1"/>
    </w:lvl>
  </w:abstractNum>
  <w:abstractNum w:abstractNumId="20">
    <w:nsid w:val="333AB105"/>
    <w:multiLevelType w:val="hybridMultilevel"/>
    <w:lvl w:ilvl="0">
      <w:lvlJc w:val="left"/>
      <w:lvlText w:val="%1"/>
      <w:numFmt w:val="decimal"/>
      <w:start w:val="11"/>
    </w:lvl>
  </w:abstractNum>
  <w:abstractNum w:abstractNumId="21">
    <w:nsid w:val="721DA317"/>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2019-12-19T22:01:28Z</dcterms:created>
  <dcterms:modified xsi:type="dcterms:W3CDTF">2019-12-19T22:01:28Z</dcterms:modified>
</cp:coreProperties>
</file>