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480" w:right="2080" w:hanging="3472"/>
        <w:spacing w:after="0" w:line="303" w:lineRule="auto"/>
        <w:tabs>
          <w:tab w:leader="none" w:pos="3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31, 2026 (Fiscal 2025)</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jc w:val="center"/>
        <w:ind w:right="40"/>
        <w:spacing w:after="0" w:line="207" w:lineRule="exact"/>
        <w:tabs>
          <w:tab w:leader="none" w:pos="180" w:val="left"/>
          <w:tab w:leader="none" w:pos="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TRANSITION REPORT PURSUANT TO SECTION 13 OR 15(d) OF THE SECURITIES EXCHANGE ACT OF</w:t>
      </w:r>
      <w:r>
        <w:rPr>
          <w:sz w:val="20"/>
          <w:szCs w:val="20"/>
          <w:color w:val="auto"/>
        </w:rPr>
        <w:tab/>
      </w:r>
      <w:r>
        <w:rPr>
          <w:rFonts w:ascii="Times New Roman" w:cs="Times New Roman" w:eastAsia="Times New Roman" w:hAnsi="Times New Roman"/>
          <w:sz w:val="17"/>
          <w:szCs w:val="17"/>
          <w:b w:val="1"/>
          <w:bCs w:val="1"/>
          <w:color w:val="auto"/>
        </w:rPr>
        <w:t>1934 FOR THE</w:t>
      </w:r>
    </w:p>
    <w:p>
      <w:pPr>
        <w:spacing w:after="0" w:line="7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Commission File Number 01-34219</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280" w:type="dxa"/>
            <w:vAlign w:val="bottom"/>
          </w:tcPr>
          <w:p>
            <w:pPr>
              <w:spacing w:after="0"/>
              <w:rPr>
                <w:sz w:val="24"/>
                <w:szCs w:val="24"/>
                <w:color w:val="auto"/>
              </w:rPr>
            </w:pPr>
          </w:p>
        </w:tc>
        <w:tc>
          <w:tcPr>
            <w:tcW w:w="5100" w:type="dxa"/>
            <w:vAlign w:val="bottom"/>
            <w:gridSpan w:val="6"/>
          </w:tcPr>
          <w:p>
            <w:pPr>
              <w:jc w:val="center"/>
              <w:ind w:right="393"/>
              <w:spacing w:after="0" w:line="309" w:lineRule="exact"/>
              <w:rPr>
                <w:sz w:val="20"/>
                <w:szCs w:val="20"/>
                <w:color w:val="auto"/>
              </w:rPr>
            </w:pPr>
            <w:r>
              <w:rPr>
                <w:rFonts w:ascii="Times New Roman" w:cs="Times New Roman" w:eastAsia="Times New Roman" w:hAnsi="Times New Roman"/>
                <w:sz w:val="29"/>
                <w:szCs w:val="29"/>
                <w:b w:val="1"/>
                <w:bCs w:val="1"/>
                <w:color w:val="auto"/>
                <w:w w:val="99"/>
              </w:rPr>
              <w:t>DESTINATION XL GROUP, INC.</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5100" w:type="dxa"/>
            <w:vAlign w:val="bottom"/>
            <w:gridSpan w:val="6"/>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vMerge w:val="restart"/>
          </w:tcPr>
          <w:p>
            <w:pPr>
              <w:jc w:val="center"/>
              <w:ind w:left="22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gridSpan w:val="3"/>
            <w:vMerge w:val="restart"/>
          </w:tcPr>
          <w:p>
            <w:pPr>
              <w:jc w:val="right"/>
              <w:ind w:right="2302"/>
              <w:spacing w:after="0"/>
              <w:rPr>
                <w:sz w:val="20"/>
                <w:szCs w:val="20"/>
                <w:color w:val="auto"/>
              </w:rPr>
            </w:pPr>
            <w:r>
              <w:rPr>
                <w:rFonts w:ascii="Times New Roman" w:cs="Times New Roman" w:eastAsia="Times New Roman" w:hAnsi="Times New Roman"/>
                <w:sz w:val="18"/>
                <w:szCs w:val="18"/>
                <w:b w:val="1"/>
                <w:bCs w:val="1"/>
                <w:color w:val="auto"/>
              </w:rPr>
              <w:t>04-2623104</w:t>
            </w:r>
          </w:p>
        </w:tc>
        <w:tc>
          <w:tcPr>
            <w:tcW w:w="0" w:type="dxa"/>
            <w:vAlign w:val="bottom"/>
          </w:tcPr>
          <w:p>
            <w:pPr>
              <w:spacing w:after="0"/>
              <w:rPr>
                <w:sz w:val="1"/>
                <w:szCs w:val="1"/>
                <w:color w:val="auto"/>
              </w:rPr>
            </w:pPr>
          </w:p>
        </w:tc>
      </w:tr>
      <w:tr>
        <w:trPr>
          <w:trHeight w:val="270"/>
        </w:trPr>
        <w:tc>
          <w:tcPr>
            <w:tcW w:w="328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4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7000" w:type="dxa"/>
            <w:vAlign w:val="bottom"/>
            <w:gridSpan w:val="5"/>
          </w:tcPr>
          <w:p>
            <w:pPr>
              <w:jc w:val="center"/>
              <w:ind w:right="1380"/>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4240" w:type="dxa"/>
            <w:vAlign w:val="bottom"/>
            <w:gridSpan w:val="3"/>
          </w:tcPr>
          <w:p>
            <w:pPr>
              <w:jc w:val="center"/>
              <w:ind w:right="1322"/>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79"/>
        </w:trPr>
        <w:tc>
          <w:tcPr>
            <w:tcW w:w="7000" w:type="dxa"/>
            <w:vAlign w:val="bottom"/>
            <w:gridSpan w:val="5"/>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4240" w:type="dxa"/>
            <w:vAlign w:val="bottom"/>
            <w:gridSpan w:val="3"/>
          </w:tcPr>
          <w:p>
            <w:pPr>
              <w:jc w:val="right"/>
              <w:ind w:right="2502"/>
              <w:spacing w:after="0"/>
              <w:rPr>
                <w:sz w:val="20"/>
                <w:szCs w:val="20"/>
                <w:color w:val="auto"/>
              </w:rPr>
            </w:pPr>
            <w:r>
              <w:rPr>
                <w:rFonts w:ascii="Times New Roman" w:cs="Times New Roman" w:eastAsia="Times New Roman" w:hAnsi="Times New Roman"/>
                <w:sz w:val="18"/>
                <w:szCs w:val="18"/>
                <w:b w:val="1"/>
                <w:bCs w:val="1"/>
                <w:color w:val="auto"/>
              </w:rPr>
              <w:t>02021</w:t>
            </w:r>
          </w:p>
        </w:tc>
        <w:tc>
          <w:tcPr>
            <w:tcW w:w="0" w:type="dxa"/>
            <w:vAlign w:val="bottom"/>
          </w:tcPr>
          <w:p>
            <w:pPr>
              <w:spacing w:after="0"/>
              <w:rPr>
                <w:sz w:val="1"/>
                <w:szCs w:val="1"/>
                <w:color w:val="auto"/>
              </w:rPr>
            </w:pPr>
          </w:p>
        </w:tc>
      </w:tr>
      <w:tr>
        <w:trPr>
          <w:trHeight w:val="166"/>
        </w:trPr>
        <w:tc>
          <w:tcPr>
            <w:tcW w:w="7000" w:type="dxa"/>
            <w:vAlign w:val="bottom"/>
            <w:gridSpan w:val="5"/>
          </w:tcPr>
          <w:p>
            <w:pPr>
              <w:jc w:val="center"/>
              <w:ind w:right="138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500" w:type="dxa"/>
            <w:vAlign w:val="bottom"/>
          </w:tcPr>
          <w:p>
            <w:pPr>
              <w:spacing w:after="0"/>
              <w:rPr>
                <w:sz w:val="14"/>
                <w:szCs w:val="14"/>
                <w:color w:val="auto"/>
              </w:rPr>
            </w:pPr>
          </w:p>
        </w:tc>
        <w:tc>
          <w:tcPr>
            <w:tcW w:w="3740" w:type="dxa"/>
            <w:vAlign w:val="bottom"/>
            <w:gridSpan w:val="2"/>
          </w:tcPr>
          <w:p>
            <w:pPr>
              <w:jc w:val="center"/>
              <w:ind w:right="1802"/>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9"/>
        </w:trPr>
        <w:tc>
          <w:tcPr>
            <w:tcW w:w="8380" w:type="dxa"/>
            <w:vAlign w:val="bottom"/>
            <w:gridSpan w:val="7"/>
          </w:tcPr>
          <w:p>
            <w:pPr>
              <w:jc w:val="center"/>
              <w:ind w:left="27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828-9300</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80" w:type="dxa"/>
            <w:vAlign w:val="bottom"/>
            <w:tcBorders>
              <w:bottom w:val="single" w:sz="8" w:color="auto"/>
            </w:tcBorders>
          </w:tcPr>
          <w:p>
            <w:pPr>
              <w:spacing w:after="0"/>
              <w:rPr>
                <w:sz w:val="22"/>
                <w:szCs w:val="22"/>
                <w:color w:val="auto"/>
              </w:rPr>
            </w:pPr>
          </w:p>
        </w:tc>
        <w:tc>
          <w:tcPr>
            <w:tcW w:w="5100" w:type="dxa"/>
            <w:vAlign w:val="bottom"/>
            <w:tcBorders>
              <w:bottom w:val="single" w:sz="8" w:color="auto"/>
            </w:tcBorders>
            <w:gridSpan w:val="6"/>
          </w:tcPr>
          <w:p>
            <w:pPr>
              <w:jc w:val="center"/>
              <w:ind w:right="353"/>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5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3"/>
        </w:trPr>
        <w:tc>
          <w:tcPr>
            <w:tcW w:w="3280" w:type="dxa"/>
            <w:vAlign w:val="bottom"/>
            <w:tcBorders>
              <w:left w:val="single" w:sz="8" w:color="auto"/>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4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DXLG</w:t>
            </w:r>
          </w:p>
        </w:tc>
        <w:tc>
          <w:tcPr>
            <w:tcW w:w="5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4"/>
                <w:szCs w:val="24"/>
                <w:color w:val="auto"/>
              </w:rPr>
            </w:pPr>
          </w:p>
        </w:tc>
        <w:tc>
          <w:tcPr>
            <w:tcW w:w="5100" w:type="dxa"/>
            <w:vAlign w:val="bottom"/>
            <w:gridSpan w:val="6"/>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None.</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8380" w:type="dxa"/>
            <w:vAlign w:val="bottom"/>
            <w:gridSpan w:val="7"/>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p>
        </w:tc>
        <w:tc>
          <w:tcPr>
            <w:tcW w:w="2860" w:type="dxa"/>
            <w:vAlign w:val="bottom"/>
          </w:tcPr>
          <w:p>
            <w:pPr>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72"/>
        </w:trPr>
        <w:tc>
          <w:tcPr>
            <w:tcW w:w="8380" w:type="dxa"/>
            <w:vAlign w:val="bottom"/>
            <w:gridSpan w:val="7"/>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p>
        </w:tc>
        <w:tc>
          <w:tcPr>
            <w:tcW w:w="2860" w:type="dxa"/>
            <w:vAlign w:val="bottom"/>
          </w:tcPr>
          <w:p>
            <w:pPr>
              <w:ind w:left="140"/>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21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7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70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20"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ind w:right="30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ind w:right="320"/>
        <w:spacing w:after="0" w:line="200"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spacing w:after="0" w:line="215"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84" w:lineRule="exact"/>
        <w:rPr>
          <w:sz w:val="24"/>
          <w:szCs w:val="24"/>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As of August 2, 2025, the aggregate market value of the Common Stock held by non-affiliates of the registrant was approximately $41.9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The registrant had 55,273,092 shares of Common Stock, $0.01 par value, outstanding as of May 15, 2026.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 None.</w:t>
      </w:r>
    </w:p>
    <w:p>
      <w:pPr>
        <w:spacing w:after="0" w:line="41" w:lineRule="exact"/>
        <w:rPr>
          <w:sz w:val="20"/>
          <w:szCs w:val="20"/>
          <w:color w:val="auto"/>
        </w:rPr>
      </w:pPr>
    </w:p>
    <w:p>
      <w:pPr>
        <w:spacing w:after="0"/>
        <w:tabs>
          <w:tab w:leader="none" w:pos="4120" w:val="left"/>
          <w:tab w:leader="none" w:pos="9800" w:val="left"/>
        </w:tabs>
        <w:rPr>
          <w:sz w:val="20"/>
          <w:szCs w:val="20"/>
          <w:color w:val="auto"/>
        </w:rPr>
      </w:pPr>
      <w:r>
        <w:rPr>
          <w:rFonts w:ascii="Times New Roman" w:cs="Times New Roman" w:eastAsia="Times New Roman" w:hAnsi="Times New Roman"/>
          <w:sz w:val="16"/>
          <w:szCs w:val="16"/>
          <w:color w:val="auto"/>
        </w:rPr>
        <w:t>Auditor Name: KPMG, LLP</w:t>
      </w:r>
      <w:r>
        <w:rPr>
          <w:sz w:val="20"/>
          <w:szCs w:val="20"/>
          <w:color w:val="auto"/>
        </w:rPr>
        <w:tab/>
      </w:r>
      <w:r>
        <w:rPr>
          <w:rFonts w:ascii="Times New Roman" w:cs="Times New Roman" w:eastAsia="Times New Roman" w:hAnsi="Times New Roman"/>
          <w:sz w:val="16"/>
          <w:szCs w:val="16"/>
          <w:color w:val="auto"/>
        </w:rPr>
        <w:t xml:space="preserve">Auditor Location: </w:t>
      </w:r>
      <w:r>
        <w:rPr>
          <w:rFonts w:ascii="Times New Roman" w:cs="Times New Roman" w:eastAsia="Times New Roman" w:hAnsi="Times New Roman"/>
          <w:sz w:val="17"/>
          <w:szCs w:val="17"/>
          <w:color w:val="auto"/>
        </w:rPr>
        <w:t>Minneapolis, Minnesota</w:t>
      </w:r>
      <w:r>
        <w:rPr>
          <w:sz w:val="20"/>
          <w:szCs w:val="20"/>
          <w:color w:val="auto"/>
        </w:rPr>
        <w:tab/>
      </w:r>
      <w:r>
        <w:rPr>
          <w:rFonts w:ascii="Times New Roman" w:cs="Times New Roman" w:eastAsia="Times New Roman" w:hAnsi="Times New Roman"/>
          <w:sz w:val="16"/>
          <w:szCs w:val="16"/>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Destination XL Group, Inc., together with its subsidiaries (the “Company”) is filing this Amendment No. 1 to our Annual Report on Form 10-K for the fiscal year ended January 31, 2026 (this “Form 10-K/A”) pursuant to General Instruction G(3) to Form 10−K for the purposes of filing the information required to be disclosed pursuant to Part III of Form 10-K. Unless the context indicates otherwise, all references to “we,” “our,” “ours,” “us” and “the Company” refer to Destination XL Group, Inc. and our consolidated subsidiaries.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Except for the amendments described above, this Form 10-K/A does not modify or update the disclosure in our Annual Report on Form 10-K for the fiscal year ended January 31, 2026 filed with the Securities and Exchange Commission on March 19, 2026.</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Directors, Executive Officers and Corporate Governance</w:t>
            </w:r>
          </w:p>
        </w:tc>
        <w:tc>
          <w:tcPr>
            <w:tcW w:w="4880" w:type="dxa"/>
            <w:vAlign w:val="bottom"/>
            <w:gridSpan w:val="3"/>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9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16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Certain Relationships and Related Transactions, and Director Independence</w:t>
            </w:r>
          </w:p>
        </w:tc>
        <w:tc>
          <w:tcPr>
            <w:tcW w:w="352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2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7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SIGNATURES</w:t>
            </w:r>
          </w:p>
        </w:tc>
        <w:tc>
          <w:tcPr>
            <w:tcW w:w="894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628"/>
        </w:trPr>
        <w:tc>
          <w:tcPr>
            <w:tcW w:w="1180" w:type="dxa"/>
            <w:vAlign w:val="bottom"/>
          </w:tcPr>
          <w:p>
            <w:pPr>
              <w:spacing w:after="0"/>
              <w:rPr>
                <w:sz w:val="24"/>
                <w:szCs w:val="24"/>
                <w:color w:val="auto"/>
              </w:rPr>
            </w:pPr>
          </w:p>
        </w:tc>
        <w:tc>
          <w:tcPr>
            <w:tcW w:w="54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2026, their current committee membership, and the year in which they became a director of our Company: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1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Cybersecurity</w:t>
            </w: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2"/>
                <w:szCs w:val="12"/>
                <w:color w:val="auto"/>
              </w:rPr>
            </w:pPr>
          </w:p>
        </w:tc>
        <w:tc>
          <w:tcPr>
            <w:tcW w:w="13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and</w:t>
            </w:r>
          </w:p>
        </w:tc>
      </w:tr>
      <w:tr>
        <w:trPr>
          <w:trHeight w:val="16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Governance</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Data Privacy</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Carmen R. Bauza,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Jack Boyle, Director</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Willem Mesdag,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Ivy Ross, Director</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Elaine K. Rubin, Director</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Lionel F. Conacher </w:t>
      </w:r>
      <w:r>
        <w:rPr>
          <w:rFonts w:ascii="Times New Roman" w:cs="Times New Roman" w:eastAsia="Times New Roman" w:hAnsi="Times New Roman"/>
          <w:sz w:val="18"/>
          <w:szCs w:val="18"/>
          <w:color w:val="auto"/>
        </w:rPr>
        <w:t>has been a director of the Company since June 2018 and Chairman of the Board of Director (the "Board") since August 2020.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Our Board believes that Mr. Conacher brings extensive financial and operational experience, and his significant experience as a director for other publicly traded companies qualifies him to serve on our Board.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Harvey S. Kanter </w:t>
      </w:r>
      <w:r>
        <w:rPr>
          <w:rFonts w:ascii="Times New Roman" w:cs="Times New Roman" w:eastAsia="Times New Roman" w:hAnsi="Times New Roman"/>
          <w:sz w:val="18"/>
          <w:szCs w:val="18"/>
          <w:color w:val="auto"/>
        </w:rPr>
        <w:t>is the President, Chief Executive Officer and a director of the Company. Mr. Kanter joined the Company in February 2019 in a transition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 as Advisor to the Acting Chief Executive Officer and assumed the role of President and Chief Executive Officer and a director of the Company in April 2019. Mr. Kanter served as a non-executive co-chair at Seattle University Center for Leadership Formation, Albers School of Business and Economics from February 2021 until February 2024. Mr. Kanter served as a director and a member of the compensation committee of Potbelly Corporation, a publicly traded company, from August 2015 until May 2019. Mr. Kanter has over 35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 traded company. From March 2012 until February 2020, Mr. Kanter also served as a member of the board of directors of Blue Nile, Inc. and, from January 2014 until February 2020, as their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Our Board believes that Mr. Kanter’s extensive knowledge of integrated-commerce retailing, with strong strategic and operational expertise qualifies him to serve on our Board.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Carmen R. Bauza </w:t>
      </w:r>
      <w:r>
        <w:rPr>
          <w:rFonts w:ascii="Times New Roman" w:cs="Times New Roman" w:eastAsia="Times New Roman" w:hAnsi="Times New Roman"/>
          <w:sz w:val="18"/>
          <w:szCs w:val="18"/>
          <w:color w:val="auto"/>
        </w:rPr>
        <w:t>has been a director of the Company since December 2021. In March 2023, Ms. Bauza joined the board of directors of OneWater Marine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Our Board believes that Ms. Bauza’s extensive retail and merchandising experience qualifies her to serve on our Board.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Boyle </w:t>
      </w:r>
      <w:r>
        <w:rPr>
          <w:rFonts w:ascii="Times New Roman" w:cs="Times New Roman" w:eastAsia="Times New Roman" w:hAnsi="Times New Roman"/>
          <w:sz w:val="18"/>
          <w:szCs w:val="18"/>
          <w:color w:val="auto"/>
        </w:rPr>
        <w:t>has been a director since August 2017. In July 2025, Mr. Boyle joined the board of directors of Wolverine World Wide, Inc., a publicly traded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and serves as a member of their compensation and human capital committees. Since June 2025, Mr. Boyle has been the managing partner of Fam Bam Sports. From January 2024 until his retirement in July 2025, Mr. Boyle was the president of buying and North America for Fanatics Holdings, Inc. (“Fanatics”), a market leader for officially licensed sports merchandise. From February 2019 to January 2024, Mr. Boyle was the global co-president of direct to consumer/omni-channel for Fanatics.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Our Board believes that Mr. Boyle’s extensive experience in merchandising, brand management and omni-channel leadership qualifies him to serve on our Board.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Willem Mesdag </w:t>
      </w:r>
      <w:r>
        <w:rPr>
          <w:rFonts w:ascii="Times New Roman" w:cs="Times New Roman" w:eastAsia="Times New Roman" w:hAnsi="Times New Roman"/>
          <w:sz w:val="18"/>
          <w:szCs w:val="18"/>
          <w:color w:val="auto"/>
        </w:rPr>
        <w:t>has been a director since January 2014. Mr. Mesdag is the managing partner of Red Mountain Capital Partners LLC, an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previously served on the boards of 3i Group plc, Cost Plus, Inc., Encore Capital Group, Inc., Nature’s Sunshine Products, Inc., Skandia AB and Yuma Energy, Inc., all of which are or were publicly-traded companies. Having had an extensive career in international investment banking and finance and having served on domestic and international public company boards, our Board believes that Mr. Mesdag brings significant knowledge and experience related to business and financial issues, and his corporate governance and investor’s perspective qualifies him to serve on our Board.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Ivy Ross </w:t>
      </w:r>
      <w:r>
        <w:rPr>
          <w:rFonts w:ascii="Times New Roman" w:cs="Times New Roman" w:eastAsia="Times New Roman" w:hAnsi="Times New Roman"/>
          <w:sz w:val="18"/>
          <w:szCs w:val="18"/>
          <w:color w:val="auto"/>
        </w:rPr>
        <w:t>has been a director since January 2013. Since July 2016, Ms. Ross has been the chief design officer of consumer hardware, retail store design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Google and from May 2014 until July 2016, she served as the head of glass. From July 2011 until April 2014, Ms. Ross was the chief marketing officer of Art.com, where she oversaw the company's marketing, branding, merchandising and user-experience functions. From June 2008 to June 2011, Ms. Ross was executive vice president of marketing for the Gap brand, and also acted as the creative catalyst for all brands within Gap, Inc. Ms. Ross has also held senior creative and product design positions at Disney Stores North America, Mattel, Inc., Calvin Klein, Coach, Liz Claiborne Inc., Swatch Group (U.S.) Inc. and Avon Products, Inc.. She also has served on The Procter &amp; Gamble Company’s design board since its inception. Our Board believes that with her industry insight and marketing expertise, Ms. Ross provides a valuable perspective to the Board as we continue to build our DXL brand and qualifies her to serve on our Board.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Elaine K. Rubin </w:t>
      </w:r>
      <w:r>
        <w:rPr>
          <w:rFonts w:ascii="Times New Roman" w:cs="Times New Roman" w:eastAsia="Times New Roman" w:hAnsi="Times New Roman"/>
          <w:sz w:val="18"/>
          <w:szCs w:val="18"/>
          <w:color w:val="auto"/>
        </w:rPr>
        <w:t>has been a director since April 2021. Since January 2010, Ms. Rubin has been the founder and president of Digital Prophets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 consulting, advisory and placement firm with a network of digital commerce experts that supports the growth of retail and direct-to-consumer businesses. Since January 2024, Ms. Rubin has served as a strategic advisor to Cordial Experience, Inc., a marketing platform designed to power data-driven, high conversion messages at scale. From November 2023, Ms. Rubin has served as a board member for Women and Climate Inc., a non-profit organization. From October 2013 to November 2023, she has also served as an advisor to Hint, Inc., which produces fruit-infused water. Prior to that, Ms. Rubin held leadership positions at 1800flowers.com, iVillage.com and amazon.com. She previously served on the boards of Smart &amp; Final Stores, Inc. and Blue Nile, Inc., both of which were formerly publicly traded companies. Ms. Rubin co-founded shop.org in February 1996 and served as its elected chair of the board of directors from February 1996 to October 2007 and served on the board of the National Retail Federation, Inc. from 2001 until 2010. Our Board believes that Ms. Rubin’s extensive knowledge and experience of digital commerce business and valuable insights qualifies her to serve on our Board.</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Current Non-Director Executive Officers</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Peter H. Stratton, Jr.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54, has been our Executive Vice President, Chief Financial Officer and Treasurer since November 2017. Prior to that, Mr. Stratton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John F. Cooney</w:t>
      </w:r>
      <w:r>
        <w:rPr>
          <w:rFonts w:ascii="Times New Roman" w:cs="Times New Roman" w:eastAsia="Times New Roman" w:hAnsi="Times New Roman"/>
          <w:sz w:val="18"/>
          <w:szCs w:val="18"/>
          <w:color w:val="auto"/>
        </w:rPr>
        <w:t>, 43, has been our Senior Vice President, Corporate Controller and Chief Accounting Officer since March 2022. Prior to that, Mr. Cooney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our Vice President of Finance and Managing Director, Corporate Controller and Chief Accounting Officer from May 2018 until March 2022, our Vice President of Finance, Corporate Controller and Chief Accounting Officer from May 2015 until May 2018, our Vice President of Finance and Corporate Controller from June 2014 until May 2015, and our Director of Financial Accounting and Reporting from November 2010 until June 2014. Prior to joining the Company, Mr. Cooney was an audit manager with PricewaterhouseCoopers LLP, which he joined in August 2004.</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Anthony J. Gaeta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56, has been our Chief Stores and Real Estate Officer since April 2023. Prior to that, Mr. Gaeta was our Chief Stores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2022 until April 2023, our Senior Vice President of Store Sales and Operations from November 2017 until March 2022, our Vice President of Store Operations and Training from November 2013 until November 2017, and a Zone Vice President from April 2010 until November 2013. Mr. Gaeta was a regional manager for The Men’s Wearhouse, LLC from September 2007 until April 2010 and a regional vice president for After Hours Formalwear, Inc. from March 2006 until September 2007.</w:t>
      </w:r>
    </w:p>
    <w:p>
      <w:pPr>
        <w:spacing w:after="0" w:line="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Stacey A. Jones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55, has been our Chief Human Resources Officer since February 2021. Prior to that, Ms. Jones was our Vice President,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Human Resources from May 2018 until February 2021 and our Vice President, Human Resources Operations from April 2013 to May 2018. Ms. Jones joined the Company in October 2001 and has held a variety of positions in both Retail Operations and Human Resources. Prior to joining the Company, she held leadership positions with Converse, Inc., Jet Apparel and T.A.C. Group, Inc.</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Robert S. Mollo</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66, has been our General Counsel since February 2008 and Secretary of the Company since May 2014. From May 2018 until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Mr. Molloy also served as Chief Administrative Officer. Prior to joining the Company, Mr. Molloy served as the vice president, assistant general counsel at Staples, Inc. from May 1999 to February 2008. Prior to May 1999, Mr. Molloy was a trial attorney.</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Allison Surette</w:t>
      </w:r>
      <w:r>
        <w:rPr>
          <w:rFonts w:ascii="Times New Roman" w:cs="Times New Roman" w:eastAsia="Times New Roman" w:hAnsi="Times New Roman"/>
          <w:sz w:val="18"/>
          <w:szCs w:val="18"/>
          <w:color w:val="auto"/>
        </w:rPr>
        <w:t>, 45, has been our Chief Merchandising Officer since March 2022. Prior to that, Ms. Surette was the Senior Vice President,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Merchandise Manager from May 2018 to March 2022 and Vice President, Merchandise Manager of Private Label, Active, Young Men’s and Outerwear from September 2016 to May 2018.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The TJX Companies, Inc. from June 2003 until May 2006.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Former Non-Director Executive Officers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James F. Reath</w:t>
      </w:r>
      <w:r>
        <w:rPr>
          <w:rFonts w:ascii="Times New Roman" w:cs="Times New Roman" w:eastAsia="Times New Roman" w:hAnsi="Times New Roman"/>
          <w:sz w:val="18"/>
          <w:szCs w:val="18"/>
          <w:color w:val="auto"/>
        </w:rPr>
        <w:t>, 54, served as the Company's Chief Marketing Officer from September 2022 until July 2025. Prior to joining the Company, he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of marketing at Bed Bath &amp; Beyond Inc. from January 2021 until July 2022. Prior to that, Mr. Reath served as the senior vice president, marketing at Macy’s, Inc. from April 2017 to December 2020. From November 2013 through April 2017, he served as the executive vice president, head of retail at BBDO New York from January 2016. Mr. Reath was with McKinney from June 2010 until November 2013, where he served as the vice president and group account director until January 2012 when he was promoted to the executive vice president – director of retail and shopper marketing and became a partner of the firm and a member of the board of directors. He was also the chief marketing officer at Young &amp; Rubicam from April 2008 until June 2010.</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Rob Bogan</w:t>
      </w:r>
      <w:r>
        <w:rPr>
          <w:rFonts w:ascii="Times New Roman" w:cs="Times New Roman" w:eastAsia="Times New Roman" w:hAnsi="Times New Roman"/>
          <w:sz w:val="18"/>
          <w:szCs w:val="18"/>
          <w:color w:val="auto"/>
        </w:rPr>
        <w:t>, 58, served as the Company's Chief Technology Officer from November 2023 until April 2025. Prior to joining our Company, from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November 2023, he was the chief information officer at the Cato Corporation, a specialty retailer of value-priced fashion apparel and accessories. Prior to that, Mr. Bogan was the chief technology officer at Mitchell Gold + Bob Williams, a furnishing company from September 2021 until August 2023. From May 2018 to August 2021, he served as the senior vice president of technology, chief information officer at California Closets, Inc. From September 2011 to May 2018, Mr. Bogan held numerous roles at Williams Sonoma, a specialty retailer for the home, and at the time he left, he was vice president of international systems and business intelligence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225" w:lineRule="exact"/>
        <w:rPr>
          <w:sz w:val="20"/>
          <w:szCs w:val="20"/>
          <w:color w:val="auto"/>
        </w:rPr>
      </w:pPr>
    </w:p>
    <w:p>
      <w:pPr>
        <w:ind w:left="5580" w:right="1160" w:hanging="557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is subject to any legal proceedings required to be disclosed under Item 401(f) of Regulation S-K.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2025, we believe that the Reporting Persons complied with all applicable Section 16(a) reporting requirements and that all required reports were filed in a timely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 Charters &amp; Policies” on the Investor Relations page of our corporate web 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Securities Trading Policy, which is our insider trading policy governing the purchase, sale, and/or other disposition of our securities by our directors, officers, and employees. We believe that our Securities Trading Policy is reasonably designed to promote compliance with insider trading laws, rules, and regulations and the exchange listing standards applicable to us. A copy of our Securities Trading Policy was filed as Exhibit 19.1 to our Annual Report on Form 10-K for the fiscal year ended February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qualify as an audit committee financial expert under the rules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from those that were described in our Definitive Proxy Statement for our 2025 Annual Meeting of Stockholders (the “2025 Annual Meeting”) that was filed with the SEC on June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our executive compensation philosophy, the guiding principles used by the Compensation Committee in making compensation decisions, and the compensation programs in place for fiscal 2025. It also discusses the compensation paid to our Named Executive Officers (“NEOs”) for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2025 were:</w:t>
      </w:r>
    </w:p>
    <w:p>
      <w:pPr>
        <w:spacing w:after="0" w:line="225"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Harvey S. Kanter, President, Chief Executive Officer and Director</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 Stratton, Jr., Executive Vice President, Chief Financial Officer and Treasurer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J. Gaeta, Chief Stores and Real Estate Officer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Surette, Chief Merchandising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Financial and Executive Compensation Highlights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Fiscal 2025 was a challenging year within the big + tall retail sector. Customer traffic was soft, consumer sentiment was cautious, and customers shopped less frequently often prioritizing essentials and lower price points which contributed to an 8.4% decline in comparable sales. Tariff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 pressures, particularly in the second half of the year, further impacted merchandise margins. While management proactively reduced expenses, controlled inventory, and diversified sourcing, these actions were unable to fully offset the sector challenges. As a result, the Company reported a net loss of $(0.66) per diluted share, which included a $20.4 million non-cash charge to establish a full valuation allowance against net deferred tax assets, $4.2 million of transaction-related costs associated with the pending merger and impairment charges of $0.2 million. On an adjusted basis, excluding these items, the adjusted net loss (a non-GAAP measure) was $(0.21) per diluted share.</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these growth headwinds, the Company maintained a strong liquidity position, ended fiscal 2025 with $28.8 million in cash and investments, and continued to operate with no borrowings and full availability under its credit facility. At January 31, 2026, inventory levels were 2.6% lower than the prior year and availability under the credit facility was $55.1 million. The strength of the balance sheet gives us flexibility and resilience as management continues to navigate a challenging big + tall retail sector.</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executive compensation for fiscal 2025 appropriately reflected Company performance. Consistent with our pay-for-performance philosophy, the results reflected a decrease in performance-based compensation. As a result, both total compensation and realized pay for each NEO declined meaningfully from fiscal 2024 levels. The following table shows total compensation earned and total realized pay for each of the Named Executive Officers in fiscal 2025 as compared to fiscal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 w:type="dxa"/>
            <w:vAlign w:val="bottom"/>
            <w:vMerge w:val="restart"/>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w w:val="99"/>
              </w:rPr>
              <w:t>Total Compensation</w:t>
            </w:r>
            <w:r>
              <w:rPr>
                <w:rFonts w:ascii="Times New Roman" w:cs="Times New Roman" w:eastAsia="Times New Roman" w:hAnsi="Times New Roman"/>
                <w:sz w:val="24"/>
                <w:szCs w:val="24"/>
                <w:b w:val="1"/>
                <w:bCs w:val="1"/>
                <w:color w:val="auto"/>
                <w:w w:val="99"/>
                <w:vertAlign w:val="superscript"/>
              </w:rPr>
              <w:t>(1)</w:t>
            </w:r>
          </w:p>
        </w:tc>
        <w:tc>
          <w:tcPr>
            <w:tcW w:w="12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 xml:space="preserve">Total Realized Pay </w:t>
            </w:r>
            <w:r>
              <w:rPr>
                <w:rFonts w:ascii="Times New Roman" w:cs="Times New Roman" w:eastAsia="Times New Roman" w:hAnsi="Times New Roman"/>
                <w:sz w:val="24"/>
                <w:szCs w:val="24"/>
                <w:b w:val="1"/>
                <w:bCs w:val="1"/>
                <w:color w:val="auto"/>
                <w:w w:val="97"/>
                <w:vertAlign w:val="superscript"/>
              </w:rPr>
              <w:t>(2)</w:t>
            </w:r>
          </w:p>
        </w:tc>
        <w:tc>
          <w:tcPr>
            <w:tcW w:w="10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18"/>
                <w:szCs w:val="18"/>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0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2,184,463</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2,894,568</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2,235,845</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2,302,870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831,371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931,911</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841,649</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656,168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779,463</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650,382</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673,185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669,789</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799,065</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677,371</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629,201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748,544</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625,994</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649,018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left="760" w:hanging="378"/>
        <w:spacing w:after="0" w:line="282"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primary driver of the decrease in total compensation in fiscal 2025 for all of our Named Executive Officers reflects a decrease in the performance-based compensation under the LTIP, due to the performance metric under the 2023-2025 LTIP not being achieved.</w:t>
      </w:r>
    </w:p>
    <w:p>
      <w:pPr>
        <w:spacing w:after="0" w:line="66" w:lineRule="exact"/>
        <w:rPr>
          <w:rFonts w:ascii="Times New Roman" w:cs="Times New Roman" w:eastAsia="Times New Roman" w:hAnsi="Times New Roman"/>
          <w:sz w:val="16"/>
          <w:szCs w:val="16"/>
          <w:color w:val="auto"/>
        </w:rPr>
      </w:pPr>
    </w:p>
    <w:p>
      <w:pPr>
        <w:jc w:val="both"/>
        <w:ind w:left="760" w:hanging="378"/>
        <w:spacing w:after="0" w:line="273"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 Similar to total compensation, the decrease in realized pay for all Named Executive Officers in fiscal 2025 as compared to fiscal 2024 was due to a decrease in performance-based compensation. Mr. Molloy's total realized pay in fiscal 2024 included compensation recognized from the exercise of stock options.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aligned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7" w:lineRule="exact"/>
        <w:rPr>
          <w:rFonts w:ascii="Times New Roman" w:cs="Times New Roman" w:eastAsia="Times New Roman" w:hAnsi="Times New Roman"/>
          <w:sz w:val="18"/>
          <w:szCs w:val="18"/>
          <w:color w:val="auto"/>
        </w:rPr>
      </w:pPr>
    </w:p>
    <w:p>
      <w:pPr>
        <w:ind w:left="780" w:hanging="263"/>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760" w:type="dxa"/>
            <w:vAlign w:val="bottom"/>
            <w:gridSpan w:val="3"/>
          </w:tcPr>
          <w:p>
            <w:pPr>
              <w:ind w:left="226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1"/>
        </w:trPr>
        <w:tc>
          <w:tcPr>
            <w:tcW w:w="2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Focus on performance-based pay</w:t>
            </w:r>
          </w:p>
        </w:tc>
        <w:tc>
          <w:tcPr>
            <w:tcW w:w="5760" w:type="dxa"/>
            <w:vAlign w:val="bottom"/>
            <w:gridSpan w:val="3"/>
            <w:shd w:val="clear" w:color="auto" w:fill="CFF0FC"/>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re-pricing of underwater options</w:t>
            </w: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Balance short-term and long-term incentives</w:t>
            </w:r>
          </w:p>
        </w:tc>
        <w:tc>
          <w:tcPr>
            <w:tcW w:w="5760" w:type="dxa"/>
            <w:vAlign w:val="bottom"/>
            <w:gridSpan w:val="3"/>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hedging or pledging of Company stock</w:t>
            </w: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Use multiple targets for performance awards</w:t>
            </w:r>
          </w:p>
        </w:tc>
        <w:tc>
          <w:tcPr>
            <w:tcW w:w="5760" w:type="dxa"/>
            <w:vAlign w:val="bottom"/>
            <w:gridSpan w:val="3"/>
            <w:shd w:val="clear" w:color="auto" w:fill="CFF0FC"/>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tax gross-up on severance payments</w:t>
            </w: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Provide executives with very limited perquisites</w:t>
            </w:r>
          </w:p>
        </w:tc>
        <w:tc>
          <w:tcPr>
            <w:tcW w:w="5760" w:type="dxa"/>
            <w:vAlign w:val="bottom"/>
            <w:gridSpan w:val="3"/>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supplemental executive retirement plan</w:t>
            </w: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Require “double-trigger” change-in-control provisions</w:t>
            </w: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06"/>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Maintain a “clawback” policy covering incentive cash and equity</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5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programs</w:t>
            </w:r>
          </w:p>
        </w:tc>
        <w:tc>
          <w:tcPr>
            <w:tcW w:w="2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Seek to mitigate undue risk in compensation plans</w:t>
            </w: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Utilize an independent compensation consultant</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most recently engaged Segal to review Mr. Kanter’s compensation in August 2023 in connection with the extension of his “initial term” under his employment agreement from April 1, 2025 to August 11, 2026. At that time, Segal reviewed Mr. Kanter’s base salary and total direct compensation as well as provided guidance on the terms, conditions and value of a performance award that served as a retention award to extend his employment to August 2026. Based on market insights from Segal, including information derived from published surveys on chief executive officer compensation in retail companies with annual revenues of $500 million to $1.0 billion and trends in chief executive officer compensation, there were no other changes to Mr. Kanter’s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Target Compensation</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Chief Executive Officer Compensation</w:t>
      </w:r>
      <w:r>
        <w:rPr>
          <w:rFonts w:ascii="Times New Roman" w:cs="Times New Roman" w:eastAsia="Times New Roman" w:hAnsi="Times New Roman"/>
          <w:sz w:val="18"/>
          <w:szCs w:val="18"/>
          <w:color w:val="auto"/>
        </w:rPr>
        <w:t>. The Compensation Committee is responsible for determining the target compensation of our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 As discussed above, the Compensation Committee, working with Segal, most recently reviewed Mr. Kanter’s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in August 2023. With respect to setting 2025 target compensation, the Compensation Committee compared each element of the Chief Executive Officer’s direct compensation to published survey data and data from the Company’s peer group and concluded that no changes needed to be made to Mr. Kanter’s compensation. The Compensation Committee’s objective was that total target compensation should approximate the median target compensation of the Company’s peer group.</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Chief Executive Officer makes recommendations regarding the compensation paid to our other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to the Compensation Committee for its review and approval. Our Named Executive Officers other than the Chief Executive Officer are provided with a competitive base salary and an opportunity to earn performance awards each year, which are driven by our overall financial targets, and an opportunity to participate in our equity incentive plans.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Korn Ferry, an independent global organizational consulting firm, completed a comprehensive job evaluation of the Company’s corporate positions, from entry level through the Chief Executive Officer, and developed a career framework using its structured job leveling methodology based on the scope, complexity and responsibilities of each role. The Company uses this framework, together with market compensation data available through Korn Ferry Pay, as one input in evaluating the competitiveness and internal alignment of its compensation programs, including the annual compensation paid to the Company’s Named Executive Officers. The Compensation Committee has assessed Korn Ferry’s independence and determined that no conflicts of interest exist with respect to the services provided.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 Group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Compensation Committee most recently engaged Korn Ferry to review the Company's peer group in fiscal 2024. The companies in the fiscal 2025 peer group were:</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Allbirds, Inc.</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J.Jill, Inc.</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Vera Bradley</w:t>
            </w:r>
          </w:p>
        </w:tc>
      </w:tr>
      <w:tr>
        <w:trPr>
          <w:trHeight w:val="33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Big 5 Sporting Goods</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Movado Group</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Vince Holding Corp.</w:t>
            </w:r>
          </w:p>
        </w:tc>
      </w:tr>
      <w:tr>
        <w:trPr>
          <w:trHeight w:val="33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Build-A-Bear Workshop, Inc.</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Rocky Brands</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Zumiez, Inc.</w:t>
            </w:r>
          </w:p>
        </w:tc>
      </w:tr>
      <w:tr>
        <w:trPr>
          <w:trHeight w:val="33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Cato Group</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Shoe Carnival</w:t>
            </w: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Citi Trends</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Tilly’s Inc.</w:t>
            </w: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9"/>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Duluth Holding, Inc</w:t>
            </w:r>
          </w:p>
        </w:tc>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The Brand House Collective, Inc.</w:t>
            </w: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(formerly Kirkland's)</w:t>
            </w: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considered domestic, publicly-traded companies with a range of revenues and market capitalizations that may differ from those included by independent analysts, such as Institutional Shareholder Services. We do so because we believe that companies doing business in specialty retail markets with omni-channel distribution models provide a better benchmark for total shareholder return. An independent analyst may include a company that falls within the same Standard &amp; Poor’s Global Industry Classification Standard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distinctly different business model and is not affected by the same trends that affect specialty apparel retail. At the time that the fiscal 2025 peers were approved, we fell just below the median for revenues and slightly above the median for market capitalization.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2023 annual meeting of stockholders,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 of stockholders.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2025 annual meeting of stockholders, stockholders voted on a non-binding advisory vote on executive compensation as disclosed in the 2025 Proxy Statement. Of the votes cast at the 2025 Annual Meeting on the “say-on-pay” proposal, 87.7% voted in favor of the proposal. The Compensation Committee considered the results of the 2025 advisory vote and believes that it affirms our stockholders' support for our approach to executive compensation, namely, to align short-term and long-term incentives with the Company’s financial performance. We will continue to consider the outcome of subsequent say-on-pay votes when making future compensation decisions for our executive officers.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2025 Compensation Decisions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 2025 included base salary (“fixed compensation”), annual performance-based cash incentives under our AIP and long-term cash and/or equity incentives under our Long-Term Incentive Plan (“LTIP”).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191770</wp:posOffset>
            </wp:positionV>
            <wp:extent cx="4852035" cy="132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5203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5" w:lineRule="exact"/>
        <w:rPr>
          <w:sz w:val="20"/>
          <w:szCs w:val="20"/>
          <w:color w:val="auto"/>
        </w:rPr>
      </w:pPr>
    </w:p>
    <w:p>
      <w:pPr>
        <w:ind w:left="780" w:hanging="26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9" w:lineRule="exact"/>
        <w:rPr>
          <w:rFonts w:ascii="Times New Roman" w:cs="Times New Roman" w:eastAsia="Times New Roman" w:hAnsi="Times New Roman"/>
          <w:sz w:val="18"/>
          <w:szCs w:val="18"/>
          <w:color w:val="auto"/>
        </w:rPr>
      </w:pPr>
    </w:p>
    <w:p>
      <w:pPr>
        <w:ind w:left="7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3"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spacing w:after="0" w:line="71"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Chief Executive Officer’s base salary to be at or near the peer group median and to approximate 25%-33% of his target direct compensation. The base salary of our other Named Executive Officers is recommended by our Chief Executive Officer to the Compensation Committee for its review and approval and targets the median of the peer group and published industry compensation surveys.</w:t>
      </w:r>
    </w:p>
    <w:p>
      <w:pPr>
        <w:spacing w:after="0" w:line="71" w:lineRule="exact"/>
        <w:rPr>
          <w:rFonts w:ascii="Times New Roman" w:cs="Times New Roman" w:eastAsia="Times New Roman" w:hAnsi="Times New Roman"/>
          <w:sz w:val="18"/>
          <w:szCs w:val="18"/>
          <w:color w:val="auto"/>
        </w:rPr>
      </w:pPr>
    </w:p>
    <w:p>
      <w:pPr>
        <w:jc w:val="both"/>
        <w:ind w:left="76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and Mr. Stratton entered into a temporary addendum to his employment agreement in connection with his assumption of additional responsibilities overseeing the Company’s information and technology function following the departure of the Chief Information Officer. As compensation for these additional duties, Mr. Stratton is receiving a temporary bi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weekly salary increase of $2,500. The addendum will remain in effect until a new chief information officer is appointed or the Company terminates the addendum.</w:t>
      </w:r>
    </w:p>
    <w:p>
      <w:pPr>
        <w:spacing w:after="0" w:line="1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 (AIP)</w:t>
      </w:r>
    </w:p>
    <w:p>
      <w:pPr>
        <w:spacing w:after="0" w:line="2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w:t>
      </w:r>
    </w:p>
    <w:p>
      <w:pPr>
        <w:spacing w:after="0" w:line="27"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Company’s financial performance. The Company’s AIP is an annual performance-based incentive plan that provides a cash award to participants based on achievement of specified corporate, departmental and individual targets.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2025 AIP Awards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28, 2025, the Compensation Committee established the financial, operating and performance metrics for the 2025 AIP. Traditionally, the metrics for the AIP have been focused on the financial and operating performance of the Company in relation to our Board-approved budget. However, given the ongoing economic headwinds that have negatively impacted consumer discretionary spending, particularly in the big + tall sector and in an effort to keep employees engaged and motivated to achieve our strategic objectives should the macroeconomic situation not begin to improve in 2025, the Compensation Committee once again added a second tier to the 2025 AIP program that was a relative measure, comparing the Company’s financial performance in fiscal 2025 against the financial performance of its 2025 peer group, as listed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2025 peers).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Mr. Gaeta and Ms. Surette. Mr. Gaeta’s performance metrics included specific store operation targets, and Ms. Surette's performance metrics included specific merchandising, planning and allocation targets, which accounted for 40% of their respective potential awards. The performance metrics were derived from the Company’s annual operating plan for fiscal 2025. The Compensation Committee believed that sales and adjusted EBITDA continued to be the two most significant financial metrics for the 2025 AIP.</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TIER II Company performance metrics consisted of corporate targets for Comparable Sales and Adjusted EBITDA Margin, each accounting for 40% of the potential award for each participant. Our Comparable Sales and Adjusted EBITDA Margin results for fiscal 2025 were compared to our 2025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Individual performance metrics consisted of discretionary personal goals that accounted for the remaining 20% of the potential award for each of the Named Executive Officers under either TIER I or TIER II. See footnote 6 to the table below for a discussion of these individual targets.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fiscal 2025, Mr. Kanter’s target participation in the AIP was at 100% of his earned salary with the potential to earn up to 200% of the TIER I corporate targets and 100% of the TIER II corporate targets, Mr. Stratton’s target participation was 60% of his earned salary with the potential to earn up to 150% of the TIER I corporate targets and 100% of the TIER II corporate targets, and the target participation for Messrs. Gaeta and Molloy and Ms. Surette was 50% of their respective earned salaries with the potential to earn up to 150% of the TIER I corporate and departmental targets and 100% of the TIER II corporate targets.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2025 AIP metrics were intended to be achievable, with an approximate 50% probability of achievement. The 2025 AIP performance metrics and actual results against these metrics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Weight for</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7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76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6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Weight Weight for</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Mr. Gaeta</w:t>
            </w:r>
          </w:p>
        </w:tc>
        <w:tc>
          <w:tcPr>
            <w:tcW w:w="146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Metric Metric for</w:t>
            </w:r>
          </w:p>
        </w:tc>
        <w:tc>
          <w:tcPr>
            <w:tcW w:w="2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62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6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360" w:type="dxa"/>
            <w:vAlign w:val="bottom"/>
            <w:vMerge w:val="restart"/>
          </w:tcPr>
          <w:p>
            <w:pPr>
              <w:spacing w:after="0"/>
              <w:rPr>
                <w:sz w:val="12"/>
                <w:szCs w:val="12"/>
                <w:color w:val="auto"/>
              </w:rPr>
            </w:pPr>
          </w:p>
        </w:tc>
        <w:tc>
          <w:tcPr>
            <w:tcW w:w="86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and Ms.</w:t>
            </w: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Ms.</w:t>
            </w:r>
          </w:p>
        </w:tc>
        <w:tc>
          <w:tcPr>
            <w:tcW w:w="230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Surette</w:t>
            </w:r>
          </w:p>
        </w:tc>
        <w:tc>
          <w:tcPr>
            <w:tcW w:w="200" w:type="dxa"/>
            <w:vAlign w:val="bottom"/>
          </w:tcPr>
          <w:p>
            <w:pPr>
              <w:spacing w:after="0"/>
              <w:rPr>
                <w:sz w:val="13"/>
                <w:szCs w:val="13"/>
                <w:color w:val="auto"/>
              </w:rPr>
            </w:pPr>
          </w:p>
        </w:tc>
        <w:tc>
          <w:tcPr>
            <w:tcW w:w="760" w:type="dxa"/>
            <w:vAlign w:val="bottom"/>
            <w:gridSpan w:val="3"/>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Mr. Gaeta</w:t>
            </w:r>
          </w:p>
        </w:tc>
        <w:tc>
          <w:tcPr>
            <w:tcW w:w="7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Surette</w:t>
            </w:r>
          </w:p>
        </w:tc>
        <w:tc>
          <w:tcPr>
            <w:tcW w:w="540" w:type="dxa"/>
            <w:vAlign w:val="bottom"/>
          </w:tcPr>
          <w:p>
            <w:pPr>
              <w:spacing w:after="0"/>
              <w:rPr>
                <w:sz w:val="13"/>
                <w:szCs w:val="13"/>
                <w:color w:val="auto"/>
              </w:rPr>
            </w:pPr>
          </w:p>
        </w:tc>
        <w:tc>
          <w:tcPr>
            <w:tcW w:w="176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8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20" w:type="dxa"/>
            <w:vAlign w:val="bottom"/>
          </w:tcPr>
          <w:p>
            <w:pPr>
              <w:spacing w:after="0"/>
              <w:rPr>
                <w:sz w:val="13"/>
                <w:szCs w:val="13"/>
                <w:color w:val="auto"/>
              </w:rPr>
            </w:pPr>
          </w:p>
        </w:tc>
        <w:tc>
          <w:tcPr>
            <w:tcW w:w="5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600" w:type="dxa"/>
            <w:vAlign w:val="bottom"/>
            <w:gridSpan w:val="8"/>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 (1)</w:t>
            </w: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660" w:type="dxa"/>
            <w:vAlign w:val="bottom"/>
            <w:tcBorders>
              <w:top w:val="single" w:sz="8" w:color="CFF0FC"/>
            </w:tcBorders>
            <w:gridSpan w:val="2"/>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60" w:type="dxa"/>
            <w:vAlign w:val="bottom"/>
            <w:gridSpan w:val="3"/>
            <w:shd w:val="clear" w:color="auto" w:fill="CFF0FC"/>
          </w:tcPr>
          <w:p>
            <w:pPr>
              <w:ind w:left="50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660" w:type="dxa"/>
            <w:vAlign w:val="bottom"/>
            <w:gridSpan w:val="3"/>
            <w:shd w:val="clear" w:color="auto" w:fill="CFF0FC"/>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60" w:type="dxa"/>
            <w:vAlign w:val="bottom"/>
            <w:gridSpan w:val="5"/>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20.0%  100% payout at target, with 50%</w:t>
            </w:r>
          </w:p>
        </w:tc>
        <w:tc>
          <w:tcPr>
            <w:tcW w:w="6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$485.2</w:t>
            </w:r>
          </w:p>
        </w:tc>
        <w:tc>
          <w:tcPr>
            <w:tcW w:w="2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$437.0</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7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00" w:type="dxa"/>
            <w:vAlign w:val="bottom"/>
            <w:gridSpan w:val="3"/>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payout at 97.2% of target and 150%</w:t>
            </w:r>
          </w:p>
        </w:tc>
        <w:tc>
          <w:tcPr>
            <w:tcW w:w="820" w:type="dxa"/>
            <w:vAlign w:val="bottom"/>
            <w:gridSpan w:val="3"/>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w w:val="98"/>
              </w:rPr>
              <w:t>million</w:t>
            </w:r>
          </w:p>
        </w:tc>
        <w:tc>
          <w:tcPr>
            <w:tcW w:w="740" w:type="dxa"/>
            <w:vAlign w:val="bottom"/>
            <w:gridSpan w:val="3"/>
            <w:shd w:val="clear" w:color="auto" w:fill="CFF0FC"/>
          </w:tcPr>
          <w:p>
            <w:pPr>
              <w:jc w:val="center"/>
              <w:ind w:left="48"/>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payout at 101.8% of target, with the</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is</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at 101.8% of target.</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60" w:type="dxa"/>
            <w:vAlign w:val="bottom"/>
            <w:gridSpan w:val="3"/>
          </w:tcPr>
          <w:p>
            <w:pPr>
              <w:ind w:left="50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660" w:type="dxa"/>
            <w:vAlign w:val="bottom"/>
            <w:gridSpan w:val="3"/>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0"/>
                <w:szCs w:val="10"/>
                <w:color w:val="auto"/>
              </w:rPr>
            </w:pPr>
          </w:p>
        </w:tc>
        <w:tc>
          <w:tcPr>
            <w:tcW w:w="740" w:type="dxa"/>
            <w:vAlign w:val="bottom"/>
            <w:gridSpan w:val="2"/>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60" w:type="dxa"/>
            <w:vAlign w:val="bottom"/>
            <w:gridSpan w:val="5"/>
          </w:tcPr>
          <w:p>
            <w:pPr>
              <w:ind w:left="40"/>
              <w:spacing w:after="0" w:line="124" w:lineRule="exact"/>
              <w:rPr>
                <w:sz w:val="20"/>
                <w:szCs w:val="20"/>
                <w:color w:val="auto"/>
              </w:rPr>
            </w:pPr>
            <w:r>
              <w:rPr>
                <w:rFonts w:ascii="Times New Roman" w:cs="Times New Roman" w:eastAsia="Times New Roman" w:hAnsi="Times New Roman"/>
                <w:sz w:val="14"/>
                <w:szCs w:val="14"/>
                <w:color w:val="auto"/>
              </w:rPr>
              <w:t>20.0%  100% payout at target, with 50%</w:t>
            </w:r>
          </w:p>
        </w:tc>
        <w:tc>
          <w:tcPr>
            <w:tcW w:w="6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0"/>
                <w:szCs w:val="10"/>
                <w:color w:val="auto"/>
              </w:rPr>
            </w:pPr>
          </w:p>
        </w:tc>
        <w:tc>
          <w:tcPr>
            <w:tcW w:w="620" w:type="dxa"/>
            <w:vAlign w:val="bottom"/>
            <w:gridSpan w:val="2"/>
          </w:tcPr>
          <w:p>
            <w:pPr>
              <w:jc w:val="center"/>
              <w:ind w:left="168"/>
              <w:spacing w:after="0" w:line="124"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0"/>
                <w:szCs w:val="10"/>
                <w:color w:val="auto"/>
              </w:rPr>
            </w:pPr>
          </w:p>
        </w:tc>
        <w:tc>
          <w:tcPr>
            <w:tcW w:w="640" w:type="dxa"/>
            <w:vAlign w:val="bottom"/>
            <w:gridSpan w:val="2"/>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560" w:type="dxa"/>
            <w:vAlign w:val="bottom"/>
            <w:gridSpan w:val="3"/>
          </w:tcPr>
          <w:p>
            <w:pPr>
              <w:ind w:left="500"/>
              <w:spacing w:after="0" w:line="151" w:lineRule="exact"/>
              <w:rPr>
                <w:sz w:val="20"/>
                <w:szCs w:val="20"/>
                <w:color w:val="auto"/>
              </w:rPr>
            </w:pPr>
            <w:r>
              <w:rPr>
                <w:rFonts w:ascii="Times New Roman" w:cs="Times New Roman" w:eastAsia="Times New Roman" w:hAnsi="Times New Roman"/>
                <w:sz w:val="14"/>
                <w:szCs w:val="14"/>
                <w:color w:val="auto"/>
              </w:rPr>
              <w:t>EBITDA Margin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payout at 86.5% of target and 150%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108.1% of target, with the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exception of Mr. Kanter who 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80"/>
        <w:spacing w:after="0" w:line="221" w:lineRule="auto"/>
        <w:rPr>
          <w:sz w:val="20"/>
          <w:szCs w:val="20"/>
          <w:color w:val="auto"/>
        </w:rPr>
      </w:pPr>
      <w:r>
        <w:rPr>
          <w:rFonts w:ascii="Times New Roman" w:cs="Times New Roman" w:eastAsia="Times New Roman" w:hAnsi="Times New Roman"/>
          <w:sz w:val="14"/>
          <w:szCs w:val="14"/>
          <w:color w:val="auto"/>
        </w:rPr>
        <w:t>eligible for a maximum payout of</w:t>
      </w:r>
    </w:p>
    <w:p>
      <w:pPr>
        <w:ind w:left="5080"/>
        <w:spacing w:after="0"/>
        <w:rPr>
          <w:sz w:val="20"/>
          <w:szCs w:val="20"/>
          <w:color w:val="auto"/>
        </w:rPr>
      </w:pPr>
      <w:r>
        <w:rPr>
          <w:rFonts w:ascii="Times New Roman" w:cs="Times New Roman" w:eastAsia="Times New Roman" w:hAnsi="Times New Roman"/>
          <w:sz w:val="14"/>
          <w:szCs w:val="14"/>
          <w:color w:val="auto"/>
        </w:rPr>
        <w:t>200% at 108.1% of target.</w:t>
      </w:r>
    </w:p>
    <w:p>
      <w:pPr>
        <w:sectPr>
          <w:pgSz w:w="11900" w:h="16838" w:orient="portrait"/>
          <w:cols w:equalWidth="0" w:num="1">
            <w:col w:w="10500"/>
          </w:cols>
          <w:pgMar w:left="1060" w:top="966" w:right="339" w:bottom="1440" w:gutter="0" w:footer="0" w:header="0"/>
        </w:sectPr>
      </w:pPr>
    </w:p>
    <w:p>
      <w:pPr>
        <w:spacing w:after="0" w:line="118" w:lineRule="exact"/>
        <w:rPr>
          <w:sz w:val="20"/>
          <w:szCs w:val="20"/>
          <w:color w:val="auto"/>
        </w:rPr>
      </w:pPr>
    </w:p>
    <w:p>
      <w:pPr>
        <w:spacing w:after="0"/>
        <w:tabs>
          <w:tab w:leader="none" w:pos="1680" w:val="left"/>
          <w:tab w:leader="none" w:pos="3140" w:val="left"/>
          <w:tab w:leader="none" w:pos="3840" w:val="left"/>
          <w:tab w:leader="none" w:pos="4700" w:val="left"/>
        </w:tabs>
        <w:rPr>
          <w:sz w:val="20"/>
          <w:szCs w:val="20"/>
          <w:color w:val="auto"/>
        </w:rPr>
      </w:pPr>
      <w:r>
        <w:rPr>
          <w:rFonts w:ascii="Times New Roman" w:cs="Times New Roman" w:eastAsia="Times New Roman" w:hAnsi="Times New Roman"/>
          <w:sz w:val="14"/>
          <w:szCs w:val="14"/>
          <w:b w:val="1"/>
          <w:bCs w:val="1"/>
          <w:color w:val="auto"/>
        </w:rPr>
        <w:t>Departmental Goals, if</w:t>
      </w:r>
      <w:r>
        <w:rPr>
          <w:sz w:val="20"/>
          <w:szCs w:val="20"/>
          <w:color w:val="auto"/>
        </w:rPr>
        <w:tab/>
      </w:r>
      <w:r>
        <w:rPr>
          <w:rFonts w:ascii="Times New Roman" w:cs="Times New Roman" w:eastAsia="Times New Roman" w:hAnsi="Times New Roman"/>
          <w:sz w:val="14"/>
          <w:szCs w:val="14"/>
          <w:color w:val="auto"/>
        </w:rPr>
        <w:t>Store Operations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40.0%</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619760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760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applicable</w:t>
      </w:r>
    </w:p>
    <w:p>
      <w:pPr>
        <w:spacing w:after="0" w:line="269" w:lineRule="exact"/>
        <w:rPr>
          <w:sz w:val="20"/>
          <w:szCs w:val="20"/>
          <w:color w:val="auto"/>
        </w:rPr>
      </w:pPr>
    </w:p>
    <w:p>
      <w:pPr>
        <w:jc w:val="both"/>
        <w:ind w:left="1700"/>
        <w:spacing w:after="0"/>
        <w:tabs>
          <w:tab w:leader="none" w:pos="3140" w:val="left"/>
          <w:tab w:leader="none" w:pos="4000" w:val="left"/>
          <w:tab w:leader="none" w:pos="4540" w:val="left"/>
        </w:tabs>
        <w:rPr>
          <w:sz w:val="20"/>
          <w:szCs w:val="20"/>
          <w:color w:val="auto"/>
        </w:rPr>
      </w:pPr>
      <w:r>
        <w:rPr>
          <w:rFonts w:ascii="Times New Roman" w:cs="Times New Roman" w:eastAsia="Times New Roman" w:hAnsi="Times New Roman"/>
          <w:sz w:val="14"/>
          <w:szCs w:val="14"/>
          <w:color w:val="auto"/>
        </w:rPr>
        <w:t>Merchandise,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40.0%</w:t>
      </w:r>
    </w:p>
    <w:p>
      <w:pPr>
        <w:ind w:left="1700"/>
        <w:spacing w:after="0" w:line="226" w:lineRule="auto"/>
        <w:rPr>
          <w:sz w:val="20"/>
          <w:szCs w:val="20"/>
          <w:color w:val="auto"/>
        </w:rPr>
      </w:pPr>
      <w:r>
        <w:rPr>
          <w:rFonts w:ascii="Times New Roman" w:cs="Times New Roman" w:eastAsia="Times New Roman" w:hAnsi="Times New Roman"/>
          <w:sz w:val="14"/>
          <w:szCs w:val="14"/>
          <w:color w:val="auto"/>
        </w:rPr>
        <w:t>Planning and</w:t>
      </w:r>
    </w:p>
    <w:p>
      <w:pPr>
        <w:ind w:left="1700"/>
        <w:spacing w:after="0"/>
        <w:rPr>
          <w:sz w:val="20"/>
          <w:szCs w:val="20"/>
          <w:color w:val="auto"/>
        </w:rPr>
      </w:pPr>
      <w:r>
        <w:rPr>
          <w:rFonts w:ascii="Times New Roman" w:cs="Times New Roman" w:eastAsia="Times New Roman" w:hAnsi="Times New Roman"/>
          <w:sz w:val="14"/>
          <w:szCs w:val="14"/>
          <w:color w:val="auto"/>
        </w:rPr>
        <w:t>Allocation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Includes payroll as a percentage of</w:t>
            </w: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target, store net promoter</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score target and store conversion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target.</w:t>
            </w:r>
          </w:p>
        </w:tc>
        <w:tc>
          <w:tcPr>
            <w:tcW w:w="8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Includes sales by category, gross</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margin by category, inventory turn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and store conversion target.</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4920" w:space="160"/>
            <w:col w:w="5420"/>
          </w:cols>
          <w:pgMar w:left="1060" w:top="9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TIER II - Company’s Financial Performance Measured Against the Company's 2025 Peers (1)</w:t>
      </w:r>
    </w:p>
    <w:p>
      <w:pPr>
        <w:sectPr>
          <w:pgSz w:w="11900" w:h="16838" w:orient="portrait"/>
          <w:cols w:equalWidth="0" w:num="1">
            <w:col w:w="10500"/>
          </w:cols>
          <w:pgMar w:left="1060" w:top="966" w:right="339" w:bottom="1440" w:gutter="0" w:footer="0" w:header="0"/>
          <w:type w:val="continuous"/>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1</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8"/>
        </w:trPr>
        <w:tc>
          <w:tcPr>
            <w:tcW w:w="148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(4)</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2</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48"/>
        </w:trPr>
        <w:tc>
          <w:tcPr>
            <w:tcW w:w="1480" w:type="dxa"/>
            <w:vAlign w:val="bottom"/>
          </w:tcPr>
          <w:p>
            <w:pPr>
              <w:spacing w:after="0"/>
              <w:rPr>
                <w:sz w:val="12"/>
                <w:szCs w:val="12"/>
                <w:color w:val="auto"/>
              </w:rPr>
            </w:pPr>
          </w:p>
        </w:tc>
        <w:tc>
          <w:tcPr>
            <w:tcW w:w="1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EBITDA Margin</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88"/>
        </w:trPr>
        <w:tc>
          <w:tcPr>
            <w:tcW w:w="148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-575945</wp:posOffset>
            </wp:positionV>
            <wp:extent cx="619760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9760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Top Quartile 100%; 2nd Quartile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Top</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4th</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 Quartile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 payout.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3rd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Top Quartile 100%; 2nd Quartile</w:t>
            </w: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 Quartile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no payout.</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2">
            <w:col w:w="4920" w:space="160"/>
            <w:col w:w="5420"/>
          </w:cols>
          <w:pgMar w:left="1060" w:top="966"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vMerge w:val="restart"/>
          </w:tcPr>
          <w:p>
            <w:pPr>
              <w:spacing w:after="0"/>
              <w:rPr>
                <w:sz w:val="12"/>
                <w:szCs w:val="12"/>
                <w:color w:val="auto"/>
              </w:rPr>
            </w:pPr>
          </w:p>
        </w:tc>
        <w:tc>
          <w:tcPr>
            <w:tcW w:w="2240" w:type="dxa"/>
            <w:vAlign w:val="bottom"/>
            <w:gridSpan w:val="2"/>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9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INDIVIDUAL PERFORMANCE (6)</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9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40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Individual Targets</w:t>
            </w:r>
          </w:p>
        </w:tc>
        <w:tc>
          <w:tcPr>
            <w:tcW w:w="136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Discretionary-</w:t>
            </w:r>
          </w:p>
        </w:tc>
        <w:tc>
          <w:tcPr>
            <w:tcW w:w="84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2980" w:type="dxa"/>
            <w:vAlign w:val="bottom"/>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20.0%  Discretionary, at target, based upon</w:t>
            </w:r>
          </w:p>
        </w:tc>
        <w:tc>
          <w:tcPr>
            <w:tcW w:w="74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860" w:type="dxa"/>
            <w:vAlign w:val="bottom"/>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Varied by</w:t>
            </w:r>
          </w:p>
        </w:tc>
        <w:tc>
          <w:tcPr>
            <w:tcW w:w="800" w:type="dxa"/>
            <w:vAlign w:val="bottom"/>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20.0% to</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Personal Goals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individual performance, as</w:t>
            </w:r>
          </w:p>
        </w:tc>
        <w:tc>
          <w:tcPr>
            <w:tcW w:w="740" w:type="dxa"/>
            <w:vAlign w:val="bottom"/>
          </w:tcPr>
          <w:p>
            <w:pPr>
              <w:spacing w:after="0"/>
              <w:rPr>
                <w:sz w:val="14"/>
                <w:szCs w:val="14"/>
                <w:color w:val="auto"/>
              </w:rPr>
            </w:pPr>
          </w:p>
        </w:tc>
        <w:tc>
          <w:tcPr>
            <w:tcW w:w="8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NEO</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-278130</wp:posOffset>
            </wp:positionV>
            <wp:extent cx="6197600" cy="132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7600" cy="1320165"/>
                    </a:xfrm>
                    <a:prstGeom prst="rect">
                      <a:avLst/>
                    </a:prstGeom>
                    <a:noFill/>
                  </pic:spPr>
                </pic:pic>
              </a:graphicData>
            </a:graphic>
          </wp:anchor>
        </w:drawing>
      </w:r>
    </w:p>
    <w:p>
      <w:pPr>
        <w:ind w:left="5080"/>
        <w:spacing w:after="0" w:line="221" w:lineRule="auto"/>
        <w:rPr>
          <w:sz w:val="20"/>
          <w:szCs w:val="20"/>
          <w:color w:val="auto"/>
        </w:rPr>
      </w:pPr>
      <w:r>
        <w:rPr>
          <w:rFonts w:ascii="Times New Roman" w:cs="Times New Roman" w:eastAsia="Times New Roman" w:hAnsi="Times New Roman"/>
          <w:sz w:val="14"/>
          <w:szCs w:val="14"/>
          <w:color w:val="auto"/>
        </w:rPr>
        <w:t>evaluated by the Chief Executive</w:t>
      </w:r>
    </w:p>
    <w:p>
      <w:pPr>
        <w:ind w:left="5080"/>
        <w:spacing w:after="0" w:line="221" w:lineRule="auto"/>
        <w:rPr>
          <w:sz w:val="20"/>
          <w:szCs w:val="20"/>
          <w:color w:val="auto"/>
        </w:rPr>
      </w:pPr>
      <w:r>
        <w:rPr>
          <w:rFonts w:ascii="Times New Roman" w:cs="Times New Roman" w:eastAsia="Times New Roman" w:hAnsi="Times New Roman"/>
          <w:sz w:val="14"/>
          <w:szCs w:val="14"/>
          <w:color w:val="auto"/>
        </w:rPr>
        <w:t>Officer (except with respect to the</w:t>
      </w:r>
    </w:p>
    <w:p>
      <w:pPr>
        <w:ind w:left="5080"/>
        <w:spacing w:after="0" w:line="222" w:lineRule="auto"/>
        <w:rPr>
          <w:sz w:val="20"/>
          <w:szCs w:val="20"/>
          <w:color w:val="auto"/>
        </w:rPr>
      </w:pPr>
      <w:r>
        <w:rPr>
          <w:rFonts w:ascii="Times New Roman" w:cs="Times New Roman" w:eastAsia="Times New Roman" w:hAnsi="Times New Roman"/>
          <w:sz w:val="14"/>
          <w:szCs w:val="14"/>
          <w:color w:val="auto"/>
        </w:rPr>
        <w:t>Chief Executive Officer, whose</w:t>
      </w:r>
    </w:p>
    <w:p>
      <w:pPr>
        <w:ind w:left="5080"/>
        <w:spacing w:after="0" w:line="221" w:lineRule="auto"/>
        <w:rPr>
          <w:sz w:val="20"/>
          <w:szCs w:val="20"/>
          <w:color w:val="auto"/>
        </w:rPr>
      </w:pPr>
      <w:r>
        <w:rPr>
          <w:rFonts w:ascii="Times New Roman" w:cs="Times New Roman" w:eastAsia="Times New Roman" w:hAnsi="Times New Roman"/>
          <w:sz w:val="14"/>
          <w:szCs w:val="14"/>
          <w:color w:val="auto"/>
        </w:rPr>
        <w:t>individual performance was</w:t>
      </w:r>
    </w:p>
    <w:p>
      <w:pPr>
        <w:ind w:left="5080"/>
        <w:spacing w:after="0" w:line="221" w:lineRule="auto"/>
        <w:rPr>
          <w:sz w:val="20"/>
          <w:szCs w:val="20"/>
          <w:color w:val="auto"/>
        </w:rPr>
      </w:pPr>
      <w:r>
        <w:rPr>
          <w:rFonts w:ascii="Times New Roman" w:cs="Times New Roman" w:eastAsia="Times New Roman" w:hAnsi="Times New Roman"/>
          <w:sz w:val="14"/>
          <w:szCs w:val="14"/>
          <w:color w:val="auto"/>
        </w:rPr>
        <w:t>evaluated by the Compensation</w:t>
      </w:r>
    </w:p>
    <w:p>
      <w:pPr>
        <w:ind w:left="5080"/>
        <w:spacing w:after="0" w:line="222" w:lineRule="auto"/>
        <w:rPr>
          <w:sz w:val="20"/>
          <w:szCs w:val="20"/>
          <w:color w:val="auto"/>
        </w:rPr>
      </w:pPr>
      <w:r>
        <w:rPr>
          <w:rFonts w:ascii="Times New Roman" w:cs="Times New Roman" w:eastAsia="Times New Roman" w:hAnsi="Times New Roman"/>
          <w:sz w:val="14"/>
          <w:szCs w:val="14"/>
          <w:color w:val="auto"/>
        </w:rPr>
        <w:t>Committee). Participants were</w:t>
      </w:r>
    </w:p>
    <w:p>
      <w:pPr>
        <w:ind w:left="50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080"/>
        <w:spacing w:after="0" w:line="222" w:lineRule="auto"/>
        <w:rPr>
          <w:sz w:val="20"/>
          <w:szCs w:val="20"/>
          <w:color w:val="auto"/>
        </w:rPr>
      </w:pPr>
      <w:r>
        <w:rPr>
          <w:rFonts w:ascii="Times New Roman" w:cs="Times New Roman" w:eastAsia="Times New Roman" w:hAnsi="Times New Roman"/>
          <w:sz w:val="14"/>
          <w:szCs w:val="14"/>
          <w:color w:val="auto"/>
        </w:rPr>
        <w:t>award up to 30%, with the</w:t>
      </w:r>
    </w:p>
    <w:p>
      <w:pPr>
        <w:ind w:left="5080"/>
        <w:spacing w:after="0" w:line="221" w:lineRule="auto"/>
        <w:rPr>
          <w:sz w:val="20"/>
          <w:szCs w:val="20"/>
          <w:color w:val="auto"/>
        </w:rPr>
      </w:pPr>
      <w:r>
        <w:rPr>
          <w:rFonts w:ascii="Times New Roman" w:cs="Times New Roman" w:eastAsia="Times New Roman" w:hAnsi="Times New Roman"/>
          <w:sz w:val="14"/>
          <w:szCs w:val="14"/>
          <w:color w:val="auto"/>
        </w:rPr>
        <w:t>exception of Mr. Kanter who was</w:t>
      </w:r>
    </w:p>
    <w:p>
      <w:pPr>
        <w:ind w:left="50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award up to 40%.</w:t>
      </w:r>
    </w:p>
    <w:p>
      <w:pPr>
        <w:spacing w:after="0" w:line="200" w:lineRule="exact"/>
        <w:rPr>
          <w:sz w:val="20"/>
          <w:szCs w:val="20"/>
          <w:color w:val="auto"/>
        </w:rPr>
      </w:pPr>
    </w:p>
    <w:p>
      <w:pPr>
        <w:spacing w:after="0" w:line="204" w:lineRule="exact"/>
        <w:rPr>
          <w:sz w:val="20"/>
          <w:szCs w:val="20"/>
          <w:color w:val="auto"/>
        </w:rPr>
      </w:pPr>
    </w:p>
    <w:p>
      <w:pPr>
        <w:ind w:left="1040" w:hanging="368"/>
        <w:spacing w:after="0" w:line="261" w:lineRule="auto"/>
        <w:tabs>
          <w:tab w:leader="none" w:pos="1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achieve the Corporate Metrics under TIER I. Under TIER II, the Company did not achieve the Comparable Sales metric but achieved the Adjusted EBITDA Margin metric at threshold.</w:t>
      </w:r>
    </w:p>
    <w:p>
      <w:pPr>
        <w:spacing w:after="0" w:line="162" w:lineRule="exact"/>
        <w:rPr>
          <w:rFonts w:ascii="Times New Roman" w:cs="Times New Roman" w:eastAsia="Times New Roman" w:hAnsi="Times New Roman"/>
          <w:sz w:val="14"/>
          <w:szCs w:val="14"/>
          <w:color w:val="auto"/>
        </w:rPr>
      </w:pPr>
    </w:p>
    <w:p>
      <w:pPr>
        <w:ind w:left="1040" w:hanging="368"/>
        <w:spacing w:after="0" w:line="239" w:lineRule="auto"/>
        <w:tabs>
          <w:tab w:leader="none" w:pos="1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as earnings before interest, taxes, depreciation and amortization and before any impairment of assets and transaction-related costs associated with the pending merger. Adjusted EBITDA Margin was then calculated by dividing Adjusted EBITDA by total sales as reported.</w:t>
      </w:r>
    </w:p>
    <w:p>
      <w:pPr>
        <w:spacing w:after="0" w:line="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966" w:right="339" w:bottom="1440" w:gutter="0" w:footer="0" w:header="0"/>
          <w:type w:val="continuous"/>
        </w:sectPr>
      </w:pPr>
    </w:p>
    <w:bookmarkStart w:id="13" w:name="page14"/>
    <w:bookmarkEnd w:id="13"/>
    <w:p>
      <w:pPr>
        <w:jc w:val="both"/>
        <w:ind w:left="1780" w:hanging="368"/>
        <w:spacing w:after="0" w:line="25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for store net promoter score for fiscal 2025 was 81 and the actual net promoter score achieved was 84 for fiscal 2025, or 150% of target. The Company does not publicly disclose its store conversion rates, payroll as a percentage of sales, sales by category or gross margin by category. Any discussion of metrics is limited to the percentage and/or dollar increase or decrease over a comparable period. Store conversion achieved 75% of target. If there had not been an award under TIER II, Mr. Gaeta and Ms. Surette would have been entitled to an award payout under certain of these TIER I metrics. The Company failed to meet the minimum threshold for payroll as a percentage of sales, inventory turn, sales by category and gross margin by category.</w:t>
      </w:r>
    </w:p>
    <w:p>
      <w:pPr>
        <w:spacing w:after="0" w:line="184" w:lineRule="exact"/>
        <w:rPr>
          <w:rFonts w:ascii="Times New Roman" w:cs="Times New Roman" w:eastAsia="Times New Roman" w:hAnsi="Times New Roman"/>
          <w:sz w:val="14"/>
          <w:szCs w:val="14"/>
          <w:color w:val="auto"/>
        </w:rPr>
      </w:pPr>
    </w:p>
    <w:p>
      <w:pPr>
        <w:jc w:val="both"/>
        <w:ind w:left="1780" w:hanging="368"/>
        <w:spacing w:after="0" w:line="24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peer has its own calculation for comparable sales as it relates to treatment of new stores, remodeled stores or closed stores. For purposes of this metric, however, the Company relied on each peer's reported comparable sales results. For the few peers that do not report comparable sales, the Company used total sales and considered store openings/closings.</w:t>
      </w:r>
    </w:p>
    <w:p>
      <w:pPr>
        <w:spacing w:after="0" w:line="176" w:lineRule="exact"/>
        <w:rPr>
          <w:rFonts w:ascii="Times New Roman" w:cs="Times New Roman" w:eastAsia="Times New Roman" w:hAnsi="Times New Roman"/>
          <w:sz w:val="14"/>
          <w:szCs w:val="14"/>
          <w:color w:val="auto"/>
        </w:rPr>
      </w:pPr>
    </w:p>
    <w:p>
      <w:pPr>
        <w:jc w:val="both"/>
        <w:ind w:left="1780" w:hanging="368"/>
        <w:spacing w:after="0" w:line="24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transaction-related costs. Adjusted EBITDA Margin was then calculated by dividing Adjusted EBITDA by total sales as reported.</w:t>
      </w:r>
    </w:p>
    <w:p>
      <w:pPr>
        <w:spacing w:after="0" w:line="176" w:lineRule="exact"/>
        <w:rPr>
          <w:rFonts w:ascii="Times New Roman" w:cs="Times New Roman" w:eastAsia="Times New Roman" w:hAnsi="Times New Roman"/>
          <w:sz w:val="14"/>
          <w:szCs w:val="14"/>
          <w:color w:val="auto"/>
        </w:rPr>
      </w:pPr>
    </w:p>
    <w:p>
      <w:pPr>
        <w:jc w:val="both"/>
        <w:ind w:left="1780" w:hanging="368"/>
        <w:spacing w:after="0" w:line="227"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Gaeta and Molloy and Ms. Surette, which are approved by the Chief Executive Officer, consisted of a combination of quantifiable goals specific to their respective corporate function. Mr. Gaeta’s personal goals were directly tied to the Company's stores achieving their metrics, as well as team development. Mr. Molloy’s personal goals were tied to ensuring strong corporate governance, legal and ethical compliance, and legal support and guidance throughout the organization. Ms. Surette’s personal goals were strategic and tied to inventory management to maximize sales and gross margin growth, new business initiatives, brand awareness and team development. The personal goals for our Chief Financial Officer were quantifiable and were tied directly to the Company's performance, as well as team development and professional development of staff. Our Chief Executive Officer’s personal goals were tied to the Company's current performance and strategic initiatives under the Company’s long-term strategic plan.</w:t>
      </w:r>
    </w:p>
    <w:p>
      <w:pPr>
        <w:spacing w:after="0" w:line="186" w:lineRule="exact"/>
        <w:rPr>
          <w:sz w:val="20"/>
          <w:szCs w:val="20"/>
          <w:color w:val="auto"/>
        </w:rPr>
      </w:pPr>
    </w:p>
    <w:p>
      <w:pPr>
        <w:jc w:val="both"/>
        <w:ind w:left="780"/>
        <w:spacing w:after="0" w:line="282" w:lineRule="auto"/>
        <w:rPr>
          <w:sz w:val="20"/>
          <w:szCs w:val="20"/>
          <w:color w:val="auto"/>
        </w:rPr>
      </w:pPr>
      <w:r>
        <w:rPr>
          <w:rFonts w:ascii="Times New Roman" w:cs="Times New Roman" w:eastAsia="Times New Roman" w:hAnsi="Times New Roman"/>
          <w:sz w:val="18"/>
          <w:szCs w:val="18"/>
          <w:color w:val="auto"/>
        </w:rPr>
        <w:t>As a result of achieving the performance metric for Adjusted EBITDA margin at threshold, together with each NEO's individual performance target, in March 2026, the Compensation Committee approved cash bonus payouts to our NEOs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28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tcPr>
          <w:p>
            <w:pPr>
              <w:spacing w:after="0"/>
              <w:rPr>
                <w:sz w:val="11"/>
                <w:szCs w:val="11"/>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2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21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283,776</w:t>
            </w: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2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198,790</w:t>
            </w: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193,125</w:t>
            </w:r>
          </w:p>
        </w:tc>
        <w:tc>
          <w:tcPr>
            <w:tcW w:w="2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2026 AIP</w:t>
      </w:r>
    </w:p>
    <w:p>
      <w:pPr>
        <w:spacing w:after="0" w:line="117"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On March 16, 2026, the Compensation Committee established the financial, operating and performance metrics for the 2026 AIP. Over the past two years, our financial performance has been directly impacted by the continued uncertainty surrounding the U.S. economy and reduced consumer discretionary spending, particularly within the big + tall sector. The financial plan and the established metrics for fiscal 2026 reflect the current environment. Unlike the 2025 AIP, the threshold, or 50% potential payout, is based on achievement of the 2026 financial plan. Accordingly, in order to achieve 100% payout at target or 150% payout (200% for Mr. Kanter) at maximum, actual performance must exceed the 2026 financial plan. The Compensation Committee also eliminated the Tier II metric which measured the Company’s performance against its peers.</w:t>
      </w:r>
    </w:p>
    <w:p>
      <w:pPr>
        <w:spacing w:after="0" w:line="8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performance metrics are structured in the same manner as the Tier I of the 2025 AIP and consist of corporate targets for Sales and Adjusted EBITDA with departmental targets for Store Operations, Marketing &amp; Digital, and Merchandise/Planning and Allocation. The Company’s financial performance metrics account for 80% of the potential award for Messrs. Kanter, Stratton and Molloy and 40% of the potential award for Mr. Gaeta and Ms. Surette. Mr. Gaeta’s performance metrics include specific store operations and FiTMAP targets, and Ms. Surette's performance metrics include specific merchandise, planning and allocation and account for 40% of their respective targets.</w:t>
      </w:r>
    </w:p>
    <w:p>
      <w:pPr>
        <w:spacing w:after="0" w:line="7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Individual performance targets consisting of discretionary personal goals account for the remaining 20% of the potential award for each of the Named Executive Officers. Mr. Kanter has the potential to earn up to 200% of his individual target, and Messrs. Stratton, Gaeta and Molloy and Ms. Surette have the potential to earn up to 150% of their individual targets.</w:t>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2026 AIP performance metrics approved by the Compensation Committee are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940" w:type="dxa"/>
            <w:vAlign w:val="bottom"/>
            <w:gridSpan w:val="3"/>
            <w:vMerge w:val="continue"/>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Mr. Gaeta</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2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4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to Metric for</w:t>
            </w:r>
          </w:p>
        </w:tc>
        <w:tc>
          <w:tcPr>
            <w:tcW w:w="1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Ms. Surette</w:t>
            </w:r>
          </w:p>
        </w:tc>
        <w:tc>
          <w:tcPr>
            <w:tcW w:w="940" w:type="dxa"/>
            <w:vAlign w:val="bottom"/>
            <w:gridSpan w:val="3"/>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160" w:type="dxa"/>
            <w:vAlign w:val="bottom"/>
          </w:tcPr>
          <w:p>
            <w:pPr>
              <w:spacing w:after="0"/>
              <w:rPr>
                <w:sz w:val="13"/>
                <w:szCs w:val="13"/>
                <w:color w:val="auto"/>
              </w:rPr>
            </w:pPr>
          </w:p>
        </w:tc>
        <w:tc>
          <w:tcPr>
            <w:tcW w:w="7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Ms. Surette</w:t>
            </w:r>
          </w:p>
        </w:tc>
        <w:tc>
          <w:tcPr>
            <w:tcW w:w="940" w:type="dxa"/>
            <w:vAlign w:val="bottom"/>
          </w:tcPr>
          <w:p>
            <w:pPr>
              <w:spacing w:after="0"/>
              <w:rPr>
                <w:sz w:val="13"/>
                <w:szCs w:val="13"/>
                <w:color w:val="auto"/>
              </w:rPr>
            </w:pPr>
          </w:p>
        </w:tc>
        <w:tc>
          <w:tcPr>
            <w:tcW w:w="1940" w:type="dxa"/>
            <w:vAlign w:val="bottom"/>
            <w:gridSpan w:val="2"/>
          </w:tcPr>
          <w:p>
            <w:pPr>
              <w:jc w:val="center"/>
              <w:ind w:right="92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Company's Financial Performance</w:t>
            </w:r>
          </w:p>
        </w:tc>
        <w:tc>
          <w:tcPr>
            <w:tcW w:w="44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420" w:type="dxa"/>
            <w:vAlign w:val="bottom"/>
            <w:tcBorders>
              <w:top w:val="single" w:sz="8" w:color="CFF0FC"/>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70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560" w:type="dxa"/>
            <w:vAlign w:val="bottom"/>
            <w:gridSpan w:val="2"/>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180" w:type="dxa"/>
            <w:vAlign w:val="bottom"/>
            <w:gridSpan w:val="3"/>
            <w:shd w:val="clear" w:color="auto" w:fill="CFF0FC"/>
          </w:tcPr>
          <w:p>
            <w:pPr>
              <w:ind w:left="12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940" w:type="dxa"/>
            <w:vAlign w:val="bottom"/>
            <w:gridSpan w:val="2"/>
            <w:shd w:val="clear" w:color="auto" w:fill="CFF0FC"/>
          </w:tcPr>
          <w:p>
            <w:pPr>
              <w:jc w:val="center"/>
              <w:ind w:left="16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center"/>
              <w:ind w:left="2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80" w:type="dxa"/>
            <w:vAlign w:val="bottom"/>
            <w:shd w:val="clear" w:color="auto" w:fill="CFF0FC"/>
          </w:tcPr>
          <w:p>
            <w:pPr>
              <w:spacing w:after="0"/>
              <w:rPr>
                <w:sz w:val="10"/>
                <w:szCs w:val="10"/>
                <w:color w:val="auto"/>
              </w:rPr>
            </w:pPr>
          </w:p>
        </w:tc>
        <w:tc>
          <w:tcPr>
            <w:tcW w:w="2880" w:type="dxa"/>
            <w:vAlign w:val="bottom"/>
            <w:gridSpan w:val="3"/>
            <w:shd w:val="clear" w:color="auto" w:fill="CFF0FC"/>
          </w:tcPr>
          <w:p>
            <w:pPr>
              <w:ind w:left="20"/>
              <w:spacing w:after="0" w:line="124" w:lineRule="exact"/>
              <w:rPr>
                <w:sz w:val="20"/>
                <w:szCs w:val="20"/>
                <w:color w:val="auto"/>
              </w:rPr>
            </w:pPr>
            <w:r>
              <w:rPr>
                <w:rFonts w:ascii="Times New Roman" w:cs="Times New Roman" w:eastAsia="Times New Roman" w:hAnsi="Times New Roman"/>
                <w:sz w:val="14"/>
                <w:szCs w:val="14"/>
                <w:color w:val="auto"/>
              </w:rPr>
              <w:t>Threshold: 50% payout if the financial plan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Target 1</w:t>
            </w: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achieved.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Target: 100% payout at 103.4% of the financial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Maximum:  150%  payout  at  106.8%  of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plan, with the exception of Mr. Kanter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who is eligible for a maximum payout of 200%,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if achieved.</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180" w:type="dxa"/>
            <w:vAlign w:val="bottom"/>
            <w:gridSpan w:val="3"/>
          </w:tcPr>
          <w:p>
            <w:pPr>
              <w:ind w:left="12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940" w:type="dxa"/>
            <w:vAlign w:val="bottom"/>
            <w:gridSpan w:val="2"/>
          </w:tcPr>
          <w:p>
            <w:pPr>
              <w:jc w:val="center"/>
              <w:ind w:left="16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0"/>
                <w:szCs w:val="10"/>
                <w:color w:val="auto"/>
              </w:rPr>
            </w:pPr>
          </w:p>
        </w:tc>
        <w:tc>
          <w:tcPr>
            <w:tcW w:w="820" w:type="dxa"/>
            <w:vAlign w:val="bottom"/>
            <w:gridSpan w:val="2"/>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0"/>
                <w:szCs w:val="10"/>
                <w:color w:val="auto"/>
              </w:rPr>
            </w:pPr>
          </w:p>
        </w:tc>
        <w:tc>
          <w:tcPr>
            <w:tcW w:w="860" w:type="dxa"/>
            <w:vAlign w:val="bottom"/>
            <w:gridSpan w:val="2"/>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0"/>
                <w:szCs w:val="10"/>
                <w:color w:val="auto"/>
              </w:rPr>
            </w:pPr>
          </w:p>
        </w:tc>
        <w:tc>
          <w:tcPr>
            <w:tcW w:w="28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color w:val="auto"/>
              </w:rPr>
              <w:t>Threshold: 50% payout if financial plan</w:t>
            </w:r>
          </w:p>
        </w:tc>
        <w:tc>
          <w:tcPr>
            <w:tcW w:w="0" w:type="dxa"/>
            <w:vAlign w:val="bottom"/>
          </w:tcPr>
          <w:p>
            <w:pPr>
              <w:spacing w:after="0"/>
              <w:rPr>
                <w:sz w:val="1"/>
                <w:szCs w:val="1"/>
                <w:color w:val="auto"/>
              </w:rPr>
            </w:pPr>
          </w:p>
        </w:tc>
      </w:tr>
      <w:tr>
        <w:trPr>
          <w:trHeight w:val="190"/>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Target 2</w:t>
            </w: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EBITDA ($)</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achieved.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Target: 100% payout if Adjusted EBITDA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exceeds financial plan by $4.1 million.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Maximum: 150% payout if Adjusted EBITDA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exceeds financial plan by $8.2 million, with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exception of Mr. Kanter who is eligible for 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maximum payout of 200% if achieved.</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180" w:type="dxa"/>
            <w:vAlign w:val="bottom"/>
            <w:gridSpan w:val="3"/>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Store Operations</w:t>
            </w:r>
          </w:p>
        </w:tc>
        <w:tc>
          <w:tcPr>
            <w:tcW w:w="940" w:type="dxa"/>
            <w:vAlign w:val="bottom"/>
            <w:gridSpan w:val="2"/>
            <w:shd w:val="clear" w:color="auto" w:fill="CFF0FC"/>
          </w:tcPr>
          <w:p>
            <w:pPr>
              <w:jc w:val="center"/>
              <w:ind w:left="16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2880" w:type="dxa"/>
            <w:vAlign w:val="bottom"/>
            <w:gridSpan w:val="3"/>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Merchandising,</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99"/>
              </w:rPr>
              <w:t>40.0%</w:t>
            </w: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Includes targets for sales by category, 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Planning and</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margin rate by category, inventory turn and store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Allocation</w:t>
            </w: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conversion rate.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FiTMAP</w:t>
            </w:r>
          </w:p>
        </w:tc>
        <w:tc>
          <w:tcPr>
            <w:tcW w:w="94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Includes scan penetration and store comp sales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lift.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Departmental goals payouts range from 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(which is based off of the financial plan)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150%, dependent upon achievement of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various targets.</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Individual Targets</w:t>
            </w:r>
          </w:p>
        </w:tc>
        <w:tc>
          <w:tcPr>
            <w:tcW w:w="11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Discretionary-</w:t>
            </w:r>
          </w:p>
        </w:tc>
        <w:tc>
          <w:tcPr>
            <w:tcW w:w="940" w:type="dxa"/>
            <w:vAlign w:val="bottom"/>
            <w:gridSpan w:val="2"/>
          </w:tcPr>
          <w:p>
            <w:pPr>
              <w:jc w:val="center"/>
              <w:ind w:left="16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tcPr>
          <w:p>
            <w:pPr>
              <w:spacing w:after="0"/>
              <w:rPr>
                <w:sz w:val="10"/>
                <w:szCs w:val="10"/>
                <w:color w:val="auto"/>
              </w:rPr>
            </w:pPr>
          </w:p>
        </w:tc>
        <w:tc>
          <w:tcPr>
            <w:tcW w:w="820" w:type="dxa"/>
            <w:vAlign w:val="bottom"/>
            <w:gridSpan w:val="2"/>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0"/>
                <w:szCs w:val="10"/>
                <w:color w:val="auto"/>
              </w:rPr>
            </w:pPr>
          </w:p>
        </w:tc>
        <w:tc>
          <w:tcPr>
            <w:tcW w:w="860" w:type="dxa"/>
            <w:vAlign w:val="bottom"/>
            <w:gridSpan w:val="2"/>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0"/>
                <w:szCs w:val="10"/>
                <w:color w:val="auto"/>
              </w:rPr>
            </w:pPr>
          </w:p>
        </w:tc>
        <w:tc>
          <w:tcPr>
            <w:tcW w:w="28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Chief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Executive Officer (except with respect to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Chief Executive Officer, whose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30%, with the exception of Mr. Kanter who 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w:t>
            </w: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targets were derived from the Company’s annual operating plan and budget for the 2026 fiscal year. If the 2026 operating plan and budget is achieved, the payout would be 50% of target. In order for a participant to receive 100% of target or more, the Company must exceed its financial plan for fiscal 2026. The metrics at threshold are intended to be achievable, with an approximate 50% probability of achievement. The likelihood of achieving a payout equal to or greater than 100% reflects the challenges given the continuing uncertainty with respect to the economy, higher costs, and consumer discretionary spending.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fiscal 2026, Mr. Kanter will continue to participate at 100% of his salary, Mr. Stratton will continue to participate at 60% of his salary, and Messrs. Gaeta and Molloy and Ms. Surette will continue to participate at 50% of their respective salaries.</w:t>
      </w:r>
    </w:p>
    <w:p>
      <w:pPr>
        <w:spacing w:after="0" w:line="1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966" w:right="339" w:bottom="1440" w:gutter="0" w:footer="0" w:header="0"/>
        </w:sectPr>
      </w:pPr>
    </w:p>
    <w:bookmarkStart w:id="15" w:name="page16"/>
    <w:bookmarkEnd w:id="15"/>
    <w:p>
      <w:pPr>
        <w:ind w:left="780" w:hanging="26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w:t>
      </w:r>
    </w:p>
    <w:p>
      <w:pPr>
        <w:spacing w:after="0" w:line="227"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LTIPs are designed to ensure that the interests of our executives are aligned with those of our stockholders to create sustainable shareholder value and to promote executive retention. Awards under each LTIP consist of a combination of time-based and performance-based awards for which payouts may consist of cash or equity or a combination of both. The performance-based portion of each LTIP is based on financial metric(s) measured over a three-year performance cycle. All equity awards granted under each LTIP are issued from the Company’s stockholder-approved 2016 Incentive Compensation Plan, as amended (the “2016 Plan”). Participants in the LTIPs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w:t>
      </w:r>
    </w:p>
    <w:p>
      <w:pPr>
        <w:spacing w:after="0" w:line="188" w:lineRule="exact"/>
        <w:rPr>
          <w:rFonts w:ascii="Times New Roman" w:cs="Times New Roman" w:eastAsia="Times New Roman" w:hAnsi="Times New Roman"/>
          <w:sz w:val="18"/>
          <w:szCs w:val="18"/>
          <w:color w:val="auto"/>
        </w:rPr>
      </w:pPr>
    </w:p>
    <w:p>
      <w:pPr>
        <w:jc w:val="both"/>
        <w:ind w:left="7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beginning with the 2022-2024 LTIP, 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(i) the participant must terminate employment after meeting the age and service requirements set forth in the LTIP, (ii) the Compensation Committee must confirm through proper corporate action that the participant has met all of the succession planning objectives set by the Compensation Committee for the participant, (iii) the participant must continue to work until the date required by the Compensation Committee (which may not be more than 60 days after the Compensation Committee confirms that the objectives have been met), and (iv) the participant must execute a release of claims in favor of the Company. The final determination as to whether the requirements of a Structured Retirement have been met is in the sole discretion of the Compensation Committee.</w:t>
      </w:r>
    </w:p>
    <w:p>
      <w:pPr>
        <w:spacing w:after="0" w:line="18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2023-2025 LTIP</w:t>
      </w:r>
    </w:p>
    <w:p>
      <w:pPr>
        <w:spacing w:after="0" w:line="227"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Company’s 2023-2025 LTIP ended on January 31, 2026. The time-based awards under the 2023-2025 LTIP were granted in a combination of 50% Restricted Stock Units ("RSUs") and 50% cash that vests over four years, with the last tranche vesting on April 1, 2027.</w:t>
      </w:r>
    </w:p>
    <w:p>
      <w:pPr>
        <w:spacing w:after="0" w:line="175" w:lineRule="exact"/>
        <w:rPr>
          <w:rFonts w:ascii="Times New Roman" w:cs="Times New Roman" w:eastAsia="Times New Roman" w:hAnsi="Times New Roman"/>
          <w:sz w:val="18"/>
          <w:szCs w:val="18"/>
          <w:color w:val="auto"/>
        </w:rPr>
      </w:pPr>
    </w:p>
    <w:p>
      <w:pPr>
        <w:ind w:left="7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target, which was established by the Compensation Committee on May 1, 2023, was a three-year relative total shareholder return (“TSR”) as compared to the Company’s 2023 peer group. Based on the Company’s 3-year relative TSR, as compared to the 3-year relative TSR of its 2023 peer group, the Company fell within the fourth quartile and, as a result, no performance award was earned for the 2023-2025 LTIP.</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2023-2025 Performance-Based Component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Metric</w:t>
            </w: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Potential Payout</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Target</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Actual</w:t>
            </w:r>
          </w:p>
        </w:tc>
        <w:tc>
          <w:tcPr>
            <w:tcW w:w="120" w:type="dxa"/>
            <w:vAlign w:val="bottom"/>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Payout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3 year relative TSR as compared to 2023 disclosed</w:t>
            </w:r>
          </w:p>
        </w:tc>
        <w:tc>
          <w:tcPr>
            <w:tcW w:w="4520" w:type="dxa"/>
            <w:vAlign w:val="bottom"/>
            <w:gridSpan w:val="4"/>
            <w:shd w:val="clear" w:color="auto" w:fill="CFF0FC"/>
          </w:tcPr>
          <w:p>
            <w:pPr>
              <w:ind w:left="100"/>
              <w:spacing w:after="0" w:line="155" w:lineRule="exact"/>
              <w:rPr>
                <w:sz w:val="20"/>
                <w:szCs w:val="20"/>
                <w:color w:val="auto"/>
              </w:rPr>
            </w:pPr>
            <w:r>
              <w:rPr>
                <w:rFonts w:ascii="Times New Roman" w:cs="Times New Roman" w:eastAsia="Times New Roman" w:hAnsi="Times New Roman"/>
                <w:sz w:val="16"/>
                <w:szCs w:val="16"/>
                <w:color w:val="auto"/>
              </w:rPr>
              <w:t>100% payout at target (2nd quartile), with 50% payout (3rd</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4th</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16"/>
                <w:szCs w:val="16"/>
                <w:color w:val="auto"/>
              </w:rPr>
              <w:t xml:space="preserve">proxy peers </w:t>
            </w:r>
            <w:r>
              <w:rPr>
                <w:rFonts w:ascii="Times New Roman" w:cs="Times New Roman" w:eastAsia="Times New Roman" w:hAnsi="Times New Roman"/>
                <w:sz w:val="21"/>
                <w:szCs w:val="21"/>
                <w:color w:val="auto"/>
                <w:vertAlign w:val="superscript"/>
              </w:rPr>
              <w:t>(1)</w:t>
            </w:r>
          </w:p>
        </w:tc>
        <w:tc>
          <w:tcPr>
            <w:tcW w:w="45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 and 150% payout (1st quartile). No payout in the 4th</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spacing w:after="0"/>
              <w:rPr>
                <w:sz w:val="20"/>
                <w:szCs w:val="20"/>
                <w:color w:val="auto"/>
              </w:rPr>
            </w:pPr>
          </w:p>
        </w:tc>
        <w:tc>
          <w:tcPr>
            <w:tcW w:w="45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2nd quartile</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quartile</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hanging="3"/>
        <w:spacing w:after="0" w:line="261" w:lineRule="auto"/>
        <w:tabs>
          <w:tab w:leader="none" w:pos="96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2023 disclosed proxy peers, the three-year relative TSR was calculated as the percentage change in the 30-day trailing volume-weighted average closing stock price at January 27, 2023 and January 30, 2026, adjusted for any dividends paid.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2024-2026 LTIP and 2025-2027 LTIP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2024-2026 LTIP and 2025-2027 LTIP in effect, but not completed, as of January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2024-2026</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7"/>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2025-2027</w:t>
            </w: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20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320" w:type="dxa"/>
            <w:vAlign w:val="bottom"/>
            <w:tcBorders>
              <w:top w:val="single" w:sz="8" w:color="auto"/>
            </w:tcBorders>
            <w:gridSpan w:val="6"/>
            <w:shd w:val="clear" w:color="auto" w:fill="CFF0FC"/>
          </w:tcPr>
          <w:p>
            <w:pPr>
              <w:jc w:val="center"/>
              <w:ind w:right="1440"/>
              <w:spacing w:after="0"/>
              <w:rPr>
                <w:sz w:val="20"/>
                <w:szCs w:val="20"/>
                <w:color w:val="auto"/>
              </w:rPr>
            </w:pPr>
            <w:r>
              <w:rPr>
                <w:rFonts w:ascii="Times New Roman" w:cs="Times New Roman" w:eastAsia="Times New Roman" w:hAnsi="Times New Roman"/>
                <w:sz w:val="16"/>
                <w:szCs w:val="16"/>
                <w:color w:val="auto"/>
              </w:rPr>
              <w:t>April 1, 2024</w:t>
            </w:r>
          </w:p>
        </w:tc>
        <w:tc>
          <w:tcPr>
            <w:tcW w:w="26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48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April 1, 2025</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jc w:val="center"/>
              <w:ind w:right="1440"/>
              <w:spacing w:after="0"/>
              <w:rPr>
                <w:sz w:val="20"/>
                <w:szCs w:val="20"/>
                <w:color w:val="auto"/>
              </w:rPr>
            </w:pPr>
            <w:r>
              <w:rPr>
                <w:rFonts w:ascii="Times New Roman" w:cs="Times New Roman" w:eastAsia="Times New Roman" w:hAnsi="Times New Roman"/>
                <w:sz w:val="16"/>
                <w:szCs w:val="16"/>
                <w:color w:val="auto"/>
              </w:rPr>
              <w:t>3 years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560" w:type="dxa"/>
            <w:vAlign w:val="bottom"/>
            <w:gridSpan w:val="8"/>
            <w:shd w:val="clear" w:color="auto" w:fill="CFF0FC"/>
          </w:tcPr>
          <w:p>
            <w:pPr>
              <w:jc w:val="center"/>
              <w:ind w:right="1200"/>
              <w:spacing w:after="0"/>
              <w:rPr>
                <w:sz w:val="20"/>
                <w:szCs w:val="20"/>
                <w:color w:val="auto"/>
              </w:rPr>
            </w:pPr>
            <w:r>
              <w:rPr>
                <w:rFonts w:ascii="Times New Roman" w:cs="Times New Roman" w:eastAsia="Times New Roman" w:hAnsi="Times New Roman"/>
                <w:sz w:val="16"/>
                <w:szCs w:val="16"/>
                <w:color w:val="auto"/>
              </w:rPr>
              <w:t>January 30, 2027</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40" w:type="dxa"/>
            <w:vAlign w:val="bottom"/>
            <w:gridSpan w:val="7"/>
            <w:shd w:val="clear" w:color="auto" w:fill="CFF0FC"/>
          </w:tcPr>
          <w:p>
            <w:pPr>
              <w:jc w:val="center"/>
              <w:ind w:right="1240"/>
              <w:spacing w:after="0"/>
              <w:rPr>
                <w:sz w:val="20"/>
                <w:szCs w:val="20"/>
                <w:color w:val="auto"/>
              </w:rPr>
            </w:pPr>
            <w:r>
              <w:rPr>
                <w:rFonts w:ascii="Times New Roman" w:cs="Times New Roman" w:eastAsia="Times New Roman" w:hAnsi="Times New Roman"/>
                <w:sz w:val="16"/>
                <w:szCs w:val="16"/>
                <w:color w:val="auto"/>
              </w:rPr>
              <w:t>January 29, 2028</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Target cash value</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9"/>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8"/>
          </w:tcPr>
          <w:p>
            <w:pPr>
              <w:jc w:val="center"/>
              <w:ind w:right="78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5"/>
          </w:tcPr>
          <w:p>
            <w:pPr>
              <w:jc w:val="center"/>
              <w:ind w:left="43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440" w:type="dxa"/>
            <w:vAlign w:val="bottom"/>
          </w:tcPr>
          <w:p>
            <w:pPr>
              <w:spacing w:after="0"/>
              <w:rPr>
                <w:sz w:val="15"/>
                <w:szCs w:val="15"/>
                <w:color w:val="auto"/>
              </w:rPr>
            </w:pPr>
          </w:p>
        </w:tc>
        <w:tc>
          <w:tcPr>
            <w:tcW w:w="18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260" w:type="dxa"/>
            <w:vAlign w:val="bottom"/>
          </w:tcPr>
          <w:p>
            <w:pPr>
              <w:spacing w:after="0"/>
              <w:rPr>
                <w:sz w:val="15"/>
                <w:szCs w:val="15"/>
                <w:color w:val="auto"/>
              </w:rPr>
            </w:pPr>
          </w:p>
        </w:tc>
        <w:tc>
          <w:tcPr>
            <w:tcW w:w="1900" w:type="dxa"/>
            <w:vAlign w:val="bottom"/>
            <w:gridSpan w:val="5"/>
          </w:tcPr>
          <w:p>
            <w:pPr>
              <w:jc w:val="center"/>
              <w:ind w:left="19"/>
              <w:spacing w:after="0" w:line="176" w:lineRule="exact"/>
              <w:rPr>
                <w:sz w:val="20"/>
                <w:szCs w:val="20"/>
                <w:color w:val="auto"/>
              </w:rPr>
            </w:pPr>
            <w:r>
              <w:rPr>
                <w:rFonts w:ascii="Times New Roman" w:cs="Times New Roman" w:eastAsia="Times New Roman" w:hAnsi="Times New Roman"/>
                <w:sz w:val="16"/>
                <w:szCs w:val="16"/>
                <w:color w:val="auto"/>
              </w:rPr>
              <w:t>Time-Based</w:t>
            </w:r>
          </w:p>
        </w:tc>
        <w:tc>
          <w:tcPr>
            <w:tcW w:w="1980" w:type="dxa"/>
            <w:vAlign w:val="bottom"/>
            <w:gridSpan w:val="5"/>
          </w:tcPr>
          <w:p>
            <w:pPr>
              <w:jc w:val="center"/>
              <w:ind w:left="19"/>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20" w:type="dxa"/>
            <w:vAlign w:val="bottom"/>
            <w:gridSpan w:val="4"/>
            <w:shd w:val="clear" w:color="auto" w:fill="CFF0FC"/>
          </w:tcPr>
          <w:p>
            <w:pPr>
              <w:jc w:val="center"/>
              <w:ind w:left="87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center"/>
              <w:ind w:left="91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center"/>
              <w:ind w:left="3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RSUs, Cash or a</w:t>
            </w:r>
          </w:p>
        </w:tc>
        <w:tc>
          <w:tcPr>
            <w:tcW w:w="260" w:type="dxa"/>
            <w:vAlign w:val="bottom"/>
          </w:tcPr>
          <w:p>
            <w:pPr>
              <w:spacing w:after="0"/>
              <w:rPr>
                <w:sz w:val="16"/>
                <w:szCs w:val="16"/>
                <w:color w:val="auto"/>
              </w:rPr>
            </w:pPr>
          </w:p>
        </w:tc>
        <w:tc>
          <w:tcPr>
            <w:tcW w:w="1900" w:type="dxa"/>
            <w:vAlign w:val="bottom"/>
            <w:gridSpan w:val="5"/>
          </w:tcPr>
          <w:p>
            <w:pPr>
              <w:jc w:val="center"/>
              <w:ind w:left="19"/>
              <w:spacing w:after="0"/>
              <w:rPr>
                <w:sz w:val="20"/>
                <w:szCs w:val="20"/>
                <w:color w:val="auto"/>
              </w:rPr>
            </w:pPr>
            <w:r>
              <w:rPr>
                <w:rFonts w:ascii="Times New Roman" w:cs="Times New Roman" w:eastAsia="Times New Roman" w:hAnsi="Times New Roman"/>
                <w:sz w:val="16"/>
                <w:szCs w:val="16"/>
                <w:color w:val="auto"/>
              </w:rPr>
              <w:t>at effective date:</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type</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rPr>
              <w:t>50% RSUs</w:t>
            </w:r>
          </w:p>
        </w:tc>
        <w:tc>
          <w:tcPr>
            <w:tcW w:w="44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combination thereof, when</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4"/>
          </w:tcPr>
          <w:p>
            <w:pPr>
              <w:jc w:val="center"/>
              <w:ind w:right="459"/>
              <w:spacing w:after="0"/>
              <w:rPr>
                <w:sz w:val="20"/>
                <w:szCs w:val="20"/>
                <w:color w:val="auto"/>
              </w:rPr>
            </w:pPr>
            <w:r>
              <w:rPr>
                <w:rFonts w:ascii="Times New Roman" w:cs="Times New Roman" w:eastAsia="Times New Roman" w:hAnsi="Times New Roman"/>
                <w:sz w:val="16"/>
                <w:szCs w:val="16"/>
                <w:color w:val="auto"/>
              </w:rPr>
              <w:t>50% RSUs</w:t>
            </w: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50% Cash</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earned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4"/>
          </w:tcPr>
          <w:p>
            <w:pPr>
              <w:jc w:val="center"/>
              <w:ind w:right="439"/>
              <w:spacing w:after="0"/>
              <w:rPr>
                <w:sz w:val="20"/>
                <w:szCs w:val="20"/>
                <w:color w:val="auto"/>
              </w:rPr>
            </w:pPr>
            <w:r>
              <w:rPr>
                <w:rFonts w:ascii="Times New Roman" w:cs="Times New Roman" w:eastAsia="Times New Roman" w:hAnsi="Times New Roman"/>
                <w:sz w:val="16"/>
                <w:szCs w:val="16"/>
                <w:color w:val="auto"/>
              </w:rPr>
              <w:t>50% Cash</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192"/>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200" w:type="dxa"/>
            <w:vAlign w:val="bottom"/>
            <w:shd w:val="clear" w:color="auto" w:fill="CFF0FC"/>
          </w:tcPr>
          <w:p>
            <w:pPr>
              <w:spacing w:after="0"/>
              <w:rPr>
                <w:sz w:val="17"/>
                <w:szCs w:val="17"/>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4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02"/>
        </w:trPr>
        <w:tc>
          <w:tcPr>
            <w:tcW w:w="312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6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440" w:type="dxa"/>
            <w:vAlign w:val="bottom"/>
            <w:shd w:val="clear" w:color="auto" w:fill="CFF0FC"/>
          </w:tcPr>
          <w:p>
            <w:pPr>
              <w:spacing w:after="0"/>
              <w:rPr>
                <w:sz w:val="8"/>
                <w:szCs w:val="8"/>
                <w:color w:val="auto"/>
              </w:rPr>
            </w:pPr>
          </w:p>
        </w:tc>
        <w:tc>
          <w:tcPr>
            <w:tcW w:w="1880" w:type="dxa"/>
            <w:vAlign w:val="bottom"/>
            <w:gridSpan w:val="5"/>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260" w:type="dxa"/>
            <w:vAlign w:val="bottom"/>
            <w:shd w:val="clear" w:color="auto" w:fill="CFF0FC"/>
          </w:tcPr>
          <w:p>
            <w:pPr>
              <w:spacing w:after="0"/>
              <w:rPr>
                <w:sz w:val="8"/>
                <w:szCs w:val="8"/>
                <w:color w:val="auto"/>
              </w:rPr>
            </w:pPr>
          </w:p>
        </w:tc>
        <w:tc>
          <w:tcPr>
            <w:tcW w:w="190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2028</w:t>
            </w:r>
          </w:p>
        </w:tc>
        <w:tc>
          <w:tcPr>
            <w:tcW w:w="1980" w:type="dxa"/>
            <w:vAlign w:val="bottom"/>
            <w:gridSpan w:val="5"/>
            <w:vMerge w:val="restart"/>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100"/>
        </w:trPr>
        <w:tc>
          <w:tcPr>
            <w:tcW w:w="164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60" w:type="dxa"/>
            <w:vAlign w:val="bottom"/>
            <w:gridSpan w:val="5"/>
            <w:vMerge w:val="continue"/>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80" w:type="dxa"/>
            <w:vAlign w:val="bottom"/>
            <w:gridSpan w:val="5"/>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900" w:type="dxa"/>
            <w:vAlign w:val="bottom"/>
            <w:gridSpan w:val="5"/>
            <w:vMerge w:val="continue"/>
            <w:shd w:val="clear" w:color="auto" w:fill="CFF0FC"/>
          </w:tcPr>
          <w:p>
            <w:pPr>
              <w:spacing w:after="0"/>
              <w:rPr>
                <w:sz w:val="8"/>
                <w:szCs w:val="8"/>
                <w:color w:val="auto"/>
              </w:rPr>
            </w:pPr>
          </w:p>
        </w:tc>
        <w:tc>
          <w:tcPr>
            <w:tcW w:w="198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2028</w:t>
            </w:r>
          </w:p>
        </w:tc>
        <w:tc>
          <w:tcPr>
            <w:tcW w:w="44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August 31, 2027</w:t>
            </w:r>
          </w:p>
        </w:tc>
        <w:tc>
          <w:tcPr>
            <w:tcW w:w="26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2029</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August 31, 2028</w:t>
            </w:r>
          </w:p>
        </w:tc>
        <w:tc>
          <w:tcPr>
            <w:tcW w:w="0" w:type="dxa"/>
            <w:vAlign w:val="bottom"/>
          </w:tcPr>
          <w:p>
            <w:pPr>
              <w:spacing w:after="0"/>
              <w:rPr>
                <w:sz w:val="1"/>
                <w:szCs w:val="1"/>
                <w:color w:val="auto"/>
              </w:rPr>
            </w:pPr>
          </w:p>
        </w:tc>
      </w:tr>
      <w:tr>
        <w:trPr>
          <w:trHeight w:val="364"/>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Targets (1):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w w:val="99"/>
              </w:rPr>
              <w:t>Target: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Min/Max Payout: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gridSpan w:val="4"/>
          </w:tcPr>
          <w:p>
            <w:pPr>
              <w:jc w:val="center"/>
              <w:ind w:right="419"/>
              <w:spacing w:after="0"/>
              <w:rPr>
                <w:sz w:val="20"/>
                <w:szCs w:val="20"/>
                <w:color w:val="auto"/>
              </w:rPr>
            </w:pPr>
            <w:r>
              <w:rPr>
                <w:rFonts w:ascii="Times New Roman" w:cs="Times New Roman" w:eastAsia="Times New Roman" w:hAnsi="Times New Roman"/>
                <w:sz w:val="16"/>
                <w:szCs w:val="16"/>
                <w:color w:val="auto"/>
              </w:rPr>
              <w:t>Target:</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3-year relative TSR as</w:t>
            </w:r>
          </w:p>
        </w:tc>
        <w:tc>
          <w:tcPr>
            <w:tcW w:w="440" w:type="dxa"/>
            <w:vAlign w:val="bottom"/>
            <w:shd w:val="clear" w:color="auto" w:fill="CFF0FC"/>
          </w:tcPr>
          <w:p>
            <w:pPr>
              <w:spacing w:after="0"/>
              <w:rPr>
                <w:sz w:val="16"/>
                <w:szCs w:val="16"/>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100% payout at target (2nd</w:t>
            </w:r>
          </w:p>
        </w:tc>
        <w:tc>
          <w:tcPr>
            <w:tcW w:w="260" w:type="dxa"/>
            <w:vAlign w:val="bottom"/>
            <w:shd w:val="clear" w:color="auto" w:fill="CFF0FC"/>
          </w:tcPr>
          <w:p>
            <w:pPr>
              <w:spacing w:after="0"/>
              <w:rPr>
                <w:sz w:val="16"/>
                <w:szCs w:val="16"/>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3-year relative TSR as</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100% payout at target (2nd</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2024 disclosed</w:t>
            </w: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quartile), with 50% payout</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2025 disclosed</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(2)</w:t>
            </w:r>
          </w:p>
        </w:tc>
        <w:tc>
          <w:tcPr>
            <w:tcW w:w="44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(3rd quartile) and 150%</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(3)</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44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(1st quartile). No</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340" w:hanging="380"/>
        <w:spacing w:after="0" w:line="261"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established just one performance metric, “Three-Year Relative Total Shareholder Return,” for both LTIPs and believed that this metric appropriately aligned management with the interests of our stockholders.</w:t>
      </w:r>
    </w:p>
    <w:p>
      <w:pPr>
        <w:spacing w:after="0" w:line="54" w:lineRule="exact"/>
        <w:rPr>
          <w:rFonts w:ascii="Times New Roman" w:cs="Times New Roman" w:eastAsia="Times New Roman" w:hAnsi="Times New Roman"/>
          <w:sz w:val="14"/>
          <w:szCs w:val="14"/>
          <w:color w:val="auto"/>
        </w:rPr>
      </w:pPr>
    </w:p>
    <w:p>
      <w:pPr>
        <w:ind w:left="1340" w:hanging="380"/>
        <w:spacing w:after="0" w:line="261"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2024 disclosed proxy peers, the three-year relative TSR will be calculated as the percentage change in the 30-day trailing volume-weighted average closing stock price at February 2, 2024 and January 29, 2027, adjusted for any dividends paid.</w:t>
      </w:r>
    </w:p>
    <w:p>
      <w:pPr>
        <w:spacing w:after="0" w:line="54" w:lineRule="exact"/>
        <w:rPr>
          <w:rFonts w:ascii="Times New Roman" w:cs="Times New Roman" w:eastAsia="Times New Roman" w:hAnsi="Times New Roman"/>
          <w:sz w:val="14"/>
          <w:szCs w:val="14"/>
          <w:color w:val="auto"/>
        </w:rPr>
      </w:pPr>
    </w:p>
    <w:p>
      <w:pPr>
        <w:ind w:left="1340" w:hanging="380"/>
        <w:spacing w:after="0" w:line="261"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2025 disclosed proxy peers, the three-year relative TSR will be calculated as the percentage change in the 30-day trailing volume-weighted average closing stock price at January 31, 2025 and January 28, 2028, adjusted for any dividends paid.</w:t>
      </w:r>
    </w:p>
    <w:p>
      <w:pPr>
        <w:spacing w:after="0" w:line="59"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single performance metric of a Three-Year Relative Total Shareholder Return reflected the Company’s primary objective of earnings growth and driving shareholder return.</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3"/>
                <w:szCs w:val="13"/>
                <w:color w:val="auto"/>
              </w:rPr>
            </w:pPr>
          </w:p>
        </w:tc>
        <w:tc>
          <w:tcPr>
            <w:tcW w:w="47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120" w:type="dxa"/>
            <w:vAlign w:val="bottom"/>
            <w:vMerge w:val="restart"/>
          </w:tcPr>
          <w:p>
            <w:pPr>
              <w:spacing w:after="0"/>
              <w:rPr>
                <w:sz w:val="13"/>
                <w:szCs w:val="13"/>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3"/>
                <w:szCs w:val="13"/>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w w:val="99"/>
              </w:rPr>
              <w:t>2028</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2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April 1, 2024</w:t>
            </w:r>
          </w:p>
        </w:tc>
        <w:tc>
          <w:tcPr>
            <w:tcW w:w="48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3"/>
                <w:szCs w:val="13"/>
                <w:color w:val="auto"/>
              </w:rPr>
              <w:t>2024-2026 LTIP</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April 1, 2025</w:t>
            </w: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2025-2027 LTIP</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65" w:lineRule="exact"/>
        <w:rPr>
          <w:sz w:val="20"/>
          <w:szCs w:val="20"/>
          <w:color w:val="auto"/>
        </w:rPr>
      </w:pPr>
    </w:p>
    <w:p>
      <w:pPr>
        <w:ind w:left="1040" w:hanging="373"/>
        <w:spacing w:after="0"/>
        <w:tabs>
          <w:tab w:leader="none" w:pos="1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vests on April 1 following the end of the first year of the performance period or one year from the date of grant, whichever is later.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2026-2028 LTIP</w:t>
      </w:r>
    </w:p>
    <w:p>
      <w:pPr>
        <w:spacing w:after="0" w:line="117" w:lineRule="exact"/>
        <w:rPr>
          <w:sz w:val="20"/>
          <w:szCs w:val="20"/>
          <w:color w:val="auto"/>
        </w:rPr>
      </w:pPr>
    </w:p>
    <w:p>
      <w:pPr>
        <w:ind w:left="840" w:right="20"/>
        <w:spacing w:after="0" w:line="282" w:lineRule="auto"/>
        <w:rPr>
          <w:sz w:val="20"/>
          <w:szCs w:val="20"/>
          <w:color w:val="auto"/>
        </w:rPr>
      </w:pPr>
      <w:r>
        <w:rPr>
          <w:rFonts w:ascii="Times New Roman" w:cs="Times New Roman" w:eastAsia="Times New Roman" w:hAnsi="Times New Roman"/>
          <w:sz w:val="18"/>
          <w:szCs w:val="18"/>
          <w:color w:val="auto"/>
        </w:rPr>
        <w:t>The Company has not yet established a long-term incentive plan for fiscal 2026. Pursuant to the terms of the plan, the Company has until November 2, 2026 to approve and establish a performance target or targets for the 2026-2028 performance period.</w:t>
      </w:r>
    </w:p>
    <w:p>
      <w:pPr>
        <w:spacing w:after="0" w:line="52" w:lineRule="exact"/>
        <w:rPr>
          <w:sz w:val="20"/>
          <w:szCs w:val="20"/>
          <w:color w:val="auto"/>
        </w:rPr>
      </w:pPr>
    </w:p>
    <w:p>
      <w:pPr>
        <w:ind w:left="780" w:hanging="26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 discretionary cash or equity awards were granted to our Named Executive Officers in fiscal 2025.</w:t>
      </w:r>
    </w:p>
    <w:p>
      <w:pPr>
        <w:spacing w:after="0" w:line="115" w:lineRule="exact"/>
        <w:rPr>
          <w:sz w:val="20"/>
          <w:szCs w:val="20"/>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rFonts w:ascii="Times New Roman" w:cs="Times New Roman" w:eastAsia="Times New Roman" w:hAnsi="Times New Roman"/>
          <w:sz w:val="18"/>
          <w:szCs w:val="18"/>
          <w:color w:val="auto"/>
        </w:rPr>
      </w:pPr>
    </w:p>
    <w:p>
      <w:pPr>
        <w:ind w:lef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pay for our other employees.</w:t>
      </w:r>
    </w:p>
    <w:p>
      <w:pPr>
        <w:spacing w:after="0" w:line="54" w:lineRule="exact"/>
        <w:rPr>
          <w:sz w:val="20"/>
          <w:szCs w:val="20"/>
          <w:color w:val="auto"/>
        </w:rPr>
      </w:pPr>
    </w:p>
    <w:p>
      <w:pPr>
        <w:ind w:left="780"/>
        <w:spacing w:after="0" w:line="261" w:lineRule="auto"/>
        <w:rPr>
          <w:sz w:val="20"/>
          <w:szCs w:val="20"/>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a 401(k) savings plan and, after one year of employment with us, are eligible for a Company match. Under the 401(k) savings plan, the Company offers a qualified automatic contribution arrangement (“QACA”), with the Company matching 100% of the first 1% of deferred compensation and 50% of the next 5% (with a maximum contribution of 3.5% of eligible compensation).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employment agreements with our Chief Executive Officer and all of our other Named Executive Officers. Upon termination of employment, each executive is entitled to receive severance payments under his or her employment agreement and under the Company’s incentive programs in the event of a termination without justifiable cause. These employment agreements 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10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that the Compensation Discussion and Analysis be included in this Form 10-K/A.</w:t>
      </w:r>
    </w:p>
    <w:p>
      <w:pPr>
        <w:spacing w:after="0" w:line="2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Jack Boyle</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Summary Compensation Table sets forth certain information regarding compensation paid or accrued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respect to our Named Executive Officers for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220" w:type="dxa"/>
            <w:vAlign w:val="bottom"/>
          </w:tcPr>
          <w:p>
            <w:pPr>
              <w:spacing w:after="0"/>
              <w:rPr>
                <w:sz w:val="12"/>
                <w:szCs w:val="12"/>
                <w:color w:val="auto"/>
              </w:rPr>
            </w:pPr>
          </w:p>
        </w:tc>
        <w:tc>
          <w:tcPr>
            <w:tcW w:w="960" w:type="dxa"/>
            <w:vAlign w:val="bottom"/>
            <w:gridSpan w:val="2"/>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3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2"/>
                <w:szCs w:val="12"/>
                <w:color w:val="auto"/>
              </w:rPr>
            </w:pP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2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($)(1)(2)</w:t>
            </w:r>
          </w:p>
        </w:tc>
        <w:tc>
          <w:tcPr>
            <w:tcW w:w="3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20" w:type="dxa"/>
            <w:vAlign w:val="bottom"/>
          </w:tcPr>
          <w:p>
            <w:pPr>
              <w:spacing w:after="0"/>
              <w:rPr>
                <w:sz w:val="14"/>
                <w:szCs w:val="14"/>
                <w:color w:val="auto"/>
              </w:rPr>
            </w:pPr>
          </w:p>
        </w:tc>
      </w:tr>
      <w:tr>
        <w:trPr>
          <w:trHeight w:val="119"/>
        </w:trPr>
        <w:tc>
          <w:tcPr>
            <w:tcW w:w="25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Harvey S. Kanter</w:t>
            </w:r>
          </w:p>
        </w:tc>
        <w:tc>
          <w:tcPr>
            <w:tcW w:w="480" w:type="dxa"/>
            <w:vAlign w:val="bottom"/>
            <w:gridSpan w:val="2"/>
            <w:shd w:val="clear" w:color="auto" w:fill="CFF0FC"/>
          </w:tcPr>
          <w:p>
            <w:pPr>
              <w:ind w:left="140"/>
              <w:spacing w:after="0" w:line="119" w:lineRule="exact"/>
              <w:rPr>
                <w:sz w:val="20"/>
                <w:szCs w:val="20"/>
                <w:color w:val="auto"/>
              </w:rPr>
            </w:pPr>
            <w:r>
              <w:rPr>
                <w:rFonts w:ascii="Times New Roman" w:cs="Times New Roman" w:eastAsia="Times New Roman" w:hAnsi="Times New Roman"/>
                <w:sz w:val="13"/>
                <w:szCs w:val="13"/>
                <w:color w:val="auto"/>
              </w:rPr>
              <w:t>2025</w:t>
            </w:r>
          </w:p>
        </w:tc>
        <w:tc>
          <w:tcPr>
            <w:tcW w:w="200" w:type="dxa"/>
            <w:vAlign w:val="bottom"/>
            <w:gridSpan w:val="2"/>
            <w:shd w:val="clear" w:color="auto" w:fill="CFF0FC"/>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850,000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361,250</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813,078</w:t>
            </w:r>
          </w:p>
        </w:tc>
        <w:tc>
          <w:tcPr>
            <w:tcW w:w="640" w:type="dxa"/>
            <w:vAlign w:val="bottom"/>
            <w:gridSpan w:val="2"/>
            <w:shd w:val="clear" w:color="auto" w:fill="CFF0FC"/>
          </w:tcPr>
          <w:p>
            <w:pPr>
              <w:jc w:val="right"/>
              <w:ind w:right="273"/>
              <w:spacing w:after="0" w:line="11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160,135</w:t>
            </w:r>
          </w:p>
        </w:tc>
        <w:tc>
          <w:tcPr>
            <w:tcW w:w="36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2,184,463</w:t>
            </w:r>
          </w:p>
        </w:tc>
        <w:tc>
          <w:tcPr>
            <w:tcW w:w="120" w:type="dxa"/>
            <w:vAlign w:val="bottom"/>
            <w:shd w:val="clear" w:color="auto" w:fill="CFF0FC"/>
          </w:tcPr>
          <w:p>
            <w:pPr>
              <w:spacing w:after="0"/>
              <w:rPr>
                <w:sz w:val="10"/>
                <w:szCs w:val="10"/>
                <w:color w:val="auto"/>
              </w:rPr>
            </w:pPr>
          </w:p>
        </w:tc>
      </w:tr>
      <w:tr>
        <w:trPr>
          <w:trHeight w:val="149"/>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722,498</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1,162,110</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159,960</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2,894,568</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866,346</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2,765,938</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2,167,112</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159,627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5,959,023</w:t>
            </w:r>
          </w:p>
        </w:tc>
        <w:tc>
          <w:tcPr>
            <w:tcW w:w="120" w:type="dxa"/>
            <w:vAlign w:val="bottom"/>
            <w:shd w:val="clear" w:color="auto" w:fill="CFF0FC"/>
          </w:tcPr>
          <w:p>
            <w:pPr>
              <w:spacing w:after="0"/>
              <w:rPr>
                <w:sz w:val="14"/>
                <w:szCs w:val="14"/>
                <w:color w:val="auto"/>
              </w:rPr>
            </w:pPr>
          </w:p>
        </w:tc>
      </w:tr>
      <w:tr>
        <w:trPr>
          <w:trHeight w:val="148"/>
        </w:trPr>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Peter H. Stratton, Jr.</w:t>
            </w:r>
          </w:p>
        </w:tc>
        <w:tc>
          <w:tcPr>
            <w:tcW w:w="100" w:type="dxa"/>
            <w:vAlign w:val="bottom"/>
          </w:tcPr>
          <w:p>
            <w:pPr>
              <w:spacing w:after="0"/>
              <w:rPr>
                <w:sz w:val="10"/>
                <w:szCs w:val="10"/>
                <w:color w:val="auto"/>
              </w:rPr>
            </w:pPr>
          </w:p>
        </w:tc>
        <w:tc>
          <w:tcPr>
            <w:tcW w:w="3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472,960</w:t>
            </w:r>
          </w:p>
        </w:tc>
        <w:tc>
          <w:tcPr>
            <w:tcW w:w="220" w:type="dxa"/>
            <w:vAlign w:val="bottom"/>
          </w:tcPr>
          <w:p>
            <w:pPr>
              <w:spacing w:after="0"/>
              <w:rPr>
                <w:sz w:val="10"/>
                <w:szCs w:val="10"/>
                <w:color w:val="auto"/>
              </w:rPr>
            </w:pP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94,322</w:t>
            </w:r>
          </w:p>
        </w:tc>
        <w:tc>
          <w:tcPr>
            <w:tcW w:w="320" w:type="dxa"/>
            <w:vAlign w:val="bottom"/>
          </w:tcPr>
          <w:p>
            <w:pPr>
              <w:spacing w:after="0"/>
              <w:rPr>
                <w:sz w:val="10"/>
                <w:szCs w:val="10"/>
                <w:color w:val="auto"/>
              </w:rPr>
            </w:pPr>
          </w:p>
        </w:tc>
        <w:tc>
          <w:tcPr>
            <w:tcW w:w="96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236,491</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27,598</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831,371</w:t>
            </w:r>
          </w:p>
        </w:tc>
        <w:tc>
          <w:tcPr>
            <w:tcW w:w="120" w:type="dxa"/>
            <w:vAlign w:val="bottom"/>
          </w:tcPr>
          <w:p>
            <w:pPr>
              <w:spacing w:after="0"/>
              <w:rPr>
                <w:sz w:val="10"/>
                <w:szCs w:val="10"/>
                <w:color w:val="auto"/>
              </w:rPr>
            </w:pPr>
          </w:p>
        </w:tc>
      </w:tr>
      <w:tr>
        <w:trPr>
          <w:trHeight w:val="148"/>
        </w:trPr>
        <w:tc>
          <w:tcPr>
            <w:tcW w:w="2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Chief</w:t>
            </w:r>
          </w:p>
        </w:tc>
        <w:tc>
          <w:tcPr>
            <w:tcW w:w="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415,923</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183,147</w:t>
            </w:r>
          </w:p>
        </w:tc>
        <w:tc>
          <w:tcPr>
            <w:tcW w:w="320" w:type="dxa"/>
            <w:vAlign w:val="bottom"/>
          </w:tcPr>
          <w:p>
            <w:pPr>
              <w:spacing w:after="0"/>
              <w:rPr>
                <w:sz w:val="12"/>
                <w:szCs w:val="12"/>
                <w:color w:val="auto"/>
              </w:rPr>
            </w:pPr>
          </w:p>
        </w:tc>
        <w:tc>
          <w:tcPr>
            <w:tcW w:w="96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305,343</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27,498</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931,911</w:t>
            </w:r>
          </w:p>
        </w:tc>
        <w:tc>
          <w:tcPr>
            <w:tcW w:w="120" w:type="dxa"/>
            <w:vAlign w:val="bottom"/>
          </w:tcPr>
          <w:p>
            <w:pPr>
              <w:spacing w:after="0"/>
              <w:rPr>
                <w:sz w:val="12"/>
                <w:szCs w:val="12"/>
                <w:color w:val="auto"/>
              </w:rPr>
            </w:pPr>
          </w:p>
        </w:tc>
      </w:tr>
      <w:tr>
        <w:trPr>
          <w:trHeight w:val="188"/>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414,827</w:t>
            </w:r>
          </w:p>
        </w:tc>
        <w:tc>
          <w:tcPr>
            <w:tcW w:w="22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91,571</w:t>
            </w:r>
          </w:p>
        </w:tc>
        <w:tc>
          <w:tcPr>
            <w:tcW w:w="320" w:type="dxa"/>
            <w:vAlign w:val="bottom"/>
          </w:tcPr>
          <w:p>
            <w:pPr>
              <w:spacing w:after="0"/>
              <w:rPr>
                <w:sz w:val="16"/>
                <w:szCs w:val="16"/>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1,048,280</w:t>
            </w:r>
          </w:p>
        </w:tc>
        <w:tc>
          <w:tcPr>
            <w:tcW w:w="120" w:type="dxa"/>
            <w:vAlign w:val="bottom"/>
          </w:tcPr>
          <w:p>
            <w:pPr>
              <w:spacing w:after="0"/>
              <w:rPr>
                <w:sz w:val="16"/>
                <w:szCs w:val="16"/>
                <w:color w:val="auto"/>
              </w:rPr>
            </w:pPr>
          </w:p>
        </w:tc>
      </w:tr>
      <w:tr>
        <w:trPr>
          <w:trHeight w:val="132"/>
        </w:trPr>
        <w:tc>
          <w:tcPr>
            <w:tcW w:w="25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Anthony J. Gaeta</w:t>
            </w:r>
          </w:p>
        </w:tc>
        <w:tc>
          <w:tcPr>
            <w:tcW w:w="48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412,000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72,099</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147,696</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24,373</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656,168</w:t>
            </w:r>
          </w:p>
        </w:tc>
        <w:tc>
          <w:tcPr>
            <w:tcW w:w="120" w:type="dxa"/>
            <w:vAlign w:val="bottom"/>
            <w:shd w:val="clear" w:color="auto" w:fill="CFF0FC"/>
          </w:tcPr>
          <w:p>
            <w:pPr>
              <w:spacing w:after="0"/>
              <w:rPr>
                <w:sz w:val="10"/>
                <w:szCs w:val="10"/>
                <w:color w:val="auto"/>
              </w:rPr>
            </w:pPr>
          </w:p>
        </w:tc>
      </w:tr>
      <w:tr>
        <w:trPr>
          <w:trHeight w:val="148"/>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Chief Stores and Real Estate</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408,769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126,874</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219,772</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24,048</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779,463</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391,827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56,872</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400,383</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872,760</w:t>
            </w:r>
          </w:p>
        </w:tc>
        <w:tc>
          <w:tcPr>
            <w:tcW w:w="120" w:type="dxa"/>
            <w:vAlign w:val="bottom"/>
            <w:shd w:val="clear" w:color="auto" w:fill="CFF0FC"/>
          </w:tcPr>
          <w:p>
            <w:pPr>
              <w:spacing w:after="0"/>
              <w:rPr>
                <w:sz w:val="14"/>
                <w:szCs w:val="14"/>
                <w:color w:val="auto"/>
              </w:rPr>
            </w:pPr>
          </w:p>
        </w:tc>
      </w:tr>
      <w:tr>
        <w:trPr>
          <w:trHeight w:val="149"/>
        </w:trPr>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Robert S. Molloy</w:t>
            </w:r>
          </w:p>
        </w:tc>
        <w:tc>
          <w:tcPr>
            <w:tcW w:w="100" w:type="dxa"/>
            <w:vAlign w:val="bottom"/>
          </w:tcPr>
          <w:p>
            <w:pPr>
              <w:spacing w:after="0"/>
              <w:rPr>
                <w:sz w:val="10"/>
                <w:szCs w:val="10"/>
                <w:color w:val="auto"/>
              </w:rPr>
            </w:pPr>
          </w:p>
        </w:tc>
        <w:tc>
          <w:tcPr>
            <w:tcW w:w="3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397,580</w:t>
            </w:r>
          </w:p>
        </w:tc>
        <w:tc>
          <w:tcPr>
            <w:tcW w:w="220" w:type="dxa"/>
            <w:vAlign w:val="bottom"/>
          </w:tcPr>
          <w:p>
            <w:pPr>
              <w:spacing w:after="0"/>
              <w:rPr>
                <w:sz w:val="10"/>
                <w:szCs w:val="10"/>
                <w:color w:val="auto"/>
              </w:rPr>
            </w:pP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69,576</w:t>
            </w:r>
          </w:p>
        </w:tc>
        <w:tc>
          <w:tcPr>
            <w:tcW w:w="320" w:type="dxa"/>
            <w:vAlign w:val="bottom"/>
          </w:tcPr>
          <w:p>
            <w:pPr>
              <w:spacing w:after="0"/>
              <w:rPr>
                <w:sz w:val="10"/>
                <w:szCs w:val="10"/>
                <w:color w:val="auto"/>
              </w:rPr>
            </w:pPr>
          </w:p>
        </w:tc>
        <w:tc>
          <w:tcPr>
            <w:tcW w:w="96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174,667</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27,966</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669,789</w:t>
            </w:r>
          </w:p>
        </w:tc>
        <w:tc>
          <w:tcPr>
            <w:tcW w:w="120" w:type="dxa"/>
            <w:vAlign w:val="bottom"/>
          </w:tcPr>
          <w:p>
            <w:pPr>
              <w:spacing w:after="0"/>
              <w:rPr>
                <w:sz w:val="10"/>
                <w:szCs w:val="10"/>
                <w:color w:val="auto"/>
              </w:rPr>
            </w:pPr>
          </w:p>
        </w:tc>
      </w:tr>
      <w:tr>
        <w:trPr>
          <w:trHeight w:val="148"/>
        </w:trPr>
        <w:tc>
          <w:tcPr>
            <w:tcW w:w="2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Counsel and Secretary</w:t>
            </w:r>
          </w:p>
        </w:tc>
        <w:tc>
          <w:tcPr>
            <w:tcW w:w="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394,462</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135,099</w:t>
            </w:r>
          </w:p>
        </w:tc>
        <w:tc>
          <w:tcPr>
            <w:tcW w:w="320" w:type="dxa"/>
            <w:vAlign w:val="bottom"/>
          </w:tcPr>
          <w:p>
            <w:pPr>
              <w:spacing w:after="0"/>
              <w:rPr>
                <w:sz w:val="12"/>
                <w:szCs w:val="12"/>
                <w:color w:val="auto"/>
              </w:rPr>
            </w:pPr>
          </w:p>
        </w:tc>
        <w:tc>
          <w:tcPr>
            <w:tcW w:w="96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240,958</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28,546</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799,065</w:t>
            </w:r>
          </w:p>
        </w:tc>
        <w:tc>
          <w:tcPr>
            <w:tcW w:w="120" w:type="dxa"/>
            <w:vAlign w:val="bottom"/>
          </w:tcPr>
          <w:p>
            <w:pPr>
              <w:spacing w:after="0"/>
              <w:rPr>
                <w:sz w:val="12"/>
                <w:szCs w:val="12"/>
                <w:color w:val="auto"/>
              </w:rPr>
            </w:pPr>
          </w:p>
        </w:tc>
      </w:tr>
      <w:tr>
        <w:trPr>
          <w:trHeight w:val="188"/>
        </w:trPr>
        <w:tc>
          <w:tcPr>
            <w:tcW w:w="2560" w:type="dxa"/>
            <w:vAlign w:val="bottom"/>
          </w:tcPr>
          <w:p>
            <w:pPr>
              <w:spacing w:after="0"/>
              <w:rPr>
                <w:sz w:val="16"/>
                <w:szCs w:val="16"/>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393,423</w:t>
            </w:r>
          </w:p>
        </w:tc>
        <w:tc>
          <w:tcPr>
            <w:tcW w:w="22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67,549</w:t>
            </w:r>
          </w:p>
        </w:tc>
        <w:tc>
          <w:tcPr>
            <w:tcW w:w="320" w:type="dxa"/>
            <w:vAlign w:val="bottom"/>
          </w:tcPr>
          <w:p>
            <w:pPr>
              <w:spacing w:after="0"/>
              <w:rPr>
                <w:sz w:val="16"/>
                <w:szCs w:val="16"/>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948,334</w:t>
            </w:r>
          </w:p>
        </w:tc>
        <w:tc>
          <w:tcPr>
            <w:tcW w:w="120" w:type="dxa"/>
            <w:vAlign w:val="bottom"/>
          </w:tcPr>
          <w:p>
            <w:pPr>
              <w:spacing w:after="0"/>
              <w:rPr>
                <w:sz w:val="16"/>
                <w:szCs w:val="16"/>
                <w:color w:val="auto"/>
              </w:rPr>
            </w:pPr>
          </w:p>
        </w:tc>
      </w:tr>
      <w:tr>
        <w:trPr>
          <w:trHeight w:val="131"/>
        </w:trPr>
        <w:tc>
          <w:tcPr>
            <w:tcW w:w="25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Allison Surette</w:t>
            </w:r>
          </w:p>
        </w:tc>
        <w:tc>
          <w:tcPr>
            <w:tcW w:w="48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386,250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67,593</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141,409</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33,949</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629,201</w:t>
            </w:r>
          </w:p>
        </w:tc>
        <w:tc>
          <w:tcPr>
            <w:tcW w:w="120" w:type="dxa"/>
            <w:vAlign w:val="bottom"/>
            <w:shd w:val="clear" w:color="auto" w:fill="CFF0FC"/>
          </w:tcPr>
          <w:p>
            <w:pPr>
              <w:spacing w:after="0"/>
              <w:rPr>
                <w:sz w:val="10"/>
                <w:szCs w:val="10"/>
                <w:color w:val="auto"/>
              </w:rPr>
            </w:pPr>
          </w:p>
        </w:tc>
      </w:tr>
      <w:tr>
        <w:trPr>
          <w:trHeight w:val="149"/>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Chief Merchandising Officer</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383,221</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120,572</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210,977</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33,774</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748,544</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376,577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61,249</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376,464</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847,626</w:t>
            </w:r>
          </w:p>
        </w:tc>
        <w:tc>
          <w:tcPr>
            <w:tcW w:w="120" w:type="dxa"/>
            <w:vAlign w:val="bottom"/>
            <w:shd w:val="clear" w:color="auto" w:fill="CFF0FC"/>
          </w:tcPr>
          <w:p>
            <w:pPr>
              <w:spacing w:after="0"/>
              <w:rPr>
                <w:sz w:val="14"/>
                <w:szCs w:val="14"/>
                <w:color w:val="auto"/>
              </w:rPr>
            </w:pPr>
          </w:p>
        </w:tc>
      </w:tr>
    </w:tbl>
    <w:p>
      <w:pPr>
        <w:spacing w:after="0" w:line="243" w:lineRule="exact"/>
        <w:rPr>
          <w:sz w:val="20"/>
          <w:szCs w:val="20"/>
          <w:color w:val="auto"/>
        </w:rPr>
      </w:pPr>
    </w:p>
    <w:p>
      <w:pPr>
        <w:jc w:val="both"/>
        <w:ind w:left="760" w:hanging="378"/>
        <w:spacing w:after="0" w:line="272"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the grant date, of awards computed in accordance with the Financial Accounting Standards Board ASC Topic 718, and not the actual amounts paid to or realized by the Named Executive Officers during the applicable fiscal year. The fair value of performance stock units, with a market condition, was valued as of the date of grant using a Monte Carlo valuation model. Additional information regarding the assumptions used to estimate the fair value of all awards is included in Note A and Note I to the Consolidated Financial Statements contained in our Annual Report on Form 10-K for the fiscal year ended January 31, 2026.</w:t>
      </w:r>
    </w:p>
    <w:p>
      <w:pPr>
        <w:spacing w:after="0" w:line="77" w:lineRule="exact"/>
        <w:rPr>
          <w:rFonts w:ascii="Times New Roman" w:cs="Times New Roman" w:eastAsia="Times New Roman" w:hAnsi="Times New Roman"/>
          <w:sz w:val="16"/>
          <w:szCs w:val="16"/>
          <w:color w:val="auto"/>
        </w:rPr>
      </w:pPr>
    </w:p>
    <w:p>
      <w:pPr>
        <w:ind w:left="760" w:hanging="378"/>
        <w:spacing w:after="0" w:line="29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grant-date fair value of time-based RSUs issued under the 2025-2027 LTIP, which will vest in four tranches with the first 25% vesting on April 1, 2026, and the remaining tranches vesting on April 1, 2027, April 1, 2028 and April 1, 2029.</w:t>
      </w:r>
    </w:p>
    <w:p>
      <w:pPr>
        <w:spacing w:after="0" w:line="56" w:lineRule="exact"/>
        <w:rPr>
          <w:rFonts w:ascii="Times New Roman" w:cs="Times New Roman" w:eastAsia="Times New Roman" w:hAnsi="Times New Roman"/>
          <w:sz w:val="16"/>
          <w:szCs w:val="16"/>
          <w:color w:val="auto"/>
        </w:rPr>
      </w:pPr>
    </w:p>
    <w:p>
      <w:pPr>
        <w:jc w:val="both"/>
        <w:ind w:left="7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2025-2027 LTIP was determined based on the probable outcome of the performance conditions as of the service-inception date. Because the achievement of the performance targets under the 2025-2027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table reflects the fair value of the performance-based equity portion of the 2025-2027 LTIP assuming that 50% of the award is settled in equity and that the payout achieved is the highest level of performance for each of the Named Executive Officers:</w:t>
      </w:r>
    </w:p>
    <w:p>
      <w:pPr>
        <w:spacing w:after="0" w:line="90"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Harvey S. Kanter</w:t>
            </w:r>
          </w:p>
        </w:tc>
        <w:tc>
          <w:tcPr>
            <w:tcW w:w="21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541,875</w:t>
            </w: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H. Stratton, Jr.</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141,483</w:t>
            </w:r>
          </w:p>
        </w:tc>
      </w:tr>
      <w:tr>
        <w:trPr>
          <w:trHeight w:val="21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Anthony J. Gaeta</w:t>
            </w:r>
          </w:p>
        </w:tc>
        <w:tc>
          <w:tcPr>
            <w:tcW w:w="21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108,150</w:t>
            </w: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S. Molloy</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104,365</w:t>
            </w:r>
          </w:p>
        </w:tc>
      </w:tr>
      <w:tr>
        <w:trPr>
          <w:trHeight w:val="21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Allison Surette</w:t>
            </w:r>
          </w:p>
        </w:tc>
        <w:tc>
          <w:tcPr>
            <w:tcW w:w="21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101,391</w:t>
            </w:r>
          </w:p>
        </w:tc>
      </w:tr>
    </w:tbl>
    <w:p>
      <w:pPr>
        <w:spacing w:after="0" w:line="94" w:lineRule="exact"/>
        <w:rPr>
          <w:sz w:val="20"/>
          <w:szCs w:val="20"/>
          <w:color w:val="auto"/>
        </w:rPr>
      </w:pPr>
    </w:p>
    <w:p>
      <w:pPr>
        <w:jc w:val="both"/>
        <w:ind w:left="760" w:hanging="378"/>
        <w:spacing w:after="0" w:line="281"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2025 AIP, the fourth tranche of time-vested cash of the 2021-2023 LTIP, the third tranche of time-vested cash under the 2022-2024 LTIP, the second tranche of time-vested cash under the 2023-2025 LTIP and the first tranche of time-vested cash under the 2024-2026 LTIP. See table “</w:t>
      </w:r>
      <w:r>
        <w:rPr>
          <w:rFonts w:ascii="Times New Roman" w:cs="Times New Roman" w:eastAsia="Times New Roman" w:hAnsi="Times New Roman"/>
          <w:sz w:val="16"/>
          <w:szCs w:val="16"/>
          <w:i w:val="1"/>
          <w:iCs w:val="1"/>
          <w:color w:val="auto"/>
        </w:rPr>
        <w:t>2025 Non-Equity (Cash) Incentive Plan Compensation</w:t>
      </w:r>
      <w:r>
        <w:rPr>
          <w:rFonts w:ascii="Times New Roman" w:cs="Times New Roman" w:eastAsia="Times New Roman" w:hAnsi="Times New Roman"/>
          <w:sz w:val="16"/>
          <w:szCs w:val="16"/>
          <w:color w:val="auto"/>
        </w:rPr>
        <w:t>” below for additional detail.</w:t>
      </w:r>
    </w:p>
    <w:p>
      <w:pPr>
        <w:spacing w:after="0" w:line="6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2025 amounts reflected in this column.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2025 Non-Equity (Cash) Incentive Plan Compensation</w:t>
      </w:r>
      <w:r>
        <w:rPr>
          <w:rFonts w:ascii="Times New Roman" w:cs="Times New Roman" w:eastAsia="Times New Roman" w:hAnsi="Times New Roman"/>
          <w:sz w:val="18"/>
          <w:szCs w:val="18"/>
          <w:color w:val="auto"/>
        </w:rPr>
        <w:t>. The following table provides a breakdown of the amounts for fiscal 2025 in the “</w:t>
      </w:r>
      <w:r>
        <w:rPr>
          <w:rFonts w:ascii="Times New Roman" w:cs="Times New Roman" w:eastAsia="Times New Roman" w:hAnsi="Times New Roman"/>
          <w:sz w:val="18"/>
          <w:szCs w:val="18"/>
          <w:i w:val="1"/>
          <w:iCs w:val="1"/>
          <w:color w:val="auto"/>
        </w:rPr>
        <w:t xml:space="preserve">2025 Non-Equity (Cash) Incentive Plan Compensation” </w:t>
      </w:r>
      <w:r>
        <w:rPr>
          <w:rFonts w:ascii="Times New Roman" w:cs="Times New Roman" w:eastAsia="Times New Roman" w:hAnsi="Times New Roman"/>
          <w:sz w:val="18"/>
          <w:szCs w:val="18"/>
          <w:color w:val="auto"/>
        </w:rPr>
        <w:t>column of the Summary 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Annual Incentive</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2021-2023 LTIP</w:t>
            </w:r>
          </w:p>
        </w:tc>
        <w:tc>
          <w:tcPr>
            <w:tcW w:w="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2022-2024 LTIP</w:t>
            </w:r>
          </w:p>
        </w:tc>
        <w:tc>
          <w:tcPr>
            <w:tcW w:w="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2023-2025 LTIP</w:t>
            </w:r>
          </w:p>
        </w:tc>
        <w:tc>
          <w:tcPr>
            <w:tcW w:w="2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2024-2026 LTIP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 Non-</w:t>
            </w:r>
          </w:p>
        </w:tc>
      </w:tr>
      <w:tr>
        <w:trPr>
          <w:trHeight w:val="165"/>
        </w:trPr>
        <w:tc>
          <w:tcPr>
            <w:tcW w:w="35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Time-Based(2)</w:t>
            </w:r>
          </w:p>
        </w:tc>
        <w:tc>
          <w:tcPr>
            <w:tcW w:w="2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Equity (Cash)</w:t>
            </w:r>
          </w:p>
        </w:tc>
        <w:tc>
          <w:tcPr>
            <w:tcW w:w="120" w:type="dxa"/>
            <w:vAlign w:val="bottom"/>
          </w:tcPr>
          <w:p>
            <w:pPr>
              <w:spacing w:after="0"/>
              <w:rPr>
                <w:sz w:val="14"/>
                <w:szCs w:val="14"/>
                <w:color w:val="auto"/>
              </w:rPr>
            </w:pP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117,140</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5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813,078</w:t>
            </w:r>
          </w:p>
        </w:tc>
        <w:tc>
          <w:tcPr>
            <w:tcW w:w="12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5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236,491</w:t>
            </w:r>
          </w:p>
        </w:tc>
        <w:tc>
          <w:tcPr>
            <w:tcW w:w="12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5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12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5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174,667</w:t>
            </w:r>
          </w:p>
        </w:tc>
        <w:tc>
          <w:tcPr>
            <w:tcW w:w="12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5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141,409</w:t>
            </w:r>
          </w:p>
        </w:tc>
        <w:tc>
          <w:tcPr>
            <w:tcW w:w="120" w:type="dxa"/>
            <w:vAlign w:val="bottom"/>
            <w:shd w:val="clear" w:color="auto" w:fill="CFF0FC"/>
          </w:tcPr>
          <w:p>
            <w:pPr>
              <w:spacing w:after="0"/>
              <w:rPr>
                <w:sz w:val="18"/>
                <w:szCs w:val="18"/>
                <w:color w:val="auto"/>
              </w:rPr>
            </w:pPr>
          </w:p>
        </w:tc>
      </w:tr>
    </w:tbl>
    <w:p>
      <w:pPr>
        <w:spacing w:after="0" w:line="214" w:lineRule="exact"/>
        <w:rPr>
          <w:sz w:val="20"/>
          <w:szCs w:val="20"/>
          <w:color w:val="auto"/>
        </w:rPr>
      </w:pPr>
    </w:p>
    <w:p>
      <w:pPr>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2025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2025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01" w:lineRule="exact"/>
        <w:rPr>
          <w:rFonts w:ascii="Times New Roman" w:cs="Times New Roman" w:eastAsia="Times New Roman" w:hAnsi="Times New Roman"/>
          <w:sz w:val="18"/>
          <w:szCs w:val="18"/>
          <w:color w:val="auto"/>
        </w:rPr>
      </w:pPr>
    </w:p>
    <w:p>
      <w:pPr>
        <w:ind w:left="760" w:right="120" w:hanging="378"/>
        <w:spacing w:after="0" w:line="26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fourth tranche of the time-based cash award granted of the time-based cash award granted in March 2021 under the 2021-2023 LTIP, the third tranche of the time-based cash award granted in April 2022 under the 2022-2024 LTIP, the second tranche of the time-based cash award granted in April 2023 under the 2023-2025 LTIP and the first tranche of the time-based award granted in April 2024 under the 2024-2026 LTIP. See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Discussion and Analysis-Compensation Components and Fiscal 2025 Compensation Decisions, Performance-based annual incentive plan and Long-term incentive plans</w:t>
      </w:r>
      <w:r>
        <w:rPr>
          <w:rFonts w:ascii="Times New Roman" w:cs="Times New Roman" w:eastAsia="Times New Roman" w:hAnsi="Times New Roman"/>
          <w:sz w:val="16"/>
          <w:szCs w:val="16"/>
          <w:color w:val="auto"/>
        </w:rPr>
        <w:t>” for more information.</w:t>
      </w:r>
    </w:p>
    <w:p>
      <w:pPr>
        <w:spacing w:after="0" w:line="18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All Other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2025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12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Auto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Travel</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39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4"/>
                <w:szCs w:val="14"/>
                <w:color w:val="auto"/>
              </w:rPr>
            </w:pP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160,135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24,373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27,966</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10,465</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33,949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“Dodd-Frank Act”), the Company is providing the following information about the relationship between the annual total compensation of the Company’s employees and the annual total compensation of the Company’s Chief Executive Officer. Our Chief Executive Officer-to-employee pay ratio has been calculated in accordance with Item 402(u) of Regulation S-K under the Exchange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Instruction 2 to Item 402(u), the median-paid employee may be identified once every three years if there is no impact to the pay ratio disclosure. We last identified our median employee on December 31, 2023. There has been no change in our employee population or employee compensation arrangements since that time that we believe would significantly impact the pay ratio disclosure for 2025 and require the identification of a new median employee.</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total annual compensation for our Chief Executive Officer, Mr. Kanter, for fiscal 2025,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$2,184,463. The total annual compensation for our median employee, who is a full-time 40-hour employee, was $52,179 calculated using the same methodology as used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2025, the ratio of the annual total compensation of Mr. Kanter, our Chief Executive Officer, to the median of the annual total compensation of all employees was 42 to 1. The methodology used to identify the median employee in 2023 was to evaluate all employees, other than our Chief Executive Officer, employed by the Company as of December 31, 2023, and performed the following:</w:t>
      </w:r>
    </w:p>
    <w:p>
      <w:pPr>
        <w:spacing w:after="0" w:line="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2023, our employee population consisted of approximately 1,308 individuals, with 1,305 of these</w:t>
      </w:r>
    </w:p>
    <w:p>
      <w:pPr>
        <w:spacing w:after="0" w:line="27" w:lineRule="exact"/>
        <w:rPr>
          <w:sz w:val="20"/>
          <w:szCs w:val="20"/>
          <w:color w:val="auto"/>
        </w:rPr>
      </w:pPr>
    </w:p>
    <w:p>
      <w:pPr>
        <w:ind w:left="5540" w:right="2360" w:hanging="4507"/>
        <w:spacing w:after="0" w:line="260" w:lineRule="auto"/>
        <w:rPr>
          <w:sz w:val="20"/>
          <w:szCs w:val="20"/>
          <w:color w:val="auto"/>
        </w:rPr>
      </w:pPr>
      <w:r>
        <w:rPr>
          <w:rFonts w:ascii="Times New Roman" w:cs="Times New Roman" w:eastAsia="Times New Roman" w:hAnsi="Times New Roman"/>
          <w:sz w:val="18"/>
          <w:szCs w:val="18"/>
          <w:color w:val="auto"/>
        </w:rPr>
        <w:t>individuals located in the U.S. and 3 of these individuals located outside of the U.S. This population includes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1" w:name="page22"/>
    <w:bookmarkEnd w:id="21"/>
    <w:p>
      <w:pPr>
        <w:ind w:left="1020"/>
        <w:spacing w:after="0" w:line="282" w:lineRule="auto"/>
        <w:rPr>
          <w:sz w:val="20"/>
          <w:szCs w:val="20"/>
          <w:color w:val="auto"/>
        </w:rPr>
      </w:pPr>
      <w:r>
        <w:rPr>
          <w:rFonts w:ascii="Times New Roman" w:cs="Times New Roman" w:eastAsia="Times New Roman" w:hAnsi="Times New Roman"/>
          <w:sz w:val="18"/>
          <w:szCs w:val="18"/>
          <w:color w:val="auto"/>
        </w:rPr>
        <w:t>our full-time, part-time, and seasonal or temporary employees. Approximately 79% of our total employee population at December 31, 2023 was considered full-time employees.</w:t>
      </w:r>
    </w:p>
    <w:p>
      <w:pPr>
        <w:spacing w:after="0" w:line="54"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for any permanent full-time or part-time employees who started employment at the Company during calendar 2023. We did not annualize the compensation for any seasonal or temporary employees.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employees located outside of the U.S. under the de minimis exception to the pay ratio rule, which permits exclusion if a company’s non-U.S. employees account for 5% or less of its total employees. Accordingly, we have excluded three associates located in Hong Kong.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121"/>
        </w:rPr>
        <w:t>PAY VERSUS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Pay Versus Performance Table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121"/>
        </w:rPr>
        <w:t xml:space="preserve">In accordance with rules adopted by the SEC pursuant to the Dodd-Frank Act, below is the disclosure regarding executive compensation for Harvey S. Kanter, our principal executive officer (“PEO”), our non-PEO NEOs, and our Company's financial performance for the fiscal years listed below. The Compensation Committee did not consider the </w:t>
      </w:r>
      <w:r>
        <w:rPr>
          <w:rFonts w:ascii="Times New Roman" w:cs="Times New Roman" w:eastAsia="Times New Roman" w:hAnsi="Times New Roman"/>
          <w:sz w:val="18"/>
          <w:szCs w:val="18"/>
          <w:color w:val="252525"/>
        </w:rPr>
        <w:t>pay versus performance</w:t>
      </w:r>
      <w:r>
        <w:rPr>
          <w:rFonts w:ascii="Times New Roman" w:cs="Times New Roman" w:eastAsia="Times New Roman" w:hAnsi="Times New Roman"/>
          <w:sz w:val="18"/>
          <w:szCs w:val="18"/>
          <w:color w:val="212121"/>
        </w:rPr>
        <w:t xml:space="preserv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total compensation per the “</w:t>
      </w:r>
      <w:r>
        <w:rPr>
          <w:rFonts w:ascii="Times New Roman" w:cs="Times New Roman" w:eastAsia="Times New Roman" w:hAnsi="Times New Roman"/>
          <w:sz w:val="18"/>
          <w:szCs w:val="18"/>
          <w:i w:val="1"/>
          <w:iCs w:val="1"/>
          <w:color w:val="212121"/>
        </w:rPr>
        <w:t>Summary Compensation Table</w:t>
      </w:r>
      <w:r>
        <w:rPr>
          <w:rFonts w:ascii="Times New Roman" w:cs="Times New Roman" w:eastAsia="Times New Roman" w:hAnsi="Times New Roman"/>
          <w:sz w:val="18"/>
          <w:szCs w:val="18"/>
          <w:color w:val="212121"/>
        </w:rPr>
        <w:t>,” with certain required adjustments as described in the following table and footnotes.</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12121"/>
        </w:rPr>
        <w:t>For more information concerning our philosophy of how we align compensation for our NEOs to certain performance metrics, refer to the “</w:t>
      </w:r>
      <w:r>
        <w:rPr>
          <w:rFonts w:ascii="Times New Roman" w:cs="Times New Roman" w:eastAsia="Times New Roman" w:hAnsi="Times New Roman"/>
          <w:sz w:val="18"/>
          <w:szCs w:val="18"/>
          <w:i w:val="1"/>
          <w:iCs w:val="1"/>
          <w:color w:val="212121"/>
        </w:rPr>
        <w:t>Compensation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Discussion and Analysis</w:t>
      </w:r>
      <w:r>
        <w:rPr>
          <w:rFonts w:ascii="Times New Roman" w:cs="Times New Roman" w:eastAsia="Times New Roman" w:hAnsi="Times New Roman"/>
          <w:sz w:val="18"/>
          <w:szCs w:val="18"/>
          <w:color w:val="212121"/>
        </w:rPr>
        <w:t>” above.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color w:val="auto"/>
              </w:rPr>
              <w:t>Value of Initial Fixed $100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6"/>
                <w:szCs w:val="16"/>
                <w:color w:val="auto"/>
              </w:rPr>
              <w:t>Investment Based 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w w:val="99"/>
              </w:rPr>
              <w:t>Summary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Average Summary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Peer Group Total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Adjusted</w:t>
            </w: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Actually Paid</w:t>
            </w: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Actually Paid to</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EBITDA</w:t>
            </w: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Total for PEO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w w:val="98"/>
              </w:rPr>
              <w:t>to PEO</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Total for Non-PEO</w:t>
            </w:r>
          </w:p>
        </w:tc>
        <w:tc>
          <w:tcPr>
            <w:tcW w:w="120" w:type="dxa"/>
            <w:vAlign w:val="bottom"/>
          </w:tcPr>
          <w:p>
            <w:pPr>
              <w:spacing w:after="0"/>
              <w:rPr>
                <w:sz w:val="17"/>
                <w:szCs w:val="17"/>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Non-PEO NEOs</w:t>
            </w:r>
          </w:p>
        </w:tc>
        <w:tc>
          <w:tcPr>
            <w:tcW w:w="120" w:type="dxa"/>
            <w:vAlign w:val="bottom"/>
          </w:tcPr>
          <w:p>
            <w:pPr>
              <w:spacing w:after="0"/>
              <w:rPr>
                <w:sz w:val="17"/>
                <w:szCs w:val="17"/>
                <w:color w:val="auto"/>
              </w:rPr>
            </w:pPr>
          </w:p>
        </w:tc>
        <w:tc>
          <w:tcPr>
            <w:tcW w:w="76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Return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(Loss)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(non-GAAP)</w:t>
            </w:r>
          </w:p>
        </w:tc>
      </w:tr>
      <w:tr>
        <w:trPr>
          <w:trHeight w:val="213"/>
        </w:trPr>
        <w:tc>
          <w:tcPr>
            <w:tcW w:w="7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color w:val="auto"/>
                <w:w w:val="99"/>
              </w:rPr>
              <w:t>NEOs ($)(2)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color w:val="auto"/>
                <w:w w:val="97"/>
              </w:rPr>
              <w:t>)(000's)(5)</w:t>
            </w:r>
          </w:p>
        </w:tc>
        <w:tc>
          <w:tcPr>
            <w:tcW w:w="100" w:type="dxa"/>
            <w:vAlign w:val="bottom"/>
          </w:tcPr>
          <w:p>
            <w:pPr>
              <w:spacing w:after="0"/>
              <w:rPr>
                <w:sz w:val="18"/>
                <w:szCs w:val="18"/>
                <w:color w:val="auto"/>
              </w:rPr>
            </w:pPr>
          </w:p>
        </w:tc>
      </w:tr>
      <w:tr>
        <w:trPr>
          <w:trHeight w:val="213"/>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ind w:right="111"/>
              <w:spacing w:after="0"/>
              <w:rPr>
                <w:sz w:val="20"/>
                <w:szCs w:val="20"/>
                <w:color w:val="auto"/>
              </w:rPr>
            </w:pPr>
            <w:r>
              <w:rPr>
                <w:rFonts w:ascii="Times New Roman" w:cs="Times New Roman" w:eastAsia="Times New Roman" w:hAnsi="Times New Roman"/>
                <w:sz w:val="18"/>
                <w:szCs w:val="18"/>
                <w:color w:val="auto"/>
                <w:w w:val="95"/>
              </w:rPr>
              <w:t>(d)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(e)</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99"/>
              </w:rPr>
              <w:t>(f)</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1,300,032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556,741</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(35,908)</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2,894,568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844,299</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822,773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100" w:type="dxa"/>
            <w:vAlign w:val="bottom"/>
            <w:shd w:val="clear" w:color="auto" w:fill="CFF0FC"/>
          </w:tcPr>
          <w:p>
            <w:pPr>
              <w:spacing w:after="0"/>
              <w:rPr>
                <w:sz w:val="18"/>
                <w:szCs w:val="18"/>
                <w:color w:val="auto"/>
              </w:rPr>
            </w:pPr>
          </w:p>
        </w:tc>
      </w:tr>
      <w:tr>
        <w:trPr>
          <w:trHeight w:val="216"/>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100" w:type="dxa"/>
            <w:vAlign w:val="bottom"/>
            <w:shd w:val="clear" w:color="auto" w:fill="CFF0FC"/>
          </w:tcPr>
          <w:p>
            <w:pPr>
              <w:spacing w:after="0"/>
              <w:rPr>
                <w:sz w:val="18"/>
                <w:szCs w:val="18"/>
                <w:color w:val="auto"/>
              </w:rPr>
            </w:pPr>
          </w:p>
        </w:tc>
      </w:tr>
      <w:tr>
        <w:trPr>
          <w:trHeight w:val="234"/>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541.25</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12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00" w:type="dxa"/>
            <w:vAlign w:val="bottom"/>
          </w:tcPr>
          <w:p>
            <w:pPr>
              <w:spacing w:after="0"/>
              <w:rPr>
                <w:sz w:val="20"/>
                <w:szCs w:val="20"/>
                <w:color w:val="auto"/>
              </w:rPr>
            </w:pPr>
          </w:p>
        </w:tc>
      </w:tr>
      <w:tr>
        <w:trPr>
          <w:trHeight w:val="414"/>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503" w:right="50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2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3"/>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CFF0FC"/>
          </w:tcPr>
          <w:p>
            <w:pPr>
              <w:spacing w:after="0" w:line="20" w:lineRule="exact"/>
              <w:rPr>
                <w:sz w:val="1"/>
                <w:szCs w:val="1"/>
                <w:color w:val="auto"/>
              </w:rPr>
            </w:pPr>
          </w:p>
        </w:tc>
        <w:tc>
          <w:tcPr>
            <w:tcW w:w="38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4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Summary Compensation Table ("SCT") Total for PEO (column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3,616,278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4,221,881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2,894,568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2,184,463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22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(829,813)</w:t>
            </w:r>
          </w:p>
        </w:tc>
        <w:tc>
          <w:tcPr>
            <w:tcW w:w="20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(2,765,938)</w:t>
            </w:r>
          </w:p>
        </w:tc>
        <w:tc>
          <w:tcPr>
            <w:tcW w:w="10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(722,498)</w:t>
            </w:r>
          </w:p>
        </w:tc>
        <w:tc>
          <w:tcPr>
            <w:tcW w:w="18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(207,035)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right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1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4,203,022</w:t>
            </w:r>
          </w:p>
        </w:tc>
        <w:tc>
          <w:tcPr>
            <w:tcW w:w="2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227,798</w:t>
            </w:r>
          </w:p>
        </w:tc>
        <w:tc>
          <w:tcPr>
            <w:tcW w:w="20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(1,201,866)</w:t>
            </w: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(242,851)</w:t>
            </w:r>
          </w:p>
        </w:tc>
        <w:tc>
          <w:tcPr>
            <w:tcW w:w="180" w:type="dxa"/>
            <w:vAlign w:val="bottom"/>
            <w:shd w:val="clear" w:color="auto" w:fill="CFF0FC"/>
          </w:tcPr>
          <w:p>
            <w:pPr>
              <w:spacing w:after="0"/>
              <w:rPr>
                <w:sz w:val="20"/>
                <w:szCs w:val="20"/>
                <w:color w:val="auto"/>
              </w:rPr>
            </w:pPr>
          </w:p>
        </w:tc>
        <w:tc>
          <w:tcPr>
            <w:tcW w:w="9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(228,535)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awards granted in prior year that are outstanding and unvested as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(1,722,95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current year-end</w:t>
            </w:r>
          </w:p>
        </w:tc>
        <w:tc>
          <w:tcPr>
            <w:tcW w:w="120" w:type="dxa"/>
            <w:vAlign w:val="bottom"/>
          </w:tcPr>
          <w:p>
            <w:pPr>
              <w:spacing w:after="0"/>
              <w:rPr>
                <w:sz w:val="20"/>
                <w:szCs w:val="20"/>
                <w:color w:val="auto"/>
              </w:rPr>
            </w:pP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4,412,134</w:t>
            </w:r>
          </w:p>
        </w:tc>
        <w:tc>
          <w:tcPr>
            <w:tcW w:w="220" w:type="dxa"/>
            <w:vAlign w:val="bottom"/>
          </w:tcPr>
          <w:p>
            <w:pPr>
              <w:spacing w:after="0"/>
              <w:rPr>
                <w:sz w:val="20"/>
                <w:szCs w:val="20"/>
                <w:color w:val="auto"/>
              </w:rPr>
            </w:pP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2,474,982</w:t>
            </w:r>
          </w:p>
        </w:tc>
        <w:tc>
          <w:tcPr>
            <w:tcW w:w="200" w:type="dxa"/>
            <w:vAlign w:val="bottom"/>
          </w:tcPr>
          <w:p>
            <w:pPr>
              <w:spacing w:after="0"/>
              <w:rPr>
                <w:sz w:val="20"/>
                <w:szCs w:val="20"/>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(1,524,935)</w:t>
            </w: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(458,413)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right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 year-end fair value of equity awards granted in the current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are outstanding and unvested as of the current year-end</w:t>
            </w:r>
          </w:p>
        </w:tc>
        <w:tc>
          <w:tcPr>
            <w:tcW w:w="1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2,148,295</w:t>
            </w:r>
          </w:p>
        </w:tc>
        <w:tc>
          <w:tcPr>
            <w:tcW w:w="2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998,200</w:t>
            </w:r>
          </w:p>
        </w:tc>
        <w:tc>
          <w:tcPr>
            <w:tcW w:w="2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1,982,373</w:t>
            </w:r>
          </w:p>
        </w:tc>
        <w:tc>
          <w:tcPr>
            <w:tcW w:w="1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638,036</w:t>
            </w:r>
          </w:p>
        </w:tc>
        <w:tc>
          <w:tcPr>
            <w:tcW w:w="18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vesting date fair value of equity awards granted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vested in current year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right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Deduct - fair value as of prior year end of equity awards granted</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0" w:type="dxa"/>
            <w:vAlign w:val="bottom"/>
            <w:tcBorders>
              <w:right w:val="single" w:sz="8" w:color="CFF0FC"/>
            </w:tcBorders>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tcBorders>
              <w:right w:val="single" w:sz="8" w:color="CFF0FC"/>
            </w:tcBorders>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4"/>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 prior years that failed to vest in the current year</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00" w:type="dxa"/>
            <w:vAlign w:val="bottom"/>
            <w:tcBorders>
              <w:right w:val="single" w:sz="8" w:color="CFF0FC"/>
            </w:tcBorders>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tcBorders>
              <w:right w:val="single" w:sz="8" w:color="CFF0FC"/>
            </w:tcBorders>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4"/>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tcBorders>
              <w:right w:val="single" w:sz="8" w:color="CFF0FC"/>
            </w:tcBorders>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8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Actually Paid to PEO (column (c))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13,729,433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7,093,048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844,299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1,300,032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-156845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-156845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-156845</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-156845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-156845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7" w:lineRule="exact"/>
        <w:rPr>
          <w:sz w:val="20"/>
          <w:szCs w:val="20"/>
          <w:color w:val="auto"/>
        </w:rPr>
      </w:pPr>
    </w:p>
    <w:p>
      <w:pPr>
        <w:jc w:val="both"/>
        <w:ind w:left="503" w:hanging="503"/>
        <w:spacing w:after="0" w:line="261"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Non-PEO NEOs for fiscal 2025 were Peter H. Stratton, Anthony J. Gaeta, Robert S. Molloy and Allison Surette. For fiscal 2024, our Non-PEO NEOs were Messrs. Stratton, Gaeta, Molloy and James Reath, our former Chief Marketing Officer. For fiscal 2023 and fiscal 2022 our Non-PEO NEOs were Messrs. Stratton, Gaeta, Molloy and Ms. Surette. For fiscal 2021, our Non-PEO NEOs were Messrs. Stratton, Molloy, Gaeta and Ujjwal Dhoot, our former Chief Marketing Officer.</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4"/>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Average Summary Compensation Table Total for Non-PEO</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NEOs (column (d))</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822,773</w:t>
            </w: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(79,352)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(156,331)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(69,310)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(142,471)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(44,496)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122,413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(158,089)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(43,328)</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awards granted in prior year that are outstanding and unvested as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of the current year-end</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524,801</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464,934</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(302,611)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(49,931)</w:t>
            </w: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 year-end fair value of equity awards granted in the current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 are outstanding and unvested as of the current year-end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445,124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187,905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124,986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vesting date fair value of equity awards granted</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vested in current year</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 fair value as of prior year end of equity awards granted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prior years that failed to vest in the current year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Average Compensation Actually Paid to Non-PEO NEOs</w:t>
            </w:r>
          </w:p>
        </w:tc>
        <w:tc>
          <w:tcPr>
            <w:tcW w:w="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(column (e))</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3" w:hanging="503"/>
        <w:spacing w:after="0" w:line="261"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used in this table is the Dow Jones U.S. Apparel Retailers Index (assuming reinvestment of all dividends), which we also utilize in the stock performance graph required by Item 201(e) of Regulation S-K, included in</w:t>
      </w:r>
    </w:p>
    <w:p>
      <w:pPr>
        <w:jc w:val="center"/>
        <w:ind w:right="497"/>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3" w:name="page24"/>
    <w:bookmarkEnd w:id="23"/>
    <w:p>
      <w:pPr>
        <w:ind w:left="1020" w:right="20"/>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January 31, 2026. The comparison assumes that $100 was invested for the period starting January 31, 2021 through the end of each fiscal year.</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Adjusted EBITDA as our Company Selected Measure. Adjusted EBITDA is a non-GAAP financial measure. For our Company, Adjusted EBITDA represents earnings before interest, taxes and depreciation and amortization and before the loss from termination of retirement plans, transaction-related costs associated with the merger, non-recurring accrual for estimated legal settlement costs, and asset impairment (gain),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Relationships Descriptions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charts depict the relationships between Compensation Actually Paid ("CAP") for our PEO and non-PEO NEOs and the financial metrics included in the table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Compensation Actually Paid and Company's TSR</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the Company’s cumulative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800100</wp:posOffset>
            </wp:positionV>
            <wp:extent cx="4954905" cy="2931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490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the Company TSR and Peer Group Cumulative TSR</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January 29, 2021 (end of fiscal 2020) and computed in accordance with the requirements of Item 402(v) of Regulation S-K.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3505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Compensation Actually Paid and Net Income (Loss)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net income (loss) during the five most recently completed fiscal years. Net loss for fiscal 2025 included a non-cash charge to establish a full valuation allowance against net deferred tax assets of $20.4 million and included transaction-related costs of $4.2 million associated with the merger. Net income for fiscal 2022 included a non-recurring tax benefit related to the release of our tax valuation allowance of $31.6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262890</wp:posOffset>
            </wp:positionV>
            <wp:extent cx="3780155" cy="2125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8015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CAP and Company-Selected Measure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Adjusted EBITDA, a non-GAAP measure (our Company-Selected Measure) during the five most recently completed fiscal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1828165</wp:posOffset>
            </wp:positionH>
            <wp:positionV relativeFrom="page">
              <wp:posOffset>706120</wp:posOffset>
            </wp:positionV>
            <wp:extent cx="3883025" cy="2340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3883025"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in more detail under "</w:t>
      </w:r>
      <w:r>
        <w:rPr>
          <w:rFonts w:ascii="Times New Roman" w:cs="Times New Roman" w:eastAsia="Times New Roman" w:hAnsi="Times New Roman"/>
          <w:sz w:val="18"/>
          <w:szCs w:val="18"/>
          <w:i w:val="1"/>
          <w:iCs w:val="1"/>
          <w:color w:val="auto"/>
        </w:rPr>
        <w:t>Compensation Discussion and Analysis - Compensation Components and Fiscal 2025 Compensation Decisions,</w:t>
      </w:r>
      <w:r>
        <w:rPr>
          <w:rFonts w:ascii="Times New Roman" w:cs="Times New Roman" w:eastAsia="Times New Roman" w:hAnsi="Times New Roman"/>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CAP to our PEO and other NEOs to Company performance for fiscal 2025.</w:t>
      </w:r>
    </w:p>
    <w:p>
      <w:pPr>
        <w:spacing w:after="0" w:line="297" w:lineRule="exact"/>
        <w:rPr>
          <w:sz w:val="20"/>
          <w:szCs w:val="20"/>
          <w:color w:val="auto"/>
        </w:rPr>
      </w:pPr>
    </w:p>
    <w:p>
      <w:pPr>
        <w:ind w:left="3060" w:hanging="291"/>
        <w:spacing w:after="0"/>
        <w:tabs>
          <w:tab w:leader="none" w:pos="3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w:t>
      </w:r>
    </w:p>
    <w:p>
      <w:pPr>
        <w:spacing w:after="0" w:line="117" w:lineRule="exact"/>
        <w:rPr>
          <w:rFonts w:ascii="Times New Roman" w:cs="Times New Roman" w:eastAsia="Times New Roman" w:hAnsi="Times New Roman"/>
          <w:sz w:val="18"/>
          <w:szCs w:val="18"/>
          <w:color w:val="auto"/>
        </w:rPr>
      </w:pPr>
    </w:p>
    <w:p>
      <w:pPr>
        <w:ind w:left="3060" w:hanging="291"/>
        <w:spacing w:after="0"/>
        <w:tabs>
          <w:tab w:leader="none" w:pos="3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w:t>
      </w:r>
    </w:p>
    <w:p>
      <w:pPr>
        <w:spacing w:after="0" w:line="117" w:lineRule="exact"/>
        <w:rPr>
          <w:rFonts w:ascii="Times New Roman" w:cs="Times New Roman" w:eastAsia="Times New Roman" w:hAnsi="Times New Roman"/>
          <w:sz w:val="18"/>
          <w:szCs w:val="18"/>
          <w:color w:val="auto"/>
        </w:rPr>
      </w:pPr>
    </w:p>
    <w:p>
      <w:pPr>
        <w:ind w:left="3060" w:hanging="291"/>
        <w:spacing w:after="0"/>
        <w:tabs>
          <w:tab w:leader="none" w:pos="3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pursuant to which Mr. Kanter was appointed as President, Chief Executive Officer and a director of the Company effective April 1, 2019. From February 19, 2019 to March 31, 2019, Mr. Kanter served as an Advisor to the Acting Chief Executive Officer. The initial term of the agreement was three years and could be automatically renewed upon the same terms and conditions for successive periods of one year, unless either party terminated the agreement in accordance with its terms.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On May 11, 2026, the Company notified Mr. Kanter that it did not intend to renew his Amended Employment Agreement. This notification was provided in accordance with Mr. Kanter’s expressed desire to retire, and as required by his Amended Employment Agreement. Accordingly, Mr. Kanter’s Amended Employment Agreement will expire and his employment with the Company will terminate on August 11, 2026.</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extension of the Initial Term under the Amendment, Mr. Kanter received 573,000 performance share units (“PSUs”) to be settled in shares of the Company’s common stock upon vesting. The award will vest, if at all, in nine installments, when the trailing 30-day volume-weighted average closing price of a share of the Company’s common stock meets or exceeds $6.50, $6.75,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$7.00, $7.25, $7.50, $7.75, $8.00, $8.25, and $8.50, respectively, subject to a minimum one-year vesting from the date of grant. Any unvested PSUs will expire on August 11, 2026.</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The maximum payout of performance-based compensation is 150% of target.</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54" w:lineRule="exact"/>
        <w:rPr>
          <w:sz w:val="20"/>
          <w:szCs w:val="20"/>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of the Amended Employment Agreement, Mr. Kanter will be eligible to receive, subject to certain requirements described in the Employment Agreement, a severance payment equal to (x) the base salary that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then-current base salary plus (y) the then value of his target bonus under the AIP, payable in 24 monthly installments;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Amended Employment Agreement after the Initial Term, Mr. Kanter will be eligible to receive a payment equal to (x) three months of his then-current base salary plus (y) the then value of 25% of his target bonus under the AIP, payable in 24 monthly installments.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then-current base salary plus (ii) the then value of two times his target bonus under the AIP, generally payable in a lump sum within 60 days of the termination of his employment following a Change in Control.</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Other Named Executive Officers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employment agreements with each of our Named Executive Officers other than our Chief Executive Officer (collectively,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NEO Employment Agreements provides that, if the executive officer’s employment is terminated by us at any time for any reason other than “justifiable cause” (as defined in the NEO Employment Agreements), disability or death, we are required to pay the executive the executive’s then-current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Section 280G(b)(i) of the Internal Revenue Code.</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to have any connection with any business that is a specialty retailer that primarily distributes, sells or markets so-called “big and tall” apparel of any kind for men or that utilizes the “big and tall” retail or wholesale marketing concept as part of its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31,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75"/>
        </w:trPr>
        <w:tc>
          <w:tcPr>
            <w:tcW w:w="4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Base</w:t>
            </w:r>
          </w:p>
        </w:tc>
        <w:tc>
          <w:tcPr>
            <w:tcW w:w="140" w:type="dxa"/>
            <w:vAlign w:val="bottom"/>
          </w:tcPr>
          <w:p>
            <w:pPr>
              <w:spacing w:after="0"/>
              <w:rPr>
                <w:sz w:val="15"/>
                <w:szCs w:val="15"/>
                <w:color w:val="auto"/>
              </w:rPr>
            </w:pPr>
          </w:p>
        </w:tc>
        <w:tc>
          <w:tcPr>
            <w:tcW w:w="1140" w:type="dxa"/>
            <w:vAlign w:val="bottom"/>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180" w:type="dxa"/>
            <w:vAlign w:val="bottom"/>
          </w:tcPr>
          <w:p>
            <w:pPr>
              <w:spacing w:after="0"/>
              <w:rPr>
                <w:sz w:val="15"/>
                <w:szCs w:val="15"/>
                <w:color w:val="auto"/>
              </w:rPr>
            </w:pPr>
          </w:p>
        </w:tc>
        <w:tc>
          <w:tcPr>
            <w:tcW w:w="8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0"/>
              <w:spacing w:after="0" w:line="175" w:lineRule="exact"/>
              <w:rPr>
                <w:sz w:val="20"/>
                <w:szCs w:val="20"/>
                <w:color w:val="auto"/>
              </w:rPr>
            </w:pPr>
            <w:r>
              <w:rPr>
                <w:rFonts w:ascii="Times New Roman" w:cs="Times New Roman" w:eastAsia="Times New Roman" w:hAnsi="Times New Roman"/>
                <w:sz w:val="16"/>
                <w:szCs w:val="16"/>
                <w:b w:val="1"/>
                <w:bCs w:val="1"/>
                <w:color w:val="auto"/>
              </w:rPr>
              <w:t>Based</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Potential</w:t>
            </w:r>
          </w:p>
        </w:tc>
      </w:tr>
      <w:tr>
        <w:trPr>
          <w:trHeight w:val="219"/>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9"/>
                <w:szCs w:val="19"/>
                <w:color w:val="auto"/>
              </w:rPr>
            </w:pPr>
          </w:p>
        </w:tc>
        <w:tc>
          <w:tcPr>
            <w:tcW w:w="1200" w:type="dxa"/>
            <w:vAlign w:val="bottom"/>
            <w:gridSpan w:val="2"/>
          </w:tcPr>
          <w:p>
            <w:pPr>
              <w:jc w:val="center"/>
              <w:ind w:right="380"/>
              <w:spacing w:after="0" w:line="219" w:lineRule="exact"/>
              <w:rPr>
                <w:sz w:val="20"/>
                <w:szCs w:val="20"/>
                <w:color w:val="auto"/>
              </w:rPr>
            </w:pPr>
            <w:r>
              <w:rPr>
                <w:rFonts w:ascii="Times New Roman" w:cs="Times New Roman" w:eastAsia="Times New Roman" w:hAnsi="Times New Roman"/>
                <w:sz w:val="16"/>
                <w:szCs w:val="16"/>
                <w:b w:val="1"/>
                <w:bCs w:val="1"/>
                <w:color w:val="auto"/>
                <w:w w:val="95"/>
              </w:rPr>
              <w:t>Salary</w:t>
            </w:r>
            <w:r>
              <w:rPr>
                <w:rFonts w:ascii="Times New Roman" w:cs="Times New Roman" w:eastAsia="Times New Roman" w:hAnsi="Times New Roman"/>
                <w:sz w:val="21"/>
                <w:szCs w:val="21"/>
                <w:b w:val="1"/>
                <w:bCs w:val="1"/>
                <w:color w:val="auto"/>
                <w:w w:val="95"/>
                <w:vertAlign w:val="superscript"/>
              </w:rPr>
              <w:t>(1)</w:t>
            </w:r>
          </w:p>
        </w:tc>
        <w:tc>
          <w:tcPr>
            <w:tcW w:w="140" w:type="dxa"/>
            <w:vAlign w:val="bottom"/>
          </w:tcPr>
          <w:p>
            <w:pPr>
              <w:spacing w:after="0"/>
              <w:rPr>
                <w:sz w:val="19"/>
                <w:szCs w:val="19"/>
                <w:color w:val="auto"/>
              </w:rPr>
            </w:pPr>
          </w:p>
        </w:tc>
        <w:tc>
          <w:tcPr>
            <w:tcW w:w="1140" w:type="dxa"/>
            <w:vAlign w:val="bottom"/>
            <w:gridSpan w:val="2"/>
          </w:tcPr>
          <w:p>
            <w:pPr>
              <w:jc w:val="center"/>
              <w:ind w:right="360"/>
              <w:spacing w:after="0" w:line="219" w:lineRule="exact"/>
              <w:rPr>
                <w:sz w:val="20"/>
                <w:szCs w:val="20"/>
                <w:color w:val="auto"/>
              </w:rPr>
            </w:pPr>
            <w:r>
              <w:rPr>
                <w:rFonts w:ascii="Times New Roman" w:cs="Times New Roman" w:eastAsia="Times New Roman" w:hAnsi="Times New Roman"/>
                <w:sz w:val="16"/>
                <w:szCs w:val="16"/>
                <w:b w:val="1"/>
                <w:bCs w:val="1"/>
                <w:color w:val="auto"/>
                <w:w w:val="89"/>
              </w:rPr>
              <w:t xml:space="preserve">Plan </w:t>
            </w:r>
            <w:r>
              <w:rPr>
                <w:rFonts w:ascii="Times New Roman" w:cs="Times New Roman" w:eastAsia="Times New Roman" w:hAnsi="Times New Roman"/>
                <w:sz w:val="21"/>
                <w:szCs w:val="21"/>
                <w:b w:val="1"/>
                <w:bCs w:val="1"/>
                <w:color w:val="auto"/>
                <w:w w:val="89"/>
                <w:vertAlign w:val="superscript"/>
              </w:rPr>
              <w:t>(2)</w:t>
            </w:r>
          </w:p>
        </w:tc>
        <w:tc>
          <w:tcPr>
            <w:tcW w:w="10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16"/>
                <w:szCs w:val="16"/>
                <w:b w:val="1"/>
                <w:bCs w:val="1"/>
                <w:color w:val="auto"/>
                <w:w w:val="98"/>
              </w:rPr>
              <w:t xml:space="preserve">Awards </w:t>
            </w:r>
            <w:r>
              <w:rPr>
                <w:rFonts w:ascii="Times New Roman" w:cs="Times New Roman" w:eastAsia="Times New Roman" w:hAnsi="Times New Roman"/>
                <w:sz w:val="21"/>
                <w:szCs w:val="21"/>
                <w:b w:val="1"/>
                <w:bCs w:val="1"/>
                <w:color w:val="auto"/>
                <w:w w:val="98"/>
                <w:vertAlign w:val="superscript"/>
              </w:rPr>
              <w:t>(3) (4)</w:t>
            </w:r>
          </w:p>
        </w:tc>
        <w:tc>
          <w:tcPr>
            <w:tcW w:w="220" w:type="dxa"/>
            <w:vAlign w:val="bottom"/>
          </w:tcPr>
          <w:p>
            <w:pPr>
              <w:spacing w:after="0"/>
              <w:rPr>
                <w:sz w:val="19"/>
                <w:szCs w:val="19"/>
                <w:color w:val="auto"/>
              </w:rPr>
            </w:pPr>
          </w:p>
        </w:tc>
        <w:tc>
          <w:tcPr>
            <w:tcW w:w="1380" w:type="dxa"/>
            <w:vAlign w:val="bottom"/>
            <w:gridSpan w:val="3"/>
          </w:tcPr>
          <w:p>
            <w:pPr>
              <w:spacing w:after="0" w:line="219" w:lineRule="exact"/>
              <w:rPr>
                <w:sz w:val="20"/>
                <w:szCs w:val="20"/>
                <w:color w:val="auto"/>
              </w:rPr>
            </w:pPr>
            <w:r>
              <w:rPr>
                <w:rFonts w:ascii="Times New Roman" w:cs="Times New Roman" w:eastAsia="Times New Roman" w:hAnsi="Times New Roman"/>
                <w:sz w:val="16"/>
                <w:szCs w:val="16"/>
                <w:b w:val="1"/>
                <w:bCs w:val="1"/>
                <w:color w:val="auto"/>
              </w:rPr>
              <w:t xml:space="preserve">Compensation </w:t>
            </w:r>
            <w:r>
              <w:rPr>
                <w:rFonts w:ascii="Times New Roman" w:cs="Times New Roman" w:eastAsia="Times New Roman" w:hAnsi="Times New Roman"/>
                <w:sz w:val="21"/>
                <w:szCs w:val="21"/>
                <w:b w:val="1"/>
                <w:bCs w:val="1"/>
                <w:color w:val="auto"/>
                <w:vertAlign w:val="superscript"/>
              </w:rPr>
              <w:t>(5)</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Payments</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920,833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665,818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722,059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2,733,711</w:t>
            </w: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3,400,000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665,818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722,059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5,212,877</w:t>
            </w: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242,105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141,888</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170,115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184,871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738,980</w:t>
            </w:r>
          </w:p>
        </w:tc>
      </w:tr>
      <w:tr>
        <w:trPr>
          <w:trHeight w:val="189"/>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484,210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141,888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170,115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184,871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981,085</w:t>
            </w:r>
          </w:p>
        </w:tc>
      </w:tr>
      <w:tr>
        <w:trPr>
          <w:trHeight w:val="21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206,000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82,400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119,088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141,316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548,804</w:t>
            </w: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82,400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119,088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141,316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754,804</w:t>
            </w:r>
          </w:p>
        </w:tc>
      </w:tr>
      <w:tr>
        <w:trPr>
          <w:trHeight w:val="20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198,790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99,395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136,370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560,040</w:t>
            </w: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397,580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99,395</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125,485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136,370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758,830</w:t>
            </w: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Allison Surette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193,125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77,250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116,198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132,484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519,056</w:t>
            </w:r>
          </w:p>
        </w:tc>
      </w:tr>
      <w:tr>
        <w:trPr>
          <w:trHeight w:val="210"/>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386,250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77,250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116,198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132,484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712,181</w:t>
            </w:r>
          </w:p>
        </w:tc>
      </w:tr>
    </w:tbl>
    <w:p>
      <w:pPr>
        <w:spacing w:after="0" w:line="77" w:lineRule="exact"/>
        <w:rPr>
          <w:sz w:val="20"/>
          <w:szCs w:val="20"/>
          <w:color w:val="auto"/>
        </w:rPr>
      </w:pPr>
    </w:p>
    <w:p>
      <w:pPr>
        <w:jc w:val="both"/>
        <w:ind w:left="760" w:hanging="378"/>
        <w:spacing w:after="0" w:line="233"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Amended Employment Agreement as of January 31, 2026,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67" w:lineRule="exact"/>
        <w:rPr>
          <w:rFonts w:ascii="Times New Roman" w:cs="Times New Roman" w:eastAsia="Times New Roman" w:hAnsi="Times New Roman"/>
          <w:sz w:val="14"/>
          <w:szCs w:val="14"/>
          <w:color w:val="auto"/>
        </w:rPr>
      </w:pPr>
    </w:p>
    <w:p>
      <w:pPr>
        <w:ind w:left="760" w:hanging="378"/>
        <w:spacing w:after="0" w:line="264"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actual incentive earned for 2025 AIP. See “</w:t>
      </w:r>
      <w:r>
        <w:rPr>
          <w:rFonts w:ascii="Times New Roman" w:cs="Times New Roman" w:eastAsia="Times New Roman" w:hAnsi="Times New Roman"/>
          <w:sz w:val="14"/>
          <w:szCs w:val="14"/>
          <w:i w:val="1"/>
          <w:iCs w:val="1"/>
          <w:color w:val="auto"/>
        </w:rPr>
        <w:t>Compensation Discussion and Analysis - Compensation Components and Fiscal 2025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Decisions - Discretionary Cash and Equity Awards</w:t>
      </w:r>
      <w:r>
        <w:rPr>
          <w:rFonts w:ascii="Times New Roman" w:cs="Times New Roman" w:eastAsia="Times New Roman" w:hAnsi="Times New Roman"/>
          <w:sz w:val="14"/>
          <w:szCs w:val="14"/>
          <w:color w:val="auto"/>
        </w:rPr>
        <w:t>” for more information regarding this award.</w:t>
      </w:r>
    </w:p>
    <w:p>
      <w:pPr>
        <w:spacing w:after="0" w:line="52" w:lineRule="exact"/>
        <w:rPr>
          <w:rFonts w:ascii="Times New Roman" w:cs="Times New Roman" w:eastAsia="Times New Roman" w:hAnsi="Times New Roman"/>
          <w:sz w:val="14"/>
          <w:szCs w:val="14"/>
          <w:color w:val="auto"/>
        </w:rPr>
      </w:pPr>
    </w:p>
    <w:p>
      <w:pPr>
        <w:jc w:val="both"/>
        <w:ind w:left="760" w:hanging="378"/>
        <w:spacing w:after="0" w:line="233"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cash and RSUs under our 2022-2024 LTIP, 2023-2025 LTIP, 2024-2026 LTIP and the 2025-2027 LTIP. Because the respective performance periods for the 2022-2024 LTIP and 2023-2025 LTIP would have been complete as of January 31, 2026, all outstanding awards would have become fully vested under both a Qualifying Termination and Qualifying Termination due to a change in control. Because the 2024-2026 LTIP would have completed the second year of its performance period and the 2025-2027 LTIP would have completed the first year of its performance period, as of January 31, 2026, each participant would have vested in RSUs and cash based on a pro-rata vesting percentage, which is calculated based on the number of effective days of participation over the total number of days in the performance period.</w:t>
      </w:r>
    </w:p>
    <w:p>
      <w:pPr>
        <w:spacing w:after="0" w:line="69" w:lineRule="exact"/>
        <w:rPr>
          <w:rFonts w:ascii="Times New Roman" w:cs="Times New Roman" w:eastAsia="Times New Roman" w:hAnsi="Times New Roman"/>
          <w:sz w:val="14"/>
          <w:szCs w:val="14"/>
          <w:color w:val="auto"/>
        </w:rPr>
      </w:pPr>
    </w:p>
    <w:p>
      <w:pPr>
        <w:ind w:left="760" w:hanging="378"/>
        <w:spacing w:after="0" w:line="261"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time-based RSUs awards that would vest upon an assumed termination on January 31, 2026 were valued using the closing stock price of our stock on January 30, 2025 of $0.68 per share.</w:t>
      </w:r>
    </w:p>
    <w:p>
      <w:pPr>
        <w:spacing w:after="0" w:line="54" w:lineRule="exact"/>
        <w:rPr>
          <w:rFonts w:ascii="Times New Roman" w:cs="Times New Roman" w:eastAsia="Times New Roman" w:hAnsi="Times New Roman"/>
          <w:sz w:val="14"/>
          <w:szCs w:val="14"/>
          <w:color w:val="auto"/>
        </w:rPr>
      </w:pPr>
    </w:p>
    <w:p>
      <w:pPr>
        <w:jc w:val="both"/>
        <w:ind w:left="760" w:hanging="378"/>
        <w:spacing w:after="0" w:line="228"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target under the 2023-2025 LTIP was not achieved and therefore there was no award granted. The amounts in the table represent the performance periods for the 2024-2026 LTIP and the 2025-2027 LTIP, which were not complete as of January 31, 2026.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Per the LTIP, for a Qualifying Termination due to a change in control, each participant would have been entitled to receive a pro-rated vesting percentage at the date of the change in control at target. However, in November 2025, in connection with the pending merger, the Compensation Committee determined that if the merger closes prior to the completion of the respective performance period, on the closing date of the merger, the performance-based awards would be cancelled and paid out in cash, based on actual results through the closing date, on a pro-rated basis. With respect to Mr. Kanter’s 573,000 PSUs, the PSUs would forfeit unexercised unless, during the 30 days following his termination, a performance target is achieved. In such case, he would be entitled to any unvested PSUs that would have vested as though he had not been terminated.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Policies</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212121"/>
        </w:rPr>
        <w:t>Executive Clawback Policy</w:t>
      </w:r>
      <w:r>
        <w:rPr>
          <w:rFonts w:ascii="Times New Roman" w:cs="Times New Roman" w:eastAsia="Times New Roman" w:hAnsi="Times New Roman"/>
          <w:sz w:val="18"/>
          <w:szCs w:val="18"/>
          <w:color w:val="212121"/>
        </w:rPr>
        <w:t>. The Board adopted a</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(the “Executive</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that complies with the final SEC</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regulations</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mandated by the Dodd-Frank Act and Nasdaq Listing Rule 5608. The Executive Clawback Policy provides for repayment of incentive-based compensation in the event of an accounting restatement resulting from noncompliance with financial reporting requirements under federal securities laws. The policy applies to current and former executives and requires reimbursement or forfeiture of any excess incentive compensation received by an executive during the three completed fiscal years immediately preceding the date on which the Company is required to prepare an accounting restatement. The Executive Clawback Policy is in addition to the Company’s other clawback policies and provisions described below.</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Clawback Policies and Provisions</w:t>
      </w:r>
      <w:r>
        <w:rPr>
          <w:rFonts w:ascii="Times New Roman" w:cs="Times New Roman" w:eastAsia="Times New Roman" w:hAnsi="Times New Roman"/>
          <w:sz w:val="18"/>
          <w:szCs w:val="18"/>
          <w:color w:val="auto"/>
        </w:rPr>
        <w:t>. Our employment agreements with members of our senior management and our long-term incentive plans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provisions that provide for remedies in the event that we learn, after a senior executive is terminated by us other than for “justifiable cause,” that the senior executive could have been terminated for “justifiable cause.” In addition, since August 2018, we have had an executive incentive pay clawback policy that permits the Company to recover incentive-based cash and/or equity compensation from current and former executive officers of the Company in certain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Policies and Practices Related to the Timing of Grants of Certain Equity Awards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any formal policies and practices regarding the timing of awards of options in relation to the disclosure of material non-public information (“MNPI”). The Compensation Committee is solely responsible for the approval of equity stock option awards made to our Chief Executive Officer and other NEOs. The Compensation Committee and the Company’s General Counsel monitor the Company’s equity grant practices to ensure that such practices comply with governing regulations and are consistent with good corporate practice. The Board and the Compensation Committee do not take MNPI into account when determining the timing and terms of such awards, and the Company does not time the disclosure of MNPI for the purpose of affecting the value of executive compensation.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equity awards granted on an annual basis are pursuant to the Company’s LTIP. Under the LTIP, the Compensation Committee must annually approve the three-year performance target(s) within the first 25% of the applicable three-year performance period to be effective. Historically, the Compensation Committee has discussed and approved such targets during one of its meetings in the spring, at which time it will also approve the grant of time-based awards under the applicable LTIP and the grant of any performance-based awards earned under a prior year’s completed LTIP. Such awards may be granted, at the sole discretion of the Compensation Committee, as a combination of cash, stock options or RSUs. Because the Compensation Committee’s approval of such awards is likely to occur prior to the Company’s release of fiscal year earnings and the Company therefore possesses MNPI, the Compensation Committee sets a future grant date that is first subject to the Audit Committee’s approval of the recently concluded fiscal year’s financial results and the filing of our Annual Report on Form 10-K and/or the furnishing of our earnings release, which has historically been greater than four days. The Compensation Committee may also make off-cycle grants throughout the year in connection with new hires, promotions or role transitions. The timing of the grant is generally tied to the event giving rise to the award, such as an executive officer’s commencement of employment or a promotion effective date. As a result, the timing of the grant occurs independent of the release of any MNPI. During fiscal 2025, there were no grants of stock options or similar equity instruments by the Company.</w:t>
      </w:r>
    </w:p>
    <w:p>
      <w:pPr>
        <w:spacing w:after="0" w:line="18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6"/>
            <w:vMerge w:val="restart"/>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9"/>
              </w:rPr>
              <w:t>Estimated Future Payouts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9"/>
                <w:szCs w:val="9"/>
                <w:color w:val="auto"/>
              </w:rPr>
            </w:pPr>
          </w:p>
        </w:tc>
        <w:tc>
          <w:tcPr>
            <w:tcW w:w="5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9"/>
                <w:szCs w:val="9"/>
                <w:color w:val="auto"/>
              </w:rPr>
            </w:pP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Underlyin</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w:t>
            </w: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Maximu</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Grant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Inception</w:t>
            </w:r>
          </w:p>
        </w:tc>
        <w:tc>
          <w:tcPr>
            <w:tcW w:w="120" w:type="dxa"/>
            <w:vAlign w:val="bottom"/>
          </w:tcPr>
          <w:p>
            <w:pPr>
              <w:spacing w:after="0"/>
              <w:rPr>
                <w:sz w:val="12"/>
                <w:szCs w:val="12"/>
                <w:color w:val="auto"/>
              </w:rPr>
            </w:pPr>
          </w:p>
        </w:tc>
        <w:tc>
          <w:tcPr>
            <w:tcW w:w="5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2"/>
                <w:szCs w:val="12"/>
                <w:color w:val="auto"/>
              </w:rPr>
            </w:pP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2"/>
                <w:szCs w:val="12"/>
                <w:color w:val="auto"/>
              </w:rPr>
            </w:pPr>
          </w:p>
        </w:tc>
        <w:tc>
          <w:tcPr>
            <w:tcW w:w="4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m</w:t>
            </w: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01"/>
        </w:trPr>
        <w:tc>
          <w:tcPr>
            <w:tcW w:w="23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3"/>
              </w:rPr>
              <w:t>) (1)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7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 / Sh)</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me</w:t>
            </w:r>
          </w:p>
        </w:tc>
        <w:tc>
          <w:tcPr>
            <w:tcW w:w="62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Date</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320" w:type="dxa"/>
            <w:vAlign w:val="bottom"/>
            <w:tcBorders>
              <w:bottom w:val="single" w:sz="8" w:color="auto"/>
            </w:tcBorders>
            <w:gridSpan w:val="2"/>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320" w:type="dxa"/>
            <w:vAlign w:val="bottom"/>
            <w:gridSpan w:val="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Harvey S. Kanter</w:t>
            </w:r>
          </w:p>
        </w:tc>
        <w:tc>
          <w:tcPr>
            <w:tcW w:w="6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5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240,833</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4"/>
              </w:rPr>
              <w:t>180,625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w w:val="88"/>
              </w:rPr>
              <w:t>Peter</w:t>
            </w:r>
          </w:p>
        </w:tc>
        <w:tc>
          <w:tcPr>
            <w:tcW w:w="2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H. Stratton, Jr.</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3/28/2025</w:t>
            </w:r>
          </w:p>
        </w:tc>
        <w:tc>
          <w:tcPr>
            <w:tcW w:w="500" w:type="dxa"/>
            <w:vAlign w:val="bottom"/>
          </w:tcPr>
          <w:p>
            <w:pPr>
              <w:spacing w:after="0"/>
              <w:rPr>
                <w:sz w:val="14"/>
                <w:szCs w:val="14"/>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56,755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283,776</w:t>
            </w:r>
          </w:p>
        </w:tc>
        <w:tc>
          <w:tcPr>
            <w:tcW w:w="260" w:type="dxa"/>
            <w:vAlign w:val="bottom"/>
          </w:tcPr>
          <w:p>
            <w:pPr>
              <w:spacing w:after="0"/>
              <w:rPr>
                <w:sz w:val="14"/>
                <w:szCs w:val="14"/>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425,664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94,322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62,881</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94,322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47,161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94,322</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141,483</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47,161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94,322</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141,483</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Anthony J. Gaeta</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5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41,200</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206,000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309,000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72,100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48,066</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72,099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36,050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72,100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108,150</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36,050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72,100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108,150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Robert S. Molloy</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3/28/2025</w:t>
            </w:r>
          </w:p>
        </w:tc>
        <w:tc>
          <w:tcPr>
            <w:tcW w:w="500" w:type="dxa"/>
            <w:vAlign w:val="bottom"/>
          </w:tcPr>
          <w:p>
            <w:pPr>
              <w:spacing w:after="0"/>
              <w:rPr>
                <w:sz w:val="14"/>
                <w:szCs w:val="14"/>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39,758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198,790</w:t>
            </w:r>
          </w:p>
        </w:tc>
        <w:tc>
          <w:tcPr>
            <w:tcW w:w="260" w:type="dxa"/>
            <w:vAlign w:val="bottom"/>
          </w:tcPr>
          <w:p>
            <w:pPr>
              <w:spacing w:after="0"/>
              <w:rPr>
                <w:sz w:val="14"/>
                <w:szCs w:val="14"/>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298,185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69,577</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46,384</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69,576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34,788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69,577</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104,365</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34,788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69,577</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104,365</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Allison Surette</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5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38,625</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193,125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289,688</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67,594</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45,062</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67,593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33,797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67,594</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101,391</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33,797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67,594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101,391</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p>
      <w:pPr>
        <w:jc w:val="both"/>
        <w:ind w:left="380" w:hanging="378"/>
        <w:spacing w:after="0" w:line="25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2025-2027 LTIP would be granted in a combination of 50% cash and 50% equity. See footnote 3 below for additional information on the 2025-2027 LTIP.</w:t>
      </w:r>
    </w:p>
    <w:p>
      <w:pPr>
        <w:spacing w:after="0" w:line="183" w:lineRule="exact"/>
        <w:rPr>
          <w:rFonts w:ascii="Times New Roman" w:cs="Times New Roman" w:eastAsia="Times New Roman" w:hAnsi="Times New Roman"/>
          <w:sz w:val="18"/>
          <w:szCs w:val="18"/>
          <w:color w:val="auto"/>
        </w:rPr>
      </w:pPr>
    </w:p>
    <w:p>
      <w:pPr>
        <w:jc w:val="both"/>
        <w:ind w:left="380" w:hanging="378"/>
        <w:spacing w:after="0" w:line="25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the target payout assumes 100%, and the maximum payout assumes 150% of the payout targets under the 2025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2025 Compensation Decisions - Performance-based annual incentive plan – 2025 AIP</w:t>
      </w:r>
      <w:r>
        <w:rPr>
          <w:rFonts w:ascii="Times New Roman" w:cs="Times New Roman" w:eastAsia="Times New Roman" w:hAnsi="Times New Roman"/>
          <w:sz w:val="18"/>
          <w:szCs w:val="18"/>
          <w:color w:val="auto"/>
        </w:rPr>
        <w:t>” for more information on the targets set under the 2025 AIP. The respective actual cash payment made to each of the Named Executive Officers under the 2025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2025.</w:t>
      </w:r>
    </w:p>
    <w:p>
      <w:pPr>
        <w:spacing w:after="0" w:line="183" w:lineRule="exact"/>
        <w:rPr>
          <w:rFonts w:ascii="Times New Roman" w:cs="Times New Roman" w:eastAsia="Times New Roman" w:hAnsi="Times New Roman"/>
          <w:sz w:val="18"/>
          <w:szCs w:val="18"/>
          <w:color w:val="auto"/>
        </w:rPr>
      </w:pPr>
    </w:p>
    <w:p>
      <w:pPr>
        <w:jc w:val="both"/>
        <w:ind w:left="380" w:hanging="378"/>
        <w:spacing w:after="0" w:line="253"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2025, the Compensation Committee approved the performance target for the 2025-2027 LTIP. The performance-based awards represent 50% of the total potential payout under the 2025-2027 LTIP and assume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and only if the Compensation Committee decides to grant a portion or all of the award in equity. The remaining 50% of the total potential payout under the 2025-2027 LTIP represents time-based awards, which were granted 50% cash and 50% in RSUs. The above table reflects the cash award and the RSUs that were granted on April 1, 2025. The cash award and the RSUs vest in four equal tranches, with the first tranche vesting on April 1, 2026, and the remaining tranches vesting on April 1, 2027, April 1, 2028, and April 1, 2029. See “</w:t>
      </w:r>
      <w:r>
        <w:rPr>
          <w:rFonts w:ascii="Times New Roman" w:cs="Times New Roman" w:eastAsia="Times New Roman" w:hAnsi="Times New Roman"/>
          <w:sz w:val="18"/>
          <w:szCs w:val="18"/>
          <w:i w:val="1"/>
          <w:iCs w:val="1"/>
          <w:color w:val="auto"/>
        </w:rPr>
        <w:t>Compensation Components and Fiscal 2025 Compensation Decisions - Long-term incentive plans - 2025-2027 Performance Period</w:t>
      </w:r>
      <w:r>
        <w:rPr>
          <w:rFonts w:ascii="Times New Roman" w:cs="Times New Roman" w:eastAsia="Times New Roman" w:hAnsi="Times New Roman"/>
          <w:sz w:val="18"/>
          <w:szCs w:val="18"/>
          <w:color w:val="auto"/>
        </w:rPr>
        <w:t>” above for more information on the targets.</w:t>
      </w:r>
    </w:p>
    <w:p>
      <w:pPr>
        <w:spacing w:after="0" w:line="200" w:lineRule="exact"/>
        <w:rPr>
          <w:sz w:val="20"/>
          <w:szCs w:val="20"/>
          <w:color w:val="auto"/>
        </w:rPr>
      </w:pPr>
    </w:p>
    <w:p>
      <w:pPr>
        <w:spacing w:after="0" w:line="2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30" w:name="page31"/>
    <w:bookmarkEnd w:id="3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YEAR-END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9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40" w:type="dxa"/>
            <w:vAlign w:val="bottom"/>
          </w:tcPr>
          <w:p>
            <w:pPr>
              <w:jc w:val="center"/>
              <w:ind w:left="173"/>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Plan</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of</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Payout Value</w:t>
            </w:r>
          </w:p>
        </w:tc>
        <w:tc>
          <w:tcPr>
            <w:tcW w:w="0" w:type="dxa"/>
            <w:vAlign w:val="bottom"/>
          </w:tcPr>
          <w:p>
            <w:pPr>
              <w:spacing w:after="0"/>
              <w:rPr>
                <w:sz w:val="1"/>
                <w:szCs w:val="1"/>
                <w:color w:val="auto"/>
              </w:rPr>
            </w:pPr>
          </w:p>
        </w:tc>
      </w:tr>
      <w:tr>
        <w:trPr>
          <w:trHeight w:val="138"/>
        </w:trPr>
        <w:tc>
          <w:tcPr>
            <w:tcW w:w="1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1080" w:type="dxa"/>
            <w:vAlign w:val="bottom"/>
          </w:tcPr>
          <w:p>
            <w:pPr>
              <w:jc w:val="center"/>
              <w:ind w:lef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left="173"/>
              <w:spacing w:after="0" w:line="139" w:lineRule="exact"/>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or</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4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Have</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0" w:type="dxa"/>
            <w:vAlign w:val="bottom"/>
            <w:tcBorders>
              <w:bottom w:val="single" w:sz="8" w:color="auto"/>
            </w:tcBorders>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Price</w:t>
            </w:r>
          </w:p>
        </w:tc>
        <w:tc>
          <w:tcPr>
            <w:tcW w:w="86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4"/>
                <w:szCs w:val="14"/>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42"/>
        </w:trPr>
        <w:tc>
          <w:tcPr>
            <w:tcW w:w="14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left="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left="73"/>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c>
          <w:tcPr>
            <w:tcW w:w="980" w:type="dxa"/>
            <w:vAlign w:val="bottom"/>
            <w:gridSpan w:val="2"/>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ind w:left="19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Harvey S. Kanter</w:t>
            </w: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573,000</w:t>
            </w:r>
          </w:p>
        </w:tc>
        <w:tc>
          <w:tcPr>
            <w:tcW w:w="440" w:type="dxa"/>
            <w:vAlign w:val="bottom"/>
            <w:shd w:val="clear" w:color="auto" w:fill="CFF0FC"/>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391,359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17,990</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41,144</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28,101</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76,320</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52,127</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240,833</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164,489</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0.64</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6/10/2030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251,970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175,636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92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10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74,344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400" w:type="dxa"/>
            <w:vAlign w:val="bottom"/>
            <w:vMerge w:val="continue"/>
          </w:tcPr>
          <w:p>
            <w:pPr>
              <w:spacing w:after="0"/>
              <w:rPr>
                <w:sz w:val="9"/>
                <w:szCs w:val="9"/>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19,346</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13,213</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62,881</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42,948</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Anthony J. Gaeta</w:t>
            </w:r>
          </w:p>
        </w:tc>
        <w:tc>
          <w:tcPr>
            <w:tcW w:w="112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146,108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14,788</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48,066</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32,829</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125,731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12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50,579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7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920" w:type="dxa"/>
            <w:vAlign w:val="bottom"/>
          </w:tcPr>
          <w:p>
            <w:pPr>
              <w:ind w:left="7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line="151"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10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400" w:type="dxa"/>
            <w:vAlign w:val="bottom"/>
            <w:vMerge w:val="continue"/>
          </w:tcPr>
          <w:p>
            <w:pPr>
              <w:spacing w:after="0"/>
              <w:rPr>
                <w:sz w:val="9"/>
                <w:szCs w:val="9"/>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14,271</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46,384</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31,680</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Allison Surette</w:t>
            </w:r>
          </w:p>
        </w:tc>
        <w:tc>
          <w:tcPr>
            <w:tcW w:w="11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6"/>
              </w:rPr>
              <w:t>(11</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9/26/2032</w:t>
            </w: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120" w:type="dxa"/>
            <w:vAlign w:val="bottom"/>
            <w:gridSpan w:val="3"/>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53,640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13,864</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30,777</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line="18"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$0.68 on January 31, 2026.</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an award granted to Mr. Kanter in August 2023 in connection with the extension of his employment agreement.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April 9, 2022 in connection with our 2022-2024 LTIP. These awards on April 1, 2026.</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May 1, 2023 in connection with our 2023-2025 LTIP. These awards vest in two remaining equal tranches on April 1, 2026 and April 1, 2027.</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 2024 in connection with our 2024-2026 LTIP. These awards vest in three equal tranches on April 1, 2026, April 1, 2027 and April 1, 2028.</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 2025 in connection with our 2025-2027 LTIP. These awards vest in four equal tranches on April 1, 2026, April 1, 2027, April 1, 2028 and April 1, 2029.</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vested in three equal tranches.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the active members of management who were participants in the 2018-2020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pro-rata grant of stock options issued to Ms. Surette in connection with her promotion in fiscal 2016 in accordance with the terms of the LTIP.</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3"/>
                <w:szCs w:val="13"/>
                <w:b w:val="1"/>
                <w:bCs w:val="1"/>
                <w:color w:val="auto"/>
              </w:rPr>
              <w:t>Option Awards (1)</w:t>
            </w:r>
          </w:p>
        </w:tc>
        <w:tc>
          <w:tcPr>
            <w:tcW w:w="2680" w:type="dxa"/>
            <w:vAlign w:val="bottom"/>
            <w:gridSpan w:val="5"/>
          </w:tcPr>
          <w:p>
            <w:pPr>
              <w:ind w:left="8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2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Aquired on</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on Vesting</w:t>
            </w:r>
          </w:p>
        </w:tc>
      </w:tr>
      <w:tr>
        <w:trPr>
          <w:trHeight w:val="16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 (3)</w:t>
            </w:r>
          </w:p>
        </w:tc>
        <w:tc>
          <w:tcPr>
            <w:tcW w:w="100" w:type="dxa"/>
            <w:vAlign w:val="bottom"/>
          </w:tcPr>
          <w:p>
            <w:pPr>
              <w:spacing w:after="0"/>
              <w:rPr>
                <w:sz w:val="14"/>
                <w:szCs w:val="14"/>
                <w:color w:val="auto"/>
              </w:rPr>
            </w:pPr>
          </w:p>
        </w:tc>
      </w:tr>
      <w:tr>
        <w:trPr>
          <w:trHeight w:val="209"/>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8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311,435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412,632</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78,947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104,600</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8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49,956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66,313</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77,158</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148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48,482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64,386</w:t>
            </w:r>
          </w:p>
        </w:tc>
      </w:tr>
    </w:tbl>
    <w:p>
      <w:pPr>
        <w:spacing w:after="0" w:line="306" w:lineRule="exact"/>
        <w:rPr>
          <w:sz w:val="20"/>
          <w:szCs w:val="20"/>
          <w:color w:val="auto"/>
        </w:rPr>
      </w:pPr>
    </w:p>
    <w:p>
      <w:pPr>
        <w:ind w:left="760" w:hanging="707"/>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exercises of stock options in fiscal 2025.</w:t>
      </w:r>
    </w:p>
    <w:p>
      <w:pPr>
        <w:spacing w:after="0" w:line="117" w:lineRule="exact"/>
        <w:rPr>
          <w:rFonts w:ascii="Times New Roman" w:cs="Times New Roman" w:eastAsia="Times New Roman" w:hAnsi="Times New Roman"/>
          <w:sz w:val="18"/>
          <w:szCs w:val="18"/>
          <w:color w:val="auto"/>
        </w:rPr>
      </w:pPr>
    </w:p>
    <w:p>
      <w:pPr>
        <w:jc w:val="both"/>
        <w:ind w:left="760" w:hanging="707"/>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2025 include the time-based awards granted under the 2022-2024 LTIP, 2023-2025 LTIP and the 2024-2026 LTIP, as well as the RSUs granted for the performance-based compensation under the 2022-2024 LTIP which vested on August 31, 2025.</w:t>
      </w:r>
    </w:p>
    <w:p>
      <w:pPr>
        <w:spacing w:after="0" w:line="67" w:lineRule="exact"/>
        <w:rPr>
          <w:rFonts w:ascii="Times New Roman" w:cs="Times New Roman" w:eastAsia="Times New Roman" w:hAnsi="Times New Roman"/>
          <w:sz w:val="18"/>
          <w:szCs w:val="18"/>
          <w:color w:val="auto"/>
        </w:rPr>
      </w:pPr>
    </w:p>
    <w:p>
      <w:pPr>
        <w:jc w:val="both"/>
        <w:ind w:left="760" w:hanging="707"/>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offer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(the “Director Plan”), sets forth the compensation to be paid to our non-employee directors, including in the form of equity. The Director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to select shares of deferred stock beginning in fiscal 2024. Any shares of deferred stock are issued from the 2016 Plan.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Director Plan in fiscal 2025 as follows:</w:t>
      </w:r>
    </w:p>
    <w:p>
      <w:pPr>
        <w:spacing w:after="0" w:line="28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$33,750;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$10,000;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$5,000;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$2,500.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2025. Mr. Kanter is not included in the following table as he is a Named Executive Officer and, accordingly, received no compensation for his services as a director. Compensation earned by Mr. Kanter is included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($)(1)(2)</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154,500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40,499</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194,999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80,996</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134,996</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108,752</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36,245</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144,996</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144,996</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67,375</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77,621</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144,996</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134,994</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134,994</w:t>
            </w:r>
          </w:p>
        </w:tc>
      </w:tr>
      <w:tr>
        <w:trPr>
          <w:trHeight w:val="414"/>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both"/>
        <w:ind w:left="760" w:hanging="378"/>
        <w:spacing w:after="0" w:line="25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Mr. Mesdag elected to receive all compensation in shares of deferred common stock. Mr. Conacher elected to receive 100% of his compensation in cash. Mr. Boyle elected to receive 25% of his compensation in unrestricted shares of common stock and 75% in cash. Ms. Ross elected to receive 50% of her retainer in cash and 50% in unrestricted shares of common stock, with any chairperson fees in cash. Ms. Bauza elected to receive 80% of her retainer in cash and 20% in unrestricted shares of common stock, and Ms. Rubin elected to receive 100% of her retainer in unrestricted shares of common stock. However, due to the Company's low stock price during fiscal 2025, Messrs. Boyle and Conacher and Mses. Bauza, Ross and Rubin's ownership fell below the required minimum ownership and, as a result, each was required to take 60% of their respective retainer in unrestricted shares of common stock with the remainder elected in cash for one or more quarters during fiscal 2025. The number of shares issued as payment for an earned director fee is determined by taking the director fee earned and dividing it by the consolidated closing price of our common stock on the grant date, based on the closing price on the last trading day of the immediately prior fiscal quarter. Payments are made at the beginning of each quarter, with the grant date being the first business day of each respective quarter.</w:t>
      </w:r>
    </w:p>
    <w:p>
      <w:pPr>
        <w:spacing w:after="0" w:line="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 or, as it pertains to Mr. Mesdag, shares of deferred stock. The fractional share value is forfeited.</w:t>
      </w: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Willem Mesdag, Jack Boyle and Lionel F. Conacher served as a member of the Compensation Committee during fiscal 2025, none of whom was, at any time during fiscal 2025 or at any other time, an officer or employee of our Company. During fiscal 2025, none of our executive officers served as a member of the board of directors or compensation committee of any other entity that had one or more executive officers serving as a member of our Board or Compensation Committee.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4" w:name="page35"/>
    <w:bookmarkEnd w:id="34"/>
    <w:p>
      <w:pPr>
        <w:ind w:right="3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Security Ownership of Certain Beneficial Owners</w:t>
      </w: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persons known to us to be the beneficial owners of more than 5% of the issued and outstanding shares of our common stock as of May 15, 2026. We were informed that,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1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r>
      <w:tr>
        <w:trPr>
          <w:trHeight w:val="18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AWM Investment Company, Inc.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9,399,297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 Special Situations Funds</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527 Madison Avenue, Suite 2600</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York, New York 10022</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Fund 1 Investments, LLC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5,758,261</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100 Carr 115 Unit 1900</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Rincon, Puerto Rico 00677</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Nantahala Capital Management, LLC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4,505,000</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130 Main St., 2nd Floor</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Canaan, Connecticut 06840</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760" w:hanging="378"/>
        <w:spacing w:after="0" w:line="25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55,273,092 shares of our common stock outstanding as of May 15, 2026.</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spacing w:after="0" w:line="18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5 to Schedule 13D filed January 22, 2025, Fund 1 Investments, LLC holds sole voting power for 5,758,261 shares and sole dispositive power for 5,758,261 shares.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November 11, 2025. Nantahala Capital Management, LLC, Wilmot B. Harkey, and Daniel Mack hold shared voting power for 4,505,000 shares and shared dispositive power for 4,505,000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15, 2026,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1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r>
      <w:tr>
        <w:trPr>
          <w:trHeight w:val="19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Lionel F. Conacher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423,568</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1,716,317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634,149</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421,842</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Stores and Real Estate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511,214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Allison Surette</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359,190</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Merchandising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Jack Boyle,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636,707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Carmen R. Bauza,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181,135</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Willem Mesdag,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3,294,562</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Ivy Ross,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337,351</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Elaine K. Rubin,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272,647</w:t>
            </w: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(13 persons)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9,326,645</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7"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80" w:hanging="372"/>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55,273,092 shares of our common stock outstanding as of May 15, 2026.</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914,853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286,096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217,688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190,597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225,114 shares subject to stock options exercisable within 60 days.</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700,804 shares of deferred stock receivable upon the earlier of Mr. Mesdag’s separation from the Board or the closing of the pending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w:t>
      </w:r>
    </w:p>
    <w:p>
      <w:pPr>
        <w:spacing w:after="0" w:line="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2,115,120 shares subject to stock options exercisable within 60 days and 700,804 shares of deferred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January 31, 2026:</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46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w:t>
      </w:r>
    </w:p>
    <w:p>
      <w:pPr>
        <w:spacing w:after="0" w:line="212" w:lineRule="auto"/>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70"/>
              <w:spacing w:after="0"/>
              <w:rPr>
                <w:sz w:val="20"/>
                <w:szCs w:val="20"/>
                <w:color w:val="auto"/>
              </w:rPr>
            </w:pPr>
            <w:r>
              <w:rPr>
                <w:rFonts w:ascii="Times New Roman" w:cs="Times New Roman" w:eastAsia="Times New Roman" w:hAnsi="Times New Roman"/>
                <w:sz w:val="13"/>
                <w:szCs w:val="13"/>
                <w:b w:val="1"/>
                <w:bCs w:val="1"/>
                <w:color w:val="auto"/>
              </w:rPr>
              <w:t>options, warrants</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and rights</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65"/>
        </w:trPr>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rPr>
              <w:t>(b)</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191"/>
        </w:trPr>
        <w:tc>
          <w:tcPr>
            <w:tcW w:w="17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5,368,651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0.64 )</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4,068,502</w:t>
            </w:r>
          </w:p>
        </w:tc>
      </w:tr>
      <w:tr>
        <w:trPr>
          <w:trHeight w:val="234"/>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517,333</w:t>
            </w:r>
          </w:p>
        </w:tc>
      </w:tr>
      <w:tr>
        <w:trPr>
          <w:trHeight w:val="209"/>
        </w:trPr>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5,368,651</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4,585,835</w:t>
            </w:r>
          </w:p>
        </w:tc>
        <w:tc>
          <w:tcPr>
            <w:tcW w:w="20" w:type="dxa"/>
            <w:vAlign w:val="bottom"/>
          </w:tcPr>
          <w:p>
            <w:pPr>
              <w:spacing w:after="0"/>
              <w:rPr>
                <w:sz w:val="18"/>
                <w:szCs w:val="18"/>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-582295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-162560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40" w:space="720"/>
            <w:col w:w="5680"/>
          </w:cols>
          <w:pgMar w:left="320" w:top="1197" w:right="339" w:bottom="1440" w:gutter="0" w:footer="0" w:header="0"/>
          <w:type w:val="continuous"/>
        </w:sect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2,961,292 outstanding stock options, 1,245,002 outstanding RSUs, 573,000 outstanding PSUs and 589,357 outstanding deferred stock awards.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solely based upon outstanding stock options and excludes RSUs, PSUs and deferred stock awards.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Non-Employee Director Compensation Plan, we have 1,500,000 shares authorized for stock issuances in lieu of cash director fees, of which 517,333 shares were available at January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its charter, the Audit Committee reviews all related-party transactions on an ongoing basis and, to the extent required by the Sarbanes-Oxley Act of 2002 (the “Sarbanes-Oxley Act”), the SEC or Nasdaq, all such transactions must be approved by the Audit Committee except as otherwise delegated by the Audit Committee to another independent body of the Board.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no related party transactions since February 2, 2025 in which the Company was a participant and in which any director or executive officer of the Company, any known 5% or greater stockholder of the Company or any immediate family member of any of the foregoing persons had a direct or indirect material interest as defined in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or the Director Compensation section of this Form 10-K/A,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is currently comprised of seven members, all of whom are independent, under the rules for Nasdaq, other than Mr. Kanter, the Company’s Chief Executive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engaged KPMG LLP to serve as our independent registered public accounting firm during the fiscal year ended January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 has served as the Company’s independent registered public accounting firm since June 6,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January 31, 2026 ("fiscal 2025") and February 1, 2025 ("fiscal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2024</w:t>
            </w:r>
          </w:p>
        </w:tc>
        <w:tc>
          <w:tcPr>
            <w:tcW w:w="100" w:type="dxa"/>
            <w:vAlign w:val="bottom"/>
          </w:tcPr>
          <w:p>
            <w:pPr>
              <w:spacing w:after="0"/>
              <w:rPr>
                <w:sz w:val="14"/>
                <w:szCs w:val="14"/>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4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860,860</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1,084,576</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94,769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 (3)</w:t>
            </w:r>
          </w:p>
        </w:tc>
        <w:tc>
          <w:tcPr>
            <w:tcW w:w="4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208,290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212,407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4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4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4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1,165,699</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1,298,763</w:t>
            </w:r>
          </w:p>
        </w:tc>
      </w:tr>
      <w:tr>
        <w:trPr>
          <w:trHeight w:val="413"/>
        </w:trPr>
        <w:tc>
          <w:tcPr>
            <w:tcW w:w="3600" w:type="dxa"/>
            <w:vAlign w:val="bottom"/>
            <w:tcBorders>
              <w:top w:val="single" w:sz="8" w:color="CFF0FC"/>
            </w:tcBorders>
          </w:tcPr>
          <w:p>
            <w:pPr>
              <w:spacing w:after="0"/>
              <w:rPr>
                <w:sz w:val="24"/>
                <w:szCs w:val="24"/>
                <w:color w:val="auto"/>
              </w:rPr>
            </w:pPr>
          </w:p>
        </w:tc>
        <w:tc>
          <w:tcPr>
            <w:tcW w:w="414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7" w:name="page38"/>
    <w:bookmarkEnd w:id="37"/>
    <w:p>
      <w:pPr>
        <w:jc w:val="both"/>
        <w:ind w:left="76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Reports on Form 10-K, reviews of the financial statements included in each of our Quarterly Reports on Form 10-Q, and </w:t>
      </w:r>
      <w:r>
        <w:rPr>
          <w:rFonts w:ascii="Times New Roman" w:cs="Times New Roman" w:eastAsia="Times New Roman" w:hAnsi="Times New Roman"/>
          <w:sz w:val="18"/>
          <w:szCs w:val="18"/>
          <w:color w:val="212121"/>
        </w:rPr>
        <w:t>services normally provided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independent auditor in connection with statutory and regulatory filings </w:t>
      </w:r>
      <w:r>
        <w:rPr>
          <w:rFonts w:ascii="Times New Roman" w:cs="Times New Roman" w:eastAsia="Times New Roman" w:hAnsi="Times New Roman"/>
          <w:sz w:val="18"/>
          <w:szCs w:val="18"/>
          <w:color w:val="252525"/>
        </w:rPr>
        <w:t>in both fiscal years.</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Fiscal 2024 included services performed related to</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compliance with Section 404 of the Sarbanes-Oxley Act.</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 services performed in connection with the pending merger.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included an annual fee for access to an online accounting research tool for both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92" w:lineRule="exact"/>
        <w:rPr>
          <w:sz w:val="20"/>
          <w:szCs w:val="20"/>
          <w:color w:val="auto"/>
        </w:rPr>
      </w:pPr>
    </w:p>
    <w:p>
      <w:pPr>
        <w:jc w:val="center"/>
        <w:ind w:right="400"/>
        <w:spacing w:after="0" w:line="282" w:lineRule="auto"/>
        <w:rPr>
          <w:sz w:val="20"/>
          <w:szCs w:val="20"/>
          <w:color w:val="auto"/>
        </w:rPr>
      </w:pPr>
      <w:r>
        <w:rPr>
          <w:rFonts w:ascii="Times New Roman" w:cs="Times New Roman" w:eastAsia="Times New Roman" w:hAnsi="Times New Roman"/>
          <w:sz w:val="18"/>
          <w:szCs w:val="18"/>
          <w:color w:val="auto"/>
        </w:rPr>
        <w:t>All of the services provided in fiscal 2025 and fiscal 2024 under Audit Fees, Tax Fees and All Other Fees were pre-approved by the Audit Committee.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15(a)(3) Exhibits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5"/>
              </w:rPr>
              <w:t>31.1</w:t>
            </w:r>
          </w:p>
        </w:tc>
        <w:tc>
          <w:tcPr>
            <w:tcW w:w="9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Company pursuant to Rule 13a-14(a) under the Securities Exchange Act of 1934.</w:t>
            </w:r>
          </w:p>
        </w:tc>
      </w:tr>
      <w:tr>
        <w:trPr>
          <w:trHeight w:val="304"/>
        </w:trPr>
        <w:tc>
          <w:tcPr>
            <w:tcW w:w="9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5"/>
              </w:rPr>
              <w:t>31.2</w:t>
            </w:r>
          </w:p>
        </w:tc>
        <w:tc>
          <w:tcPr>
            <w:tcW w:w="9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Company pursuant to Rule 13a-14(a) under the Securities Exchange Act of 1934.</w:t>
            </w:r>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90" w:lineRule="exact"/>
        <w:rPr>
          <w:sz w:val="20"/>
          <w:szCs w:val="20"/>
          <w:color w:val="auto"/>
        </w:rPr>
      </w:pPr>
    </w:p>
    <w:p>
      <w:pPr>
        <w:ind w:left="1080" w:hanging="1072"/>
        <w:spacing w:after="0" w:line="184" w:lineRule="auto"/>
        <w:tabs>
          <w:tab w:leader="none" w:pos="1080" w:val="left"/>
        </w:tabs>
        <w:numPr>
          <w:ilvl w:val="0"/>
          <w:numId w:val="3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55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3"/>
                <w:szCs w:val="13"/>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3"/>
                <w:szCs w:val="13"/>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tc>
      </w:tr>
      <w:tr>
        <w:trPr>
          <w:trHeight w:val="4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c>
          <w:tcPr>
            <w:tcW w:w="55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 /s/ HARVEY S. KANTER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83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7480"/>
        <w:spacing w:after="0"/>
        <w:rPr>
          <w:sz w:val="20"/>
          <w:szCs w:val="20"/>
          <w:color w:val="auto"/>
        </w:rPr>
      </w:pPr>
      <w:r>
        <w:rPr>
          <w:rFonts w:ascii="Times New Roman" w:cs="Times New Roman" w:eastAsia="Times New Roman" w:hAnsi="Times New Roman"/>
          <w:sz w:val="18"/>
          <w:szCs w:val="18"/>
          <w:color w:val="auto"/>
        </w:rPr>
        <w:t>Harvey S. Kanter</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Peter H. Stratton, Jr.</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and Treasurer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90"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71"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5" w:lineRule="exact"/>
        <w:rPr>
          <w:sz w:val="20"/>
          <w:szCs w:val="20"/>
          <w:color w:val="auto"/>
        </w:rPr>
      </w:pPr>
    </w:p>
    <w:p>
      <w:pPr>
        <w:spacing w:after="0"/>
        <w:tabs>
          <w:tab w:leader="none" w:pos="560" w:val="left"/>
          <w:tab w:leader="none" w:pos="6760" w:val="left"/>
          <w:tab w:leader="none" w:pos="8420" w:val="left"/>
        </w:tabs>
        <w:rPr>
          <w:sz w:val="20"/>
          <w:szCs w:val="20"/>
          <w:color w:val="auto"/>
        </w:rPr>
      </w:pPr>
      <w:r>
        <w:rPr>
          <w:rFonts w:ascii="Times New Roman" w:cs="Times New Roman" w:eastAsia="Times New Roman" w:hAnsi="Times New Roman"/>
          <w:sz w:val="18"/>
          <w:szCs w:val="18"/>
          <w:color w:val="auto"/>
        </w:rPr>
        <w:t>Date:</w:t>
        <w:tab/>
        <w:t>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90"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71"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5" w:lineRule="exact"/>
        <w:rPr>
          <w:sz w:val="20"/>
          <w:szCs w:val="20"/>
          <w:color w:val="auto"/>
        </w:rPr>
      </w:pPr>
    </w:p>
    <w:p>
      <w:pPr>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2"/>
    </w:lvl>
  </w:abstractNum>
  <w:abstractNum w:abstractNumId="20">
    <w:nsid w:val="3A95F874"/>
    <w:multiLevelType w:val="hybridMultilevel"/>
    <w:lvl w:ilvl="0">
      <w:lvlJc w:val="left"/>
      <w:lvlText w:val="(%1)"/>
      <w:numFmt w:val="decimal"/>
      <w:start w:val="4"/>
    </w:lvl>
  </w:abstractNum>
  <w:abstractNum w:abstractNumId="21">
    <w:nsid w:val="8138641"/>
    <w:multiLevelType w:val="hybridMultilevel"/>
    <w:lvl w:ilvl="0">
      <w:lvlJc w:val="left"/>
      <w:lvlText w:val="(%1)"/>
      <w:numFmt w:val="decimal"/>
      <w:start w:val="5"/>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04"/>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2026-05-26T15:40:47Z</dcterms:created>
  <dcterms:modified xsi:type="dcterms:W3CDTF">2026-05-26T15:40:47Z</dcterms:modified>
</cp:coreProperties>
</file>