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(1996)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Cusip # 25057L102</w:t>
      </w:r>
    </w:p>
    <w:p>
      <w:pPr>
        <w:spacing w:after="0" w:line="200"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25057L102</w:t>
      </w:r>
    </w:p>
    <w:p>
      <w:pPr>
        <w:spacing w:after="0" w:line="201" w:lineRule="exact"/>
        <w:rPr>
          <w:sz w:val="24"/>
          <w:szCs w:val="24"/>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Item</w:t>
        <w:tab/>
        <w:t>1:</w:t>
      </w:r>
      <w:r>
        <w:rPr>
          <w:sz w:val="20"/>
          <w:szCs w:val="20"/>
          <w:color w:val="auto"/>
        </w:rPr>
        <w:tab/>
      </w:r>
      <w:r>
        <w:rPr>
          <w:rFonts w:ascii="Courier New" w:cs="Courier New" w:eastAsia="Courier New" w:hAnsi="Courier New"/>
          <w:sz w:val="16"/>
          <w:szCs w:val="16"/>
          <w:color w:val="auto"/>
        </w:rPr>
        <w:t>REPORTING PERSONS</w:t>
      </w:r>
    </w:p>
    <w:p>
      <w:pPr>
        <w:ind w:left="1280"/>
        <w:spacing w:after="0" w:line="238" w:lineRule="auto"/>
        <w:rPr>
          <w:sz w:val="20"/>
          <w:szCs w:val="20"/>
          <w:color w:val="auto"/>
        </w:rPr>
      </w:pPr>
      <w:r>
        <w:rPr>
          <w:rFonts w:ascii="Courier New" w:cs="Courier New" w:eastAsia="Courier New" w:hAnsi="Courier New"/>
          <w:sz w:val="18"/>
          <w:szCs w:val="18"/>
          <w:color w:val="auto"/>
        </w:rPr>
        <w:t>Dimensional Fund Advisors Inc. (Tax ID: 22-2370029)</w:t>
      </w:r>
    </w:p>
    <w:p>
      <w:pPr>
        <w:spacing w:after="0" w:line="202" w:lineRule="exact"/>
        <w:rPr>
          <w:sz w:val="24"/>
          <w:szCs w:val="24"/>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Delaware Corporation</w:t>
      </w:r>
    </w:p>
    <w:p>
      <w:pPr>
        <w:spacing w:after="0" w:line="202" w:lineRule="exact"/>
        <w:rPr>
          <w:sz w:val="24"/>
          <w:szCs w:val="24"/>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Item</w:t>
        <w:tab/>
        <w:t>5:</w:t>
      </w:r>
      <w:r>
        <w:rPr>
          <w:sz w:val="20"/>
          <w:szCs w:val="20"/>
          <w:color w:val="auto"/>
        </w:rPr>
        <w:tab/>
      </w:r>
      <w:r>
        <w:rPr>
          <w:rFonts w:ascii="Courier New" w:cs="Courier New" w:eastAsia="Courier New" w:hAnsi="Courier New"/>
          <w:sz w:val="16"/>
          <w:szCs w:val="16"/>
          <w:color w:val="auto"/>
        </w:rPr>
        <w:t>SOLE VOTING POWER</w:t>
      </w:r>
    </w:p>
    <w:p>
      <w:pPr>
        <w:ind w:left="1480"/>
        <w:spacing w:after="0" w:line="238" w:lineRule="auto"/>
        <w:rPr>
          <w:sz w:val="20"/>
          <w:szCs w:val="20"/>
          <w:color w:val="auto"/>
        </w:rPr>
      </w:pPr>
      <w:r>
        <w:rPr>
          <w:rFonts w:ascii="Courier New" w:cs="Courier New" w:eastAsia="Courier New" w:hAnsi="Courier New"/>
          <w:sz w:val="18"/>
          <w:szCs w:val="18"/>
          <w:color w:val="auto"/>
        </w:rPr>
        <w:t>526,200</w:t>
      </w:r>
    </w:p>
    <w:p>
      <w:pPr>
        <w:spacing w:after="0" w:line="5" w:lineRule="exact"/>
        <w:rPr>
          <w:sz w:val="24"/>
          <w:szCs w:val="24"/>
          <w:color w:val="auto"/>
        </w:rPr>
      </w:pPr>
    </w:p>
    <w:p>
      <w:pPr>
        <w:ind w:left="1480" w:right="2839" w:firstLine="3"/>
        <w:spacing w:after="0" w:line="237" w:lineRule="auto"/>
        <w:tabs>
          <w:tab w:leader="none" w:pos="169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who are officers of Dimensional Fund Advisors Inc. also serve as officers of DFA Investment Dimensions Group Inc., (the "Fund") and The DFA Investment Trust Company (the "Trust"), each an open-end management investment company registered under the Investment Company Act of 1940. In their capacities as officers of the Fund and the Trust, these persons vote 130,900 additional shares which are owned by the Fund and 130,800 shares which are owned by the Trust. (Included in Item 7 of this page of this Schedule)</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787,900</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787,900</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w w:val="97"/>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5.04</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66 B Street</w:t>
      </w:r>
    </w:p>
    <w:p>
      <w:pPr>
        <w:ind w:left="1280"/>
        <w:spacing w:after="0" w:line="238" w:lineRule="auto"/>
        <w:tabs>
          <w:tab w:leader="none" w:pos="2200" w:val="left"/>
          <w:tab w:leader="none" w:pos="2720" w:val="left"/>
        </w:tabs>
        <w:rPr>
          <w:sz w:val="20"/>
          <w:szCs w:val="20"/>
          <w:color w:val="auto"/>
        </w:rPr>
      </w:pPr>
      <w:r>
        <w:rPr>
          <w:rFonts w:ascii="Courier New" w:cs="Courier New" w:eastAsia="Courier New" w:hAnsi="Courier New"/>
          <w:sz w:val="18"/>
          <w:szCs w:val="18"/>
          <w:color w:val="auto"/>
        </w:rPr>
        <w:t>Needham</w:t>
        <w:tab/>
        <w:t>MA</w:t>
        <w:tab/>
        <w:t>02194</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503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447" w:right="1440" w:bottom="0" w:gutter="0" w:footer="0" w:header="0"/>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25057L102</w:t>
      </w:r>
    </w:p>
    <w:p>
      <w:pPr>
        <w:spacing w:after="0" w:line="207" w:lineRule="exact"/>
        <w:rPr>
          <w:sz w:val="20"/>
          <w:szCs w:val="20"/>
          <w:color w:val="auto"/>
        </w:rPr>
      </w:pPr>
    </w:p>
    <w:p>
      <w:pPr>
        <w:ind w:left="1280" w:right="303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tabs>
          <w:tab w:leader="none" w:pos="126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6"/>
          <w:szCs w:val="16"/>
          <w:color w:val="auto"/>
        </w:rPr>
        <w:t>AMOUNT BENEFICIALLY OWNED</w:t>
      </w:r>
    </w:p>
    <w:p>
      <w:pPr>
        <w:ind w:left="1280"/>
        <w:spacing w:after="0"/>
        <w:rPr>
          <w:sz w:val="20"/>
          <w:szCs w:val="20"/>
          <w:color w:val="auto"/>
        </w:rPr>
      </w:pPr>
      <w:r>
        <w:rPr>
          <w:rFonts w:ascii="Courier New" w:cs="Courier New" w:eastAsia="Courier New" w:hAnsi="Courier New"/>
          <w:sz w:val="18"/>
          <w:szCs w:val="18"/>
          <w:color w:val="auto"/>
        </w:rPr>
        <w:t>See Page 2, Item No. 9</w:t>
      </w:r>
    </w:p>
    <w:p>
      <w:pPr>
        <w:spacing w:after="0"/>
        <w:tabs>
          <w:tab w:leader="none" w:pos="126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w:t>
      </w:r>
    </w:p>
    <w:p>
      <w:pPr>
        <w:ind w:left="1280"/>
        <w:spacing w:after="0" w:line="238" w:lineRule="auto"/>
        <w:rPr>
          <w:sz w:val="20"/>
          <w:szCs w:val="20"/>
          <w:color w:val="auto"/>
        </w:rPr>
      </w:pPr>
      <w:r>
        <w:rPr>
          <w:rFonts w:ascii="Courier New" w:cs="Courier New" w:eastAsia="Courier New" w:hAnsi="Courier New"/>
          <w:sz w:val="18"/>
          <w:szCs w:val="18"/>
          <w:color w:val="auto"/>
        </w:rPr>
        <w:t>See Page 2, Item No. 11</w:t>
      </w:r>
    </w:p>
    <w:p>
      <w:pPr>
        <w:spacing w:after="0"/>
        <w:tabs>
          <w:tab w:leader="none" w:pos="1260" w:val="left"/>
        </w:tabs>
        <w:rPr>
          <w:sz w:val="20"/>
          <w:szCs w:val="20"/>
          <w:color w:val="auto"/>
        </w:rPr>
      </w:pPr>
      <w:r>
        <w:rPr>
          <w:rFonts w:ascii="Courier New" w:cs="Courier New" w:eastAsia="Courier New" w:hAnsi="Courier New"/>
          <w:sz w:val="18"/>
          <w:szCs w:val="18"/>
          <w:color w:val="auto"/>
        </w:rPr>
        <w:t>ITEM 4(c).</w:t>
      </w:r>
      <w:r>
        <w:rPr>
          <w:sz w:val="20"/>
          <w:szCs w:val="20"/>
          <w:color w:val="auto"/>
        </w:rPr>
        <w:tab/>
      </w:r>
      <w:r>
        <w:rPr>
          <w:rFonts w:ascii="Courier New" w:cs="Courier New" w:eastAsia="Courier New" w:hAnsi="Courier New"/>
          <w:sz w:val="16"/>
          <w:szCs w:val="16"/>
          <w:color w:val="auto"/>
        </w:rPr>
        <w:t>NUMBER OF SHARE AS TO WHICH SUCH PERSON HAS:</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DIRECT THE VOTE --</w:t>
      </w:r>
    </w:p>
    <w:p>
      <w:pPr>
        <w:ind w:left="1280"/>
        <w:spacing w:after="0"/>
        <w:rPr>
          <w:sz w:val="20"/>
          <w:szCs w:val="20"/>
          <w:color w:val="auto"/>
        </w:rPr>
      </w:pPr>
      <w:r>
        <w:rPr>
          <w:rFonts w:ascii="Courier New" w:cs="Courier New" w:eastAsia="Courier New" w:hAnsi="Courier New"/>
          <w:sz w:val="18"/>
          <w:szCs w:val="18"/>
          <w:color w:val="auto"/>
        </w:rPr>
        <w:t>See Page 2, Item No. 5</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w:t>
      </w:r>
    </w:p>
    <w:p>
      <w:pPr>
        <w:ind w:left="1280"/>
        <w:spacing w:after="0"/>
        <w:rPr>
          <w:sz w:val="20"/>
          <w:szCs w:val="20"/>
          <w:color w:val="auto"/>
        </w:rPr>
      </w:pPr>
      <w:r>
        <w:rPr>
          <w:rFonts w:ascii="Courier New" w:cs="Courier New" w:eastAsia="Courier New" w:hAnsi="Courier New"/>
          <w:sz w:val="18"/>
          <w:szCs w:val="18"/>
          <w:color w:val="auto"/>
        </w:rPr>
        <w:t>None</w:t>
      </w:r>
    </w:p>
    <w:p>
      <w:pPr>
        <w:ind w:left="420"/>
        <w:spacing w:after="0"/>
        <w:tabs>
          <w:tab w:leader="none" w:pos="126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6"/>
          <w:szCs w:val="16"/>
          <w:color w:val="auto"/>
        </w:rPr>
        <w:t>SOLE POWER TO DISPOSE OR TO DIRECT DISPOSITION OF --</w:t>
      </w:r>
    </w:p>
    <w:p>
      <w:pPr>
        <w:ind w:left="1280"/>
        <w:spacing w:after="0" w:line="238" w:lineRule="auto"/>
        <w:rPr>
          <w:sz w:val="20"/>
          <w:szCs w:val="20"/>
          <w:color w:val="auto"/>
        </w:rPr>
      </w:pPr>
      <w:r>
        <w:rPr>
          <w:rFonts w:ascii="Courier New" w:cs="Courier New" w:eastAsia="Courier New" w:hAnsi="Courier New"/>
          <w:sz w:val="18"/>
          <w:szCs w:val="18"/>
          <w:color w:val="auto"/>
        </w:rPr>
        <w:t>See Page 2, Item No. 9</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 POWER TO DISPOSE OR TO DIRECT DISPOSISTION OF --</w:t>
      </w:r>
    </w:p>
    <w:p>
      <w:pPr>
        <w:ind w:left="1280"/>
        <w:spacing w:after="0" w:line="237" w:lineRule="auto"/>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12/31/96 the reporting person has ceased to be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 of more than five percent of the class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securities, check the following: [ ]</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MORE THAN FIVE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Securities reported upon in this schedule are onwed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advisory clients Dimensional Fund Advisors Inc., no one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to the knowledge of Dimensional Fund Advisors Inc.</w:t>
      </w:r>
    </w:p>
    <w:p>
      <w:pPr>
        <w:spacing w:after="0" w:line="238" w:lineRule="auto"/>
        <w:rPr>
          <w:sz w:val="20"/>
          <w:szCs w:val="20"/>
          <w:color w:val="auto"/>
        </w:rPr>
      </w:pPr>
      <w:r>
        <w:rPr>
          <w:rFonts w:ascii="Courier New" w:cs="Courier New" w:eastAsia="Courier New" w:hAnsi="Courier New"/>
          <w:sz w:val="18"/>
          <w:szCs w:val="18"/>
          <w:color w:val="auto"/>
        </w:rPr>
        <w:t>owns more than 5% of the class</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IDENTIFICATION AND CLASSIFICATION OF THE SUBSIDIARY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SECURITY BEING REPORTED ON BY THE PARENT HOLDING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ind w:right="2939"/>
        <w:spacing w:after="0" w:line="235" w:lineRule="auto"/>
        <w:rPr>
          <w:sz w:val="20"/>
          <w:szCs w:val="20"/>
          <w:color w:val="auto"/>
        </w:rPr>
      </w:pPr>
      <w:r>
        <w:rPr>
          <w:rFonts w:ascii="Courier New" w:cs="Courier New" w:eastAsia="Courier New" w:hAnsi="Courier New"/>
          <w:sz w:val="18"/>
          <w:szCs w:val="18"/>
          <w:color w:val="auto"/>
        </w:rPr>
        <w:t>IDENTIFICATION AND CLASSIFICATION OF MEMBERS OF THE GROUP Not Applicable</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CERTIFICATION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signing below I certify that, to the best of my knowledge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belief, the securities referred to above were acquired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ordinary course of business and were not acquired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purpose of and do not have the effect of changing or</w:t>
      </w:r>
    </w:p>
    <w:p>
      <w:pPr>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were not acquired in connection with or as a participant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0" w:lineRule="exact"/>
        <w:rPr>
          <w:sz w:val="20"/>
          <w:szCs w:val="20"/>
          <w:color w:val="auto"/>
        </w:rPr>
      </w:pPr>
    </w:p>
    <w:p>
      <w:pPr>
        <w:sectPr>
          <w:pgSz w:w="11900" w:h="16838" w:orient="portrait"/>
          <w:cols w:equalWidth="0" w:num="2">
            <w:col w:w="860" w:space="420"/>
            <w:col w:w="8939"/>
          </w:cols>
          <w:pgMar w:left="240" w:top="136" w:right="1440" w:bottom="1440" w:gutter="0" w:footer="0" w:header="0"/>
          <w:type w:val="continuous"/>
        </w:sectPr>
      </w:pPr>
    </w:p>
    <w:p>
      <w:pPr>
        <w:spacing w:after="0" w:line="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Wednesday, February 5, 1997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p>
      <w:pPr>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2019-12-19T21:24:45Z</dcterms:created>
  <dcterms:modified xsi:type="dcterms:W3CDTF">2019-12-19T21:24:45Z</dcterms:modified>
</cp:coreProperties>
</file>