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SCHEDULE 13D/A</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(Amendment No. 56)</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Casual Male Retail Group, Inc.</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25057L102</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Seymour Holtzman</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 Jewelcor Companies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100 N. Wilkes Barre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Wilkes-Barre, Pennsylvania 18702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(570) 822-6277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and Communications)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May 30, 2007</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841" w:right="659" w:bottom="1440" w:gutter="0" w:footer="0" w:header="0"/>
        </w:sectPr>
      </w:pPr>
    </w:p>
    <w:bookmarkStart w:id="1" w:name="page2"/>
    <w:bookmarkEnd w:id="1"/>
    <w:p>
      <w:pPr>
        <w:ind w:left="5040"/>
        <w:spacing w:after="0"/>
        <w:rPr>
          <w:sz w:val="20"/>
          <w:szCs w:val="20"/>
          <w:color w:val="auto"/>
        </w:rPr>
      </w:pPr>
      <w:r>
        <w:rPr>
          <w:rFonts w:ascii="Arial" w:cs="Arial" w:eastAsia="Arial" w:hAnsi="Arial"/>
          <w:sz w:val="17"/>
          <w:szCs w:val="17"/>
          <w:b w:val="1"/>
          <w:bCs w:val="1"/>
          <w:color w:val="auto"/>
        </w:rPr>
        <w:t>SCHEDULE 13D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34" w:lineRule="exact"/>
        <w:rPr>
          <w:sz w:val="20"/>
          <w:szCs w:val="20"/>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ectPr>
          <w:pgSz w:w="11900" w:h="16838" w:orient="portrait"/>
          <w:cols w:equalWidth="0" w:num="1">
            <w:col w:w="10219"/>
          </w:cols>
          <w:pgMar w:left="240" w:top="850" w:right="1440" w:bottom="1440" w:gutter="0" w:footer="0" w:header="0"/>
        </w:sectPr>
      </w:pP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Jewelcor Management, Inc. 23-2331228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9" w:lineRule="exact"/>
        <w:rPr>
          <w:sz w:val="20"/>
          <w:szCs w:val="20"/>
          <w:color w:val="auto"/>
        </w:rPr>
      </w:pPr>
    </w:p>
    <w:p>
      <w:pPr>
        <w:spacing w:after="0"/>
        <w:tabs>
          <w:tab w:leader="none" w:pos="640" w:val="left"/>
          <w:tab w:leader="none" w:pos="7140" w:val="left"/>
          <w:tab w:leader="none" w:pos="77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4"/>
          <w:szCs w:val="14"/>
          <w:color w:val="auto"/>
        </w:rPr>
        <w:t>o</w:t>
      </w:r>
    </w:p>
    <w:p>
      <w:pPr>
        <w:sectPr>
          <w:pgSz w:w="11900" w:h="16838" w:orient="portrait"/>
          <w:cols w:equalWidth="0" w:num="1">
            <w:col w:w="10219"/>
          </w:cols>
          <w:pgMar w:left="240" w:top="850" w:right="1440" w:bottom="1440" w:gutter="0" w:footer="0" w:header="0"/>
          <w:type w:val="continuous"/>
        </w:sectPr>
      </w:pPr>
    </w:p>
    <w:p>
      <w:pPr>
        <w:spacing w:after="0" w:line="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 w:leader="none" w:pos="4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color w:val="auto"/>
        </w:rPr>
        <w:t>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w:t>
      </w:r>
    </w:p>
    <w:p>
      <w:pPr>
        <w:sectPr>
          <w:pgSz w:w="11900" w:h="16838" w:orient="portrait"/>
          <w:cols w:equalWidth="0" w:num="1">
            <w:col w:w="10219"/>
          </w:cols>
          <w:pgMar w:left="240" w:top="850"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2(d) OR 2(e)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487" w:lineRule="exact"/>
        <w:rPr>
          <w:sz w:val="20"/>
          <w:szCs w:val="20"/>
          <w:color w:val="auto"/>
        </w:rPr>
      </w:pPr>
    </w:p>
    <w:p>
      <w:pPr>
        <w:sectPr>
          <w:pgSz w:w="11900" w:h="16838" w:orient="portrait"/>
          <w:cols w:equalWidth="0" w:num="2">
            <w:col w:w="8200" w:space="720"/>
            <w:col w:w="1299"/>
          </w:cols>
          <w:pgMar w:left="240" w:top="85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4680" w:type="dxa"/>
            <w:vAlign w:val="bottom"/>
          </w:tcPr>
          <w:p>
            <w:pPr>
              <w:jc w:val="right"/>
              <w:ind w:right="251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4680" w:type="dxa"/>
            <w:vAlign w:val="bottom"/>
          </w:tcPr>
          <w:p>
            <w:pPr>
              <w:jc w:val="right"/>
              <w:ind w:right="3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680" w:type="dxa"/>
            <w:vAlign w:val="bottom"/>
          </w:tcPr>
          <w:p>
            <w:pPr>
              <w:jc w:val="right"/>
              <w:ind w:right="195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300" w:type="dxa"/>
            <w:vAlign w:val="bottom"/>
          </w:tcPr>
          <w:p>
            <w:pPr>
              <w:spacing w:after="0"/>
              <w:rPr>
                <w:sz w:val="18"/>
                <w:szCs w:val="18"/>
                <w:color w:val="auto"/>
              </w:rPr>
            </w:pPr>
          </w:p>
        </w:tc>
        <w:tc>
          <w:tcPr>
            <w:tcW w:w="4680" w:type="dxa"/>
            <w:vAlign w:val="bottom"/>
          </w:tcPr>
          <w:p>
            <w:pPr>
              <w:jc w:val="right"/>
              <w:ind w:right="33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680" w:type="dxa"/>
            <w:vAlign w:val="bottom"/>
          </w:tcPr>
          <w:p>
            <w:pPr>
              <w:jc w:val="right"/>
              <w:ind w:right="183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300" w:type="dxa"/>
            <w:vAlign w:val="bottom"/>
          </w:tcPr>
          <w:p>
            <w:pPr>
              <w:spacing w:after="0"/>
              <w:rPr>
                <w:sz w:val="18"/>
                <w:szCs w:val="18"/>
                <w:color w:val="auto"/>
              </w:rPr>
            </w:pPr>
          </w:p>
        </w:tc>
        <w:tc>
          <w:tcPr>
            <w:tcW w:w="4680" w:type="dxa"/>
            <w:vAlign w:val="bottom"/>
          </w:tcPr>
          <w:p>
            <w:pPr>
              <w:jc w:val="right"/>
              <w:ind w:right="32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20"/>
        </w:trPr>
        <w:tc>
          <w:tcPr>
            <w:tcW w:w="188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4680" w:type="dxa"/>
            <w:vAlign w:val="bottom"/>
          </w:tcPr>
          <w:p>
            <w:pPr>
              <w:jc w:val="right"/>
              <w:ind w:right="175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80" w:type="dxa"/>
            <w:vAlign w:val="bottom"/>
          </w:tcPr>
          <w:p>
            <w:pPr>
              <w:jc w:val="right"/>
              <w:ind w:right="36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3900" w:right="2559" w:hanging="3892"/>
        <w:spacing w:after="0" w:line="250" w:lineRule="auto"/>
        <w:tabs>
          <w:tab w:leader="none" w:pos="73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__________________________________________________________________________</w:t>
      </w:r>
      <w:r>
        <w:rPr>
          <w:rFonts w:ascii="MS PGothic" w:cs="MS PGothic" w:eastAsia="MS PGothic" w:hAnsi="MS PGothic"/>
          <w:sz w:val="18"/>
          <w:szCs w:val="18"/>
          <w:b w:val="1"/>
          <w:bCs w:val="1"/>
          <w:color w:val="auto"/>
        </w:rPr>
        <w: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&amp;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34"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1300" w:right="5780" w:hanging="499"/>
        <w:spacing w:after="0" w:line="250" w:lineRule="auto"/>
        <w:rPr>
          <w:rFonts w:ascii="Arial" w:cs="Arial" w:eastAsia="Arial" w:hAnsi="Arial"/>
          <w:sz w:val="18"/>
          <w:szCs w:val="18"/>
          <w:color w:val="auto"/>
        </w:rPr>
      </w:pPr>
      <w:r>
        <w:rPr>
          <w:rFonts w:ascii="Arial" w:cs="Arial" w:eastAsia="Arial" w:hAnsi="Arial"/>
          <w:sz w:val="18"/>
          <w:szCs w:val="18"/>
          <w:b w:val="1"/>
          <w:bCs w:val="1"/>
          <w:color w:val="auto"/>
        </w:rPr>
        <w:t xml:space="preserve">S.S. OR I.R.S. IDENTIFICATION NO. OF ABOVE PERSON </w:t>
      </w:r>
      <w:r>
        <w:rPr>
          <w:rFonts w:ascii="Arial" w:cs="Arial" w:eastAsia="Arial" w:hAnsi="Arial"/>
          <w:sz w:val="18"/>
          <w:szCs w:val="18"/>
          <w:color w:val="auto"/>
        </w:rPr>
        <w:t>Seymour Holtzman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9" w:lineRule="exact"/>
        <w:rPr>
          <w:sz w:val="20"/>
          <w:szCs w:val="20"/>
          <w:color w:val="auto"/>
        </w:rPr>
      </w:pPr>
    </w:p>
    <w:p>
      <w:pPr>
        <w:spacing w:after="0"/>
        <w:tabs>
          <w:tab w:leader="none" w:pos="640" w:val="left"/>
          <w:tab w:leader="none" w:pos="7140" w:val="left"/>
          <w:tab w:leader="none" w:pos="7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o</w:t>
      </w:r>
    </w:p>
    <w:p>
      <w:pPr>
        <w:spacing w:after="0" w:line="9"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 w:leader="none" w:pos="4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5"/>
          <w:szCs w:val="15"/>
          <w:color w:val="auto"/>
        </w:rPr>
        <w:t>PF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w:t>
      </w:r>
    </w:p>
    <w:p>
      <w:pPr>
        <w:spacing w:after="0" w:line="9"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b w:val="1"/>
          <w:bCs w:val="1"/>
          <w:color w:val="auto"/>
        </w:rPr>
        <w:t>ITEMS 2(d) OR 2(e)</w:t>
      </w:r>
      <w:r>
        <w:rPr>
          <w:sz w:val="20"/>
          <w:szCs w:val="20"/>
          <w:color w:val="auto"/>
        </w:rPr>
        <w:tab/>
      </w:r>
      <w:r>
        <w:rPr>
          <w:rFonts w:ascii="Arial" w:cs="Arial" w:eastAsia="Arial" w:hAnsi="Arial"/>
          <w:sz w:val="14"/>
          <w:szCs w:val="14"/>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CITIZENSHIP OR PLACE OF ORGANIZATION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4720" w:type="dxa"/>
            <w:vAlign w:val="bottom"/>
          </w:tcPr>
          <w:p>
            <w:pPr>
              <w:jc w:val="right"/>
              <w:ind w:right="255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tcPr>
          <w:p>
            <w:pPr>
              <w:jc w:val="right"/>
              <w:ind w:right="2370"/>
              <w:spacing w:after="0"/>
              <w:rPr>
                <w:sz w:val="20"/>
                <w:szCs w:val="20"/>
                <w:color w:val="auto"/>
              </w:rPr>
            </w:pPr>
            <w:r>
              <w:rPr>
                <w:rFonts w:ascii="Arial" w:cs="Arial" w:eastAsia="Arial" w:hAnsi="Arial"/>
                <w:sz w:val="18"/>
                <w:szCs w:val="18"/>
                <w:color w:val="auto"/>
              </w:rPr>
              <w:t>5,413,403(1)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720" w:type="dxa"/>
            <w:vAlign w:val="bottom"/>
          </w:tcPr>
          <w:p>
            <w:pPr>
              <w:jc w:val="right"/>
              <w:ind w:right="199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260" w:type="dxa"/>
            <w:vAlign w:val="bottom"/>
          </w:tcPr>
          <w:p>
            <w:pPr>
              <w:spacing w:after="0"/>
              <w:rPr>
                <w:sz w:val="18"/>
                <w:szCs w:val="18"/>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720" w:type="dxa"/>
            <w:vAlign w:val="bottom"/>
          </w:tcPr>
          <w:p>
            <w:pPr>
              <w:jc w:val="right"/>
              <w:ind w:right="187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260" w:type="dxa"/>
            <w:vAlign w:val="bottom"/>
          </w:tcPr>
          <w:p>
            <w:pPr>
              <w:spacing w:after="0"/>
              <w:rPr>
                <w:sz w:val="18"/>
                <w:szCs w:val="18"/>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5,413,403(1)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4720" w:type="dxa"/>
            <w:vAlign w:val="bottom"/>
          </w:tcPr>
          <w:p>
            <w:pPr>
              <w:jc w:val="right"/>
              <w:ind w:right="163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3980" w:right="3700" w:hanging="3972"/>
        <w:spacing w:after="0" w:line="250" w:lineRule="auto"/>
        <w:tabs>
          <w:tab w:leader="none" w:pos="72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5,413,403(1) — See Item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2640" w:right="3080" w:hanging="2632"/>
        <w:spacing w:after="0" w:line="250" w:lineRule="auto"/>
        <w:tabs>
          <w:tab w:leader="none" w:pos="737"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(11) EXCLUDES CERTAIN SHARES </w:t>
      </w:r>
      <w:r>
        <w:rPr>
          <w:rFonts w:ascii="Arial" w:cs="Arial" w:eastAsia="Arial" w:hAnsi="Arial"/>
          <w:sz w:val="18"/>
          <w:szCs w:val="18"/>
          <w:color w:val="auto"/>
        </w:rPr>
        <w: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3980" w:right="5220" w:hanging="3972"/>
        <w:spacing w:after="0" w:line="250"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(11) </w:t>
      </w:r>
      <w:r>
        <w:rPr>
          <w:rFonts w:ascii="Arial" w:cs="Arial" w:eastAsia="Arial" w:hAnsi="Arial"/>
          <w:sz w:val="18"/>
          <w:szCs w:val="18"/>
          <w:color w:val="auto"/>
        </w:rPr>
        <w:t>12.50%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__________________________________________________________________________</w:t>
      </w:r>
      <w:r>
        <w:rPr>
          <w:rFonts w:ascii="MS PGothic" w:cs="MS PGothic" w:eastAsia="MS PGothic" w:hAnsi="MS PGothic"/>
          <w:sz w:val="18"/>
          <w:szCs w:val="18"/>
          <w:b w:val="1"/>
          <w:bCs w:val="1"/>
          <w:color w:val="auto"/>
        </w:rPr>
        <w: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&amp; #160;</w:t>
      </w:r>
    </w:p>
    <w:p>
      <w:pPr>
        <w:spacing w:after="0" w:line="238" w:lineRule="exact"/>
        <w:rPr>
          <w:sz w:val="20"/>
          <w:szCs w:val="20"/>
          <w:color w:val="auto"/>
        </w:rPr>
      </w:pPr>
    </w:p>
    <w:p>
      <w:pPr>
        <w:ind w:firstLine="8"/>
        <w:spacing w:after="0" w:line="25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an aggregate of 1,743,334 shares of Common Stock and warrants to purchase an aggregate of 80,000 shares of Common Stock, all of which are immediately exercisable and are directly beneficially owned by Mr. Holtzman. Excludes options to purchase an aggregate of 243,093 shares of Common Stock, 45,476 of which become exercisable on February 6, 2008, 53,333 of which become exercisable on April 24, 2008, 45,476 of which become exercisable on February 6, 2009, 53,333 of which become exercisable on April 24, 2009 and 45,475 of which become exercisable on February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3" w:name="page4"/>
    <w:bookmarkEnd w:id="3"/>
    <w:p>
      <w:pPr>
        <w:ind w:left="5040"/>
        <w:spacing w:after="0"/>
        <w:rPr>
          <w:sz w:val="20"/>
          <w:szCs w:val="20"/>
          <w:color w:val="auto"/>
        </w:rPr>
      </w:pPr>
      <w:r>
        <w:rPr>
          <w:rFonts w:ascii="Arial" w:cs="Arial" w:eastAsia="Arial" w:hAnsi="Arial"/>
          <w:sz w:val="17"/>
          <w:szCs w:val="17"/>
          <w:b w:val="1"/>
          <w:bCs w:val="1"/>
          <w:color w:val="auto"/>
        </w:rPr>
        <w:t>SCHEDULE 13D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3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ectPr>
          <w:pgSz w:w="11900" w:h="16838" w:orient="portrait"/>
          <w:cols w:equalWidth="0" w:num="1">
            <w:col w:w="10219"/>
          </w:cols>
          <w:pgMar w:left="240" w:top="850" w:right="1440" w:bottom="1440" w:gutter="0" w:footer="0" w:header="0"/>
        </w:sectPr>
      </w:pP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Evelyn Holtzman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9" w:lineRule="exact"/>
        <w:rPr>
          <w:sz w:val="20"/>
          <w:szCs w:val="20"/>
          <w:color w:val="auto"/>
        </w:rPr>
      </w:pPr>
    </w:p>
    <w:p>
      <w:pPr>
        <w:spacing w:after="0"/>
        <w:tabs>
          <w:tab w:leader="none" w:pos="640" w:val="left"/>
          <w:tab w:leader="none" w:pos="7440" w:val="left"/>
          <w:tab w:leader="none" w:pos="78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4"/>
          <w:szCs w:val="14"/>
          <w:color w:val="auto"/>
        </w:rPr>
        <w:t>o</w:t>
      </w:r>
    </w:p>
    <w:p>
      <w:pPr>
        <w:sectPr>
          <w:pgSz w:w="11900" w:h="16838" w:orient="portrait"/>
          <w:cols w:equalWidth="0" w:num="1">
            <w:col w:w="10219"/>
          </w:cols>
          <w:pgMar w:left="240" w:top="850" w:right="1440" w:bottom="1440" w:gutter="0" w:footer="0" w:header="0"/>
          <w:type w:val="continuous"/>
        </w:sectPr>
      </w:pPr>
    </w:p>
    <w:p>
      <w:pPr>
        <w:spacing w:after="0" w:line="9" w:lineRule="exact"/>
        <w:rPr>
          <w:sz w:val="20"/>
          <w:szCs w:val="20"/>
          <w:color w:val="auto"/>
        </w:rPr>
      </w:pPr>
    </w:p>
    <w:p>
      <w:pPr>
        <w:ind w:left="400" w:hanging="347"/>
        <w:spacing w:after="0"/>
        <w:tabs>
          <w:tab w:leader="none" w:pos="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 w:leader="none" w:pos="4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color w:val="auto"/>
        </w:rPr>
        <w:t>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w:t>
      </w:r>
    </w:p>
    <w:p>
      <w:pPr>
        <w:sectPr>
          <w:pgSz w:w="11900" w:h="16838" w:orient="portrait"/>
          <w:cols w:equalWidth="0" w:num="1">
            <w:col w:w="10219"/>
          </w:cols>
          <w:pgMar w:left="240" w:top="850" w:right="1440" w:bottom="1440" w:gutter="0" w:footer="0" w:header="0"/>
          <w:type w:val="continuous"/>
        </w:sectPr>
      </w:pP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ITEMS 2(d) OR 2(e)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452" w:lineRule="exact"/>
        <w:rPr>
          <w:sz w:val="20"/>
          <w:szCs w:val="20"/>
          <w:color w:val="auto"/>
        </w:rPr>
      </w:pPr>
    </w:p>
    <w:p>
      <w:pPr>
        <w:sectPr>
          <w:pgSz w:w="11900" w:h="16838" w:orient="portrait"/>
          <w:cols w:equalWidth="0" w:num="2">
            <w:col w:w="8240" w:space="720"/>
            <w:col w:w="1259"/>
          </w:cols>
          <w:pgMar w:left="240" w:top="85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260" w:type="dxa"/>
            <w:vAlign w:val="bottom"/>
          </w:tcPr>
          <w:p>
            <w:pPr>
              <w:ind w:left="720"/>
              <w:spacing w:after="0"/>
              <w:rPr>
                <w:sz w:val="20"/>
                <w:szCs w:val="20"/>
                <w:color w:val="auto"/>
              </w:rPr>
            </w:pPr>
            <w:r>
              <w:rPr>
                <w:rFonts w:ascii="Arial" w:cs="Arial" w:eastAsia="Arial" w:hAnsi="Arial"/>
                <w:sz w:val="18"/>
                <w:szCs w:val="18"/>
                <w:color w:val="auto"/>
              </w:rPr>
              <w:t>7)</w:t>
            </w:r>
          </w:p>
        </w:tc>
        <w:tc>
          <w:tcPr>
            <w:tcW w:w="4720" w:type="dxa"/>
            <w:vAlign w:val="bottom"/>
          </w:tcPr>
          <w:p>
            <w:pPr>
              <w:jc w:val="right"/>
              <w:ind w:right="255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tcPr>
          <w:p>
            <w:pPr>
              <w:jc w:val="right"/>
              <w:ind w:right="3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720" w:type="dxa"/>
            <w:vAlign w:val="bottom"/>
          </w:tcPr>
          <w:p>
            <w:pPr>
              <w:jc w:val="right"/>
              <w:ind w:right="199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260" w:type="dxa"/>
            <w:vAlign w:val="bottom"/>
          </w:tcPr>
          <w:p>
            <w:pPr>
              <w:spacing w:after="0"/>
              <w:rPr>
                <w:sz w:val="18"/>
                <w:szCs w:val="18"/>
                <w:color w:val="auto"/>
              </w:rPr>
            </w:pPr>
          </w:p>
        </w:tc>
        <w:tc>
          <w:tcPr>
            <w:tcW w:w="4720" w:type="dxa"/>
            <w:vAlign w:val="bottom"/>
          </w:tcPr>
          <w:p>
            <w:pPr>
              <w:jc w:val="right"/>
              <w:ind w:right="3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720" w:type="dxa"/>
            <w:vAlign w:val="bottom"/>
          </w:tcPr>
          <w:p>
            <w:pPr>
              <w:jc w:val="right"/>
              <w:ind w:right="187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260" w:type="dxa"/>
            <w:vAlign w:val="bottom"/>
          </w:tcPr>
          <w:p>
            <w:pPr>
              <w:spacing w:after="0"/>
              <w:rPr>
                <w:sz w:val="18"/>
                <w:szCs w:val="18"/>
                <w:color w:val="auto"/>
              </w:rPr>
            </w:pP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5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10)</w:t>
            </w:r>
          </w:p>
        </w:tc>
        <w:tc>
          <w:tcPr>
            <w:tcW w:w="4720" w:type="dxa"/>
            <w:vAlign w:val="bottom"/>
          </w:tcPr>
          <w:p>
            <w:pPr>
              <w:jc w:val="right"/>
              <w:ind w:right="175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0 — See Item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7" w:lineRule="exact"/>
        <w:rPr>
          <w:sz w:val="20"/>
          <w:szCs w:val="20"/>
          <w:color w:val="auto"/>
        </w:rPr>
      </w:pPr>
    </w:p>
    <w:p>
      <w:pPr>
        <w:jc w:val="right"/>
        <w:ind w:right="999"/>
        <w:spacing w:after="0"/>
        <w:rPr>
          <w:sz w:val="20"/>
          <w:szCs w:val="20"/>
          <w:color w:val="auto"/>
        </w:rPr>
      </w:pPr>
      <w:r>
        <w:rPr>
          <w:rFonts w:ascii="Arial" w:cs="Arial" w:eastAsia="Arial" w:hAnsi="Arial"/>
          <w:sz w:val="18"/>
          <w:szCs w:val="18"/>
          <w:b w:val="1"/>
          <w:bCs w:val="1"/>
          <w:color w:val="auto"/>
        </w:rPr>
        <w:t>&lt; /strong&gt;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type w:val="continuous"/>
        </w:sectPr>
      </w:pPr>
    </w:p>
    <w:bookmarkStart w:id="4" w:name="page5"/>
    <w:bookmarkEnd w:id="4"/>
    <w:p>
      <w:pPr>
        <w:ind w:left="5040"/>
        <w:spacing w:after="0"/>
        <w:rPr>
          <w:sz w:val="20"/>
          <w:szCs w:val="20"/>
          <w:color w:val="auto"/>
        </w:rPr>
      </w:pPr>
      <w:r>
        <w:rPr>
          <w:rFonts w:ascii="Arial" w:cs="Arial" w:eastAsia="Arial" w:hAnsi="Arial"/>
          <w:sz w:val="17"/>
          <w:szCs w:val="17"/>
          <w:b w:val="1"/>
          <w:bCs w:val="1"/>
          <w:color w:val="auto"/>
        </w:rPr>
        <w:t>SCHEDULE 13D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CUSIP No. 25057L102</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S.S. OR I.R.S. IDENTIFICATION NO. OF ABOVE PERSON</w:t>
      </w:r>
    </w:p>
    <w:p>
      <w:pPr>
        <w:sectPr>
          <w:pgSz w:w="11900" w:h="16838" w:orient="portrait"/>
          <w:cols w:equalWidth="0" w:num="1">
            <w:col w:w="10219"/>
          </w:cols>
          <w:pgMar w:left="240" w:top="850" w:right="1440" w:bottom="1440" w:gutter="0" w:footer="0" w:header="0"/>
        </w:sectPr>
      </w:pPr>
    </w:p>
    <w:p>
      <w:pPr>
        <w:spacing w:after="0" w:line="9" w:lineRule="exact"/>
        <w:rPr>
          <w:sz w:val="20"/>
          <w:szCs w:val="20"/>
          <w:color w:val="auto"/>
        </w:rPr>
      </w:pPr>
    </w:p>
    <w:p>
      <w:pPr>
        <w:ind w:left="1300"/>
        <w:spacing w:after="0"/>
        <w:tabs>
          <w:tab w:leader="none" w:pos="6560" w:val="left"/>
        </w:tabs>
        <w:rPr>
          <w:sz w:val="20"/>
          <w:szCs w:val="20"/>
          <w:color w:val="auto"/>
        </w:rPr>
      </w:pPr>
      <w:r>
        <w:rPr>
          <w:rFonts w:ascii="Arial" w:cs="Arial" w:eastAsia="Arial" w:hAnsi="Arial"/>
          <w:sz w:val="18"/>
          <w:szCs w:val="18"/>
          <w:b w:val="1"/>
          <w:bCs w:val="1"/>
          <w:color w:val="auto"/>
        </w:rPr>
        <w:t>S.H. Holdings, Inc.</w:t>
      </w:r>
      <w:r>
        <w:rPr>
          <w:sz w:val="20"/>
          <w:szCs w:val="20"/>
          <w:color w:val="auto"/>
        </w:rPr>
        <w:tab/>
      </w:r>
      <w:r>
        <w:rPr>
          <w:rFonts w:ascii="Arial" w:cs="Arial" w:eastAsia="Arial" w:hAnsi="Arial"/>
          <w:sz w:val="16"/>
          <w:szCs w:val="16"/>
          <w:b w:val="1"/>
          <w:bCs w:val="1"/>
          <w:color w:val="auto"/>
        </w:rPr>
        <w:t>23-2512788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w:t>
      </w:r>
    </w:p>
    <w:p>
      <w:pPr>
        <w:spacing w:after="0" w:line="21" w:lineRule="exact"/>
        <w:rPr>
          <w:sz w:val="20"/>
          <w:szCs w:val="20"/>
          <w:color w:val="auto"/>
        </w:rPr>
      </w:pPr>
    </w:p>
    <w:p>
      <w:pPr>
        <w:spacing w:after="0"/>
        <w:tabs>
          <w:tab w:leader="none" w:pos="640" w:val="left"/>
          <w:tab w:leader="none" w:pos="7140" w:val="left"/>
          <w:tab w:leader="none" w:pos="75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w:t>
      </w:r>
    </w:p>
    <w:p>
      <w:pPr>
        <w:sectPr>
          <w:pgSz w:w="11900" w:h="16838" w:orient="portrait"/>
          <w:cols w:equalWidth="0" w:num="1">
            <w:col w:w="10219"/>
          </w:cols>
          <w:pgMar w:left="240" w:top="850" w:right="1440" w:bottom="1440" w:gutter="0" w:footer="0" w:header="0"/>
          <w:type w:val="continuous"/>
        </w:sectPr>
      </w:pPr>
    </w:p>
    <w:p>
      <w:pPr>
        <w:spacing w:after="0" w:line="9"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[x]</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 w:leader="none" w:pos="47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b w:val="1"/>
          <w:bCs w:val="1"/>
          <w:color w:val="auto"/>
        </w:rPr>
        <w:t>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ITEMS 2(d) OR 2(e)</w:t>
            </w:r>
          </w:p>
        </w:tc>
        <w:tc>
          <w:tcPr>
            <w:tcW w:w="1140" w:type="dxa"/>
            <w:vAlign w:val="bottom"/>
          </w:tcPr>
          <w:p>
            <w:pPr>
              <w:spacing w:after="0"/>
              <w:rPr>
                <w:sz w:val="17"/>
                <w:szCs w:val="17"/>
                <w:color w:val="auto"/>
              </w:rPr>
            </w:pPr>
          </w:p>
        </w:tc>
        <w:tc>
          <w:tcPr>
            <w:tcW w:w="5860" w:type="dxa"/>
            <w:vAlign w:val="bottom"/>
          </w:tcPr>
          <w:p>
            <w:pPr>
              <w:jc w:val="right"/>
              <w:spacing w:after="0"/>
              <w:rPr>
                <w:sz w:val="20"/>
                <w:szCs w:val="20"/>
                <w:color w:val="auto"/>
              </w:rPr>
            </w:pPr>
            <w:r>
              <w:rPr>
                <w:rFonts w:ascii="Arial" w:cs="Arial" w:eastAsia="Arial" w:hAnsi="Arial"/>
                <w:sz w:val="18"/>
                <w:szCs w:val="18"/>
                <w:b w:val="1"/>
                <w:bCs w:val="1"/>
                <w:color w:val="auto"/>
              </w:rPr>
              <w:t>o</w:t>
            </w:r>
          </w:p>
        </w:tc>
      </w:tr>
      <w:tr>
        <w:trPr>
          <w:trHeight w:val="216"/>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tc>
      </w:tr>
      <w:tr>
        <w:trPr>
          <w:trHeight w:val="216"/>
        </w:trPr>
        <w:tc>
          <w:tcPr>
            <w:tcW w:w="600" w:type="dxa"/>
            <w:vAlign w:val="bottom"/>
          </w:tcPr>
          <w:p>
            <w:pPr>
              <w:spacing w:after="0"/>
              <w:rPr>
                <w:sz w:val="20"/>
                <w:szCs w:val="20"/>
                <w:color w:val="auto"/>
              </w:rPr>
            </w:pPr>
            <w:r>
              <w:rPr>
                <w:rFonts w:ascii="Arial" w:cs="Arial" w:eastAsia="Arial" w:hAnsi="Arial"/>
                <w:sz w:val="18"/>
                <w:szCs w:val="18"/>
                <w:b w:val="1"/>
                <w:bCs w:val="1"/>
                <w:color w:val="auto"/>
              </w:rPr>
              <w:t>6)</w:t>
            </w:r>
          </w:p>
        </w:tc>
        <w:tc>
          <w:tcPr>
            <w:tcW w:w="8400" w:type="dxa"/>
            <w:vAlign w:val="bottom"/>
            <w:gridSpan w:val="3"/>
          </w:tcPr>
          <w:p>
            <w:pPr>
              <w:jc w:val="right"/>
              <w:ind w:right="4330"/>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14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6"/>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w:t>
            </w:r>
          </w:p>
        </w:tc>
      </w:tr>
      <w:tr>
        <w:trPr>
          <w:trHeight w:val="216"/>
        </w:trPr>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Arial" w:cs="Arial" w:eastAsia="Arial" w:hAnsi="Arial"/>
                <w:sz w:val="18"/>
                <w:szCs w:val="18"/>
                <w:b w:val="1"/>
                <w:bCs w:val="1"/>
                <w:color w:val="auto"/>
              </w:rPr>
              <w:t>7)</w:t>
            </w:r>
          </w:p>
        </w:tc>
        <w:tc>
          <w:tcPr>
            <w:tcW w:w="5860" w:type="dxa"/>
            <w:vAlign w:val="bottom"/>
          </w:tcPr>
          <w:p>
            <w:pPr>
              <w:jc w:val="right"/>
              <w:ind w:right="3690"/>
              <w:spacing w:after="0"/>
              <w:rPr>
                <w:sz w:val="20"/>
                <w:szCs w:val="20"/>
                <w:color w:val="auto"/>
              </w:rPr>
            </w:pPr>
            <w:r>
              <w:rPr>
                <w:rFonts w:ascii="Arial" w:cs="Arial" w:eastAsia="Arial" w:hAnsi="Arial"/>
                <w:sz w:val="18"/>
                <w:szCs w:val="18"/>
                <w:b w:val="1"/>
                <w:bCs w:val="1"/>
                <w:color w:val="auto"/>
              </w:rPr>
              <w:t>SOLE VOTING POWER</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1140" w:type="dxa"/>
            <w:vAlign w:val="bottom"/>
          </w:tcPr>
          <w:p>
            <w:pPr>
              <w:spacing w:after="0"/>
              <w:rPr>
                <w:sz w:val="18"/>
                <w:szCs w:val="18"/>
                <w:color w:val="auto"/>
              </w:rPr>
            </w:pPr>
          </w:p>
        </w:tc>
        <w:tc>
          <w:tcPr>
            <w:tcW w:w="5860" w:type="dxa"/>
            <w:vAlign w:val="bottom"/>
          </w:tcPr>
          <w:p>
            <w:pPr>
              <w:jc w:val="right"/>
              <w:ind w:right="4350"/>
              <w:spacing w:after="0"/>
              <w:rPr>
                <w:sz w:val="20"/>
                <w:szCs w:val="20"/>
                <w:color w:val="auto"/>
              </w:rPr>
            </w:pPr>
            <w:r>
              <w:rPr>
                <w:rFonts w:ascii="Arial" w:cs="Arial" w:eastAsia="Arial" w:hAnsi="Arial"/>
                <w:sz w:val="18"/>
                <w:szCs w:val="18"/>
                <w:b w:val="1"/>
                <w:bCs w:val="1"/>
                <w:color w:val="auto"/>
              </w:rPr>
              <w:t>0</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700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w w:val="96"/>
              </w:rPr>
              <w:t>____________________________________________________________</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BENEFICIALLY</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5860" w:type="dxa"/>
            <w:vAlign w:val="bottom"/>
          </w:tcPr>
          <w:p>
            <w:pPr>
              <w:ind w:left="400"/>
              <w:spacing w:after="0"/>
              <w:rPr>
                <w:sz w:val="20"/>
                <w:szCs w:val="20"/>
                <w:color w:val="auto"/>
              </w:rPr>
            </w:pPr>
            <w:r>
              <w:rPr>
                <w:rFonts w:ascii="Arial" w:cs="Arial" w:eastAsia="Arial" w:hAnsi="Arial"/>
                <w:sz w:val="18"/>
                <w:szCs w:val="18"/>
                <w:b w:val="1"/>
                <w:bCs w:val="1"/>
                <w:color w:val="auto"/>
              </w:rPr>
              <w:t>SHARED VOTING POWER</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OWNED BY</w:t>
            </w:r>
          </w:p>
        </w:tc>
        <w:tc>
          <w:tcPr>
            <w:tcW w:w="1140" w:type="dxa"/>
            <w:vAlign w:val="bottom"/>
          </w:tcPr>
          <w:p>
            <w:pPr>
              <w:spacing w:after="0"/>
              <w:rPr>
                <w:sz w:val="18"/>
                <w:szCs w:val="18"/>
                <w:color w:val="auto"/>
              </w:rPr>
            </w:pPr>
          </w:p>
        </w:tc>
        <w:tc>
          <w:tcPr>
            <w:tcW w:w="5860" w:type="dxa"/>
            <w:vAlign w:val="bottom"/>
          </w:tcPr>
          <w:p>
            <w:pPr>
              <w:jc w:val="right"/>
              <w:ind w:right="4350"/>
              <w:spacing w:after="0"/>
              <w:rPr>
                <w:sz w:val="20"/>
                <w:szCs w:val="20"/>
                <w:color w:val="auto"/>
              </w:rPr>
            </w:pPr>
            <w:r>
              <w:rPr>
                <w:rFonts w:ascii="Arial" w:cs="Arial" w:eastAsia="Arial" w:hAnsi="Arial"/>
                <w:sz w:val="18"/>
                <w:szCs w:val="18"/>
                <w:b w:val="1"/>
                <w:bCs w:val="1"/>
                <w:color w:val="auto"/>
              </w:rPr>
              <w:t>0</w:t>
            </w:r>
          </w:p>
        </w:tc>
      </w:tr>
      <w:tr>
        <w:trPr>
          <w:trHeight w:val="216"/>
        </w:trPr>
        <w:tc>
          <w:tcPr>
            <w:tcW w:w="6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400" w:type="dxa"/>
            <w:vAlign w:val="bottom"/>
          </w:tcPr>
          <w:p>
            <w:pPr>
              <w:spacing w:after="0"/>
              <w:rPr>
                <w:sz w:val="18"/>
                <w:szCs w:val="18"/>
                <w:color w:val="auto"/>
              </w:rPr>
            </w:pPr>
          </w:p>
        </w:tc>
        <w:tc>
          <w:tcPr>
            <w:tcW w:w="700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w w:val="97"/>
              </w:rPr>
              <w:t>____________________________________________________________</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REPORTING</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5860" w:type="dxa"/>
            <w:vAlign w:val="bottom"/>
          </w:tcPr>
          <w:p>
            <w:pPr>
              <w:ind w:left="400"/>
              <w:spacing w:after="0"/>
              <w:rPr>
                <w:sz w:val="20"/>
                <w:szCs w:val="20"/>
                <w:color w:val="auto"/>
              </w:rPr>
            </w:pPr>
            <w:r>
              <w:rPr>
                <w:rFonts w:ascii="Arial" w:cs="Arial" w:eastAsia="Arial" w:hAnsi="Arial"/>
                <w:sz w:val="18"/>
                <w:szCs w:val="18"/>
                <w:b w:val="1"/>
                <w:bCs w:val="1"/>
                <w:color w:val="auto"/>
              </w:rPr>
              <w:t>SOLE DISPOSITIVE POWER</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PERSON</w:t>
            </w:r>
          </w:p>
        </w:tc>
        <w:tc>
          <w:tcPr>
            <w:tcW w:w="1140" w:type="dxa"/>
            <w:vAlign w:val="bottom"/>
          </w:tcPr>
          <w:p>
            <w:pPr>
              <w:spacing w:after="0"/>
              <w:rPr>
                <w:sz w:val="18"/>
                <w:szCs w:val="18"/>
                <w:color w:val="auto"/>
              </w:rPr>
            </w:pPr>
          </w:p>
        </w:tc>
        <w:tc>
          <w:tcPr>
            <w:tcW w:w="5860" w:type="dxa"/>
            <w:vAlign w:val="bottom"/>
          </w:tcPr>
          <w:p>
            <w:pPr>
              <w:jc w:val="right"/>
              <w:ind w:right="4390"/>
              <w:spacing w:after="0"/>
              <w:rPr>
                <w:sz w:val="20"/>
                <w:szCs w:val="20"/>
                <w:color w:val="auto"/>
              </w:rPr>
            </w:pPr>
            <w:r>
              <w:rPr>
                <w:rFonts w:ascii="Arial" w:cs="Arial" w:eastAsia="Arial" w:hAnsi="Arial"/>
                <w:sz w:val="18"/>
                <w:szCs w:val="18"/>
                <w:b w:val="1"/>
                <w:bCs w:val="1"/>
                <w:color w:val="auto"/>
              </w:rPr>
              <w:t>0</w:t>
            </w:r>
          </w:p>
        </w:tc>
      </w:tr>
      <w:tr>
        <w:trPr>
          <w:trHeight w:val="216"/>
        </w:trPr>
        <w:tc>
          <w:tcPr>
            <w:tcW w:w="60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1400" w:type="dxa"/>
            <w:vAlign w:val="bottom"/>
          </w:tcPr>
          <w:p>
            <w:pPr>
              <w:spacing w:after="0"/>
              <w:rPr>
                <w:sz w:val="18"/>
                <w:szCs w:val="18"/>
                <w:color w:val="auto"/>
              </w:rPr>
            </w:pPr>
          </w:p>
        </w:tc>
        <w:tc>
          <w:tcPr>
            <w:tcW w:w="700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w w:val="97"/>
              </w:rPr>
              <w:t>____________________________________________________________</w:t>
            </w:r>
          </w:p>
        </w:tc>
      </w:tr>
      <w:tr>
        <w:trPr>
          <w:trHeight w:val="216"/>
        </w:trPr>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Arial" w:cs="Arial" w:eastAsia="Arial" w:hAnsi="Arial"/>
                <w:sz w:val="18"/>
                <w:szCs w:val="18"/>
                <w:b w:val="1"/>
                <w:bCs w:val="1"/>
                <w:color w:val="auto"/>
              </w:rPr>
              <w:t>10)</w:t>
            </w:r>
          </w:p>
        </w:tc>
        <w:tc>
          <w:tcPr>
            <w:tcW w:w="5860" w:type="dxa"/>
            <w:vAlign w:val="bottom"/>
          </w:tcPr>
          <w:p>
            <w:pPr>
              <w:jc w:val="right"/>
              <w:ind w:right="2890"/>
              <w:spacing w:after="0"/>
              <w:rPr>
                <w:sz w:val="20"/>
                <w:szCs w:val="20"/>
                <w:color w:val="auto"/>
              </w:rPr>
            </w:pPr>
            <w:r>
              <w:rPr>
                <w:rFonts w:ascii="Arial" w:cs="Arial" w:eastAsia="Arial" w:hAnsi="Arial"/>
                <w:sz w:val="18"/>
                <w:szCs w:val="18"/>
                <w:b w:val="1"/>
                <w:bCs w:val="1"/>
                <w:color w:val="auto"/>
              </w:rPr>
              <w:t>SHARED DISPOSITIVE POWER</w:t>
            </w:r>
          </w:p>
        </w:tc>
      </w:tr>
      <w:tr>
        <w:trPr>
          <w:trHeight w:val="234"/>
        </w:trPr>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60" w:type="dxa"/>
            <w:vAlign w:val="bottom"/>
          </w:tcPr>
          <w:p>
            <w:pPr>
              <w:jc w:val="right"/>
              <w:ind w:right="4790"/>
              <w:spacing w:after="0"/>
              <w:rPr>
                <w:sz w:val="20"/>
                <w:szCs w:val="20"/>
                <w:color w:val="auto"/>
              </w:rPr>
            </w:pPr>
            <w:r>
              <w:rPr>
                <w:rFonts w:ascii="Arial" w:cs="Arial" w:eastAsia="Arial" w:hAnsi="Arial"/>
                <w:sz w:val="18"/>
                <w:szCs w:val="18"/>
                <w:b w:val="1"/>
                <w:bCs w:val="1"/>
                <w:color w:val="auto"/>
              </w:rPr>
              <w:t>0</w:t>
            </w:r>
          </w:p>
        </w:tc>
      </w:tr>
    </w:tbl>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4080" w:right="2559" w:hanging="4072"/>
        <w:spacing w:after="0" w:line="250" w:lineRule="auto"/>
        <w:tabs>
          <w:tab w:leader="none" w:pos="7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0 — See Item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2640" w:right="1939" w:hanging="2632"/>
        <w:spacing w:after="0" w:line="250" w:lineRule="auto"/>
        <w:tabs>
          <w:tab w:leader="none" w:pos="737"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 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7" w:lineRule="exact"/>
        <w:rPr>
          <w:sz w:val="20"/>
          <w:szCs w:val="20"/>
          <w:color w:val="auto"/>
        </w:rPr>
      </w:pPr>
    </w:p>
    <w:p>
      <w:pPr>
        <w:jc w:val="right"/>
        <w:ind w:right="999"/>
        <w:spacing w:after="0"/>
        <w:rPr>
          <w:sz w:val="20"/>
          <w:szCs w:val="20"/>
          <w:color w:val="auto"/>
        </w:rPr>
      </w:pPr>
      <w:r>
        <w:rPr>
          <w:rFonts w:ascii="Arial" w:cs="Arial" w:eastAsia="Arial" w:hAnsi="Arial"/>
          <w:sz w:val="18"/>
          <w:szCs w:val="18"/>
          <w:b w:val="1"/>
          <w:bCs w:val="1"/>
          <w:color w:val="auto"/>
        </w:rPr>
        <w:t>&lt; /strong&gt;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type w:val="continuous"/>
        </w:sectPr>
      </w:pPr>
    </w:p>
    <w:bookmarkStart w:id="5" w:name="page6"/>
    <w:bookmarkEnd w:id="5"/>
    <w:p>
      <w:pPr>
        <w:ind w:left="5040"/>
        <w:spacing w:after="0"/>
        <w:rPr>
          <w:sz w:val="20"/>
          <w:szCs w:val="20"/>
          <w:color w:val="auto"/>
        </w:rPr>
      </w:pPr>
      <w:r>
        <w:rPr>
          <w:rFonts w:ascii="Arial" w:cs="Arial" w:eastAsia="Arial" w:hAnsi="Arial"/>
          <w:sz w:val="17"/>
          <w:szCs w:val="17"/>
          <w:b w:val="1"/>
          <w:bCs w:val="1"/>
          <w:color w:val="auto"/>
        </w:rPr>
        <w:t>SCHEDULE 13D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CUSIP No. 25057L102</w:t>
      </w:r>
    </w:p>
    <w:p>
      <w:pPr>
        <w:spacing w:after="0" w:line="23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S.S. OR I.R.S. IDENTIFICATION NO. OF ABOVE PERSON</w:t>
      </w:r>
    </w:p>
    <w:p>
      <w:pPr>
        <w:sectPr>
          <w:pgSz w:w="11900" w:h="16838" w:orient="portrait"/>
          <w:cols w:equalWidth="0" w:num="1">
            <w:col w:w="10219"/>
          </w:cols>
          <w:pgMar w:left="240" w:top="850" w:right="1440" w:bottom="1440" w:gutter="0" w:footer="0" w:header="0"/>
        </w:sectPr>
      </w:pPr>
    </w:p>
    <w:p>
      <w:pPr>
        <w:spacing w:after="0" w:line="9" w:lineRule="exact"/>
        <w:rPr>
          <w:sz w:val="20"/>
          <w:szCs w:val="20"/>
          <w:color w:val="auto"/>
        </w:rPr>
      </w:pPr>
    </w:p>
    <w:p>
      <w:pPr>
        <w:ind w:left="1300"/>
        <w:spacing w:after="0"/>
        <w:tabs>
          <w:tab w:leader="none" w:pos="6860" w:val="left"/>
        </w:tabs>
        <w:rPr>
          <w:sz w:val="20"/>
          <w:szCs w:val="20"/>
          <w:color w:val="auto"/>
        </w:rPr>
      </w:pPr>
      <w:r>
        <w:rPr>
          <w:rFonts w:ascii="Arial" w:cs="Arial" w:eastAsia="Arial" w:hAnsi="Arial"/>
          <w:sz w:val="18"/>
          <w:szCs w:val="18"/>
          <w:b w:val="1"/>
          <w:bCs w:val="1"/>
          <w:color w:val="auto"/>
        </w:rPr>
        <w:t>Jewelcor Incorporated</w:t>
      </w:r>
      <w:r>
        <w:rPr>
          <w:sz w:val="20"/>
          <w:szCs w:val="20"/>
          <w:color w:val="auto"/>
        </w:rPr>
        <w:tab/>
      </w:r>
      <w:r>
        <w:rPr>
          <w:rFonts w:ascii="Arial" w:cs="Arial" w:eastAsia="Arial" w:hAnsi="Arial"/>
          <w:sz w:val="16"/>
          <w:szCs w:val="16"/>
          <w:b w:val="1"/>
          <w:bCs w:val="1"/>
          <w:color w:val="auto"/>
        </w:rPr>
        <w:t>24-0858676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w:t>
      </w:r>
    </w:p>
    <w:p>
      <w:pPr>
        <w:spacing w:after="0" w:line="21" w:lineRule="exact"/>
        <w:rPr>
          <w:sz w:val="20"/>
          <w:szCs w:val="20"/>
          <w:color w:val="auto"/>
        </w:rPr>
      </w:pPr>
    </w:p>
    <w:p>
      <w:pPr>
        <w:spacing w:after="0"/>
        <w:tabs>
          <w:tab w:leader="none" w:pos="640" w:val="left"/>
          <w:tab w:leader="none" w:pos="7140" w:val="left"/>
          <w:tab w:leader="none" w:pos="75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w:t>
      </w:r>
    </w:p>
    <w:p>
      <w:pPr>
        <w:sectPr>
          <w:pgSz w:w="11900" w:h="16838" w:orient="portrait"/>
          <w:cols w:equalWidth="0" w:num="1">
            <w:col w:w="10219"/>
          </w:cols>
          <w:pgMar w:left="240" w:top="850" w:right="1440" w:bottom="1440" w:gutter="0" w:footer="0" w:header="0"/>
          <w:type w:val="continuous"/>
        </w:sectPr>
      </w:pPr>
    </w:p>
    <w:p>
      <w:pPr>
        <w:spacing w:after="0" w:line="9"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[x]</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spacing w:after="0"/>
        <w:tabs>
          <w:tab w:leader="none" w:pos="640" w:val="left"/>
          <w:tab w:leader="none" w:pos="47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b w:val="1"/>
          <w:bCs w:val="1"/>
          <w:color w:val="auto"/>
        </w:rPr>
        <w:t>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CHECK BOX IF DISCLOSURE OF LEGAL PROCEEDINGS IS REQUIRED PURSUANT TO</w:t>
      </w:r>
    </w:p>
    <w:p>
      <w:pPr>
        <w:sectPr>
          <w:pgSz w:w="11900" w:h="16838" w:orient="portrait"/>
          <w:cols w:equalWidth="0" w:num="1">
            <w:col w:w="10219"/>
          </w:cols>
          <w:pgMar w:left="240" w:top="850" w:right="1440" w:bottom="1440" w:gutter="0" w:footer="0" w:header="0"/>
          <w:type w:val="continuous"/>
        </w:sectPr>
      </w:pP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ITEMS 2(d) OR 2(e)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w:t>
      </w:r>
    </w:p>
    <w:p>
      <w:pPr>
        <w:spacing w:after="0" w:line="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t>
      </w:r>
    </w:p>
    <w:p>
      <w:pPr>
        <w:spacing w:after="0" w:line="464" w:lineRule="exact"/>
        <w:rPr>
          <w:sz w:val="20"/>
          <w:szCs w:val="20"/>
          <w:color w:val="auto"/>
        </w:rPr>
      </w:pPr>
    </w:p>
    <w:p>
      <w:pPr>
        <w:sectPr>
          <w:pgSz w:w="11900" w:h="16838" w:orient="portrait"/>
          <w:cols w:equalWidth="0" w:num="2">
            <w:col w:w="8240" w:space="720"/>
            <w:col w:w="1259"/>
          </w:cols>
          <w:pgMar w:left="240" w:top="850"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w:t>
      </w: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260" w:type="dxa"/>
            <w:vAlign w:val="bottom"/>
          </w:tcPr>
          <w:p>
            <w:pPr>
              <w:ind w:left="700"/>
              <w:spacing w:after="0"/>
              <w:rPr>
                <w:sz w:val="20"/>
                <w:szCs w:val="20"/>
                <w:color w:val="auto"/>
              </w:rPr>
            </w:pPr>
            <w:r>
              <w:rPr>
                <w:rFonts w:ascii="Arial" w:cs="Arial" w:eastAsia="Arial" w:hAnsi="Arial"/>
                <w:sz w:val="18"/>
                <w:szCs w:val="18"/>
                <w:b w:val="1"/>
                <w:bCs w:val="1"/>
                <w:color w:val="auto"/>
              </w:rPr>
              <w:t>7)</w:t>
            </w:r>
          </w:p>
        </w:tc>
        <w:tc>
          <w:tcPr>
            <w:tcW w:w="4700" w:type="dxa"/>
            <w:vAlign w:val="bottom"/>
          </w:tcPr>
          <w:p>
            <w:pPr>
              <w:jc w:val="right"/>
              <w:ind w:right="2550"/>
              <w:spacing w:after="0"/>
              <w:rPr>
                <w:sz w:val="20"/>
                <w:szCs w:val="20"/>
                <w:color w:val="auto"/>
              </w:rPr>
            </w:pPr>
            <w:r>
              <w:rPr>
                <w:rFonts w:ascii="Arial" w:cs="Arial" w:eastAsia="Arial" w:hAnsi="Arial"/>
                <w:sz w:val="18"/>
                <w:szCs w:val="18"/>
                <w:b w:val="1"/>
                <w:bCs w:val="1"/>
                <w:color w:val="auto"/>
              </w:rPr>
              <w:t>SOLE VOTING POWER</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260" w:type="dxa"/>
            <w:vAlign w:val="bottom"/>
          </w:tcPr>
          <w:p>
            <w:pPr>
              <w:spacing w:after="0"/>
              <w:rPr>
                <w:sz w:val="18"/>
                <w:szCs w:val="18"/>
                <w:color w:val="auto"/>
              </w:rPr>
            </w:pPr>
          </w:p>
        </w:tc>
        <w:tc>
          <w:tcPr>
            <w:tcW w:w="4700" w:type="dxa"/>
            <w:vAlign w:val="bottom"/>
          </w:tcPr>
          <w:p>
            <w:pPr>
              <w:jc w:val="right"/>
              <w:ind w:right="3210"/>
              <w:spacing w:after="0"/>
              <w:rPr>
                <w:sz w:val="20"/>
                <w:szCs w:val="20"/>
                <w:color w:val="auto"/>
              </w:rPr>
            </w:pPr>
            <w:r>
              <w:rPr>
                <w:rFonts w:ascii="Arial" w:cs="Arial" w:eastAsia="Arial" w:hAnsi="Arial"/>
                <w:sz w:val="18"/>
                <w:szCs w:val="18"/>
                <w:b w:val="1"/>
                <w:bCs w:val="1"/>
                <w:color w:val="auto"/>
              </w:rPr>
              <w:t>0</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700" w:type="dxa"/>
            <w:vAlign w:val="bottom"/>
          </w:tcPr>
          <w:p>
            <w:pPr>
              <w:jc w:val="right"/>
              <w:ind w:right="1950"/>
              <w:spacing w:after="0"/>
              <w:rPr>
                <w:sz w:val="20"/>
                <w:szCs w:val="20"/>
                <w:color w:val="auto"/>
              </w:rPr>
            </w:pPr>
            <w:r>
              <w:rPr>
                <w:rFonts w:ascii="Arial" w:cs="Arial" w:eastAsia="Arial" w:hAnsi="Arial"/>
                <w:sz w:val="18"/>
                <w:szCs w:val="18"/>
                <w:b w:val="1"/>
                <w:bCs w:val="1"/>
                <w:color w:val="auto"/>
              </w:rPr>
              <w:t>SHARED VOTING POWER</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260" w:type="dxa"/>
            <w:vAlign w:val="bottom"/>
          </w:tcPr>
          <w:p>
            <w:pPr>
              <w:spacing w:after="0"/>
              <w:rPr>
                <w:sz w:val="18"/>
                <w:szCs w:val="18"/>
                <w:color w:val="auto"/>
              </w:rPr>
            </w:pPr>
          </w:p>
        </w:tc>
        <w:tc>
          <w:tcPr>
            <w:tcW w:w="4700" w:type="dxa"/>
            <w:vAlign w:val="bottom"/>
          </w:tcPr>
          <w:p>
            <w:pPr>
              <w:jc w:val="right"/>
              <w:ind w:right="3210"/>
              <w:spacing w:after="0"/>
              <w:rPr>
                <w:sz w:val="20"/>
                <w:szCs w:val="20"/>
                <w:color w:val="auto"/>
              </w:rPr>
            </w:pPr>
            <w:r>
              <w:rPr>
                <w:rFonts w:ascii="Arial" w:cs="Arial" w:eastAsia="Arial" w:hAnsi="Arial"/>
                <w:sz w:val="18"/>
                <w:szCs w:val="18"/>
                <w:b w:val="1"/>
                <w:bCs w:val="1"/>
                <w:color w:val="auto"/>
              </w:rPr>
              <w:t>0</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4700" w:type="dxa"/>
            <w:vAlign w:val="bottom"/>
          </w:tcPr>
          <w:p>
            <w:pPr>
              <w:jc w:val="right"/>
              <w:ind w:right="1830"/>
              <w:spacing w:after="0"/>
              <w:rPr>
                <w:sz w:val="20"/>
                <w:szCs w:val="20"/>
                <w:color w:val="auto"/>
              </w:rPr>
            </w:pPr>
            <w:r>
              <w:rPr>
                <w:rFonts w:ascii="Arial" w:cs="Arial" w:eastAsia="Arial" w:hAnsi="Arial"/>
                <w:sz w:val="18"/>
                <w:szCs w:val="18"/>
                <w:b w:val="1"/>
                <w:bCs w:val="1"/>
                <w:color w:val="auto"/>
              </w:rPr>
              <w:t>SOLE DISPOSITIVE POWER</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260" w:type="dxa"/>
            <w:vAlign w:val="bottom"/>
          </w:tcPr>
          <w:p>
            <w:pPr>
              <w:spacing w:after="0"/>
              <w:rPr>
                <w:sz w:val="18"/>
                <w:szCs w:val="18"/>
                <w:color w:val="auto"/>
              </w:rPr>
            </w:pPr>
          </w:p>
        </w:tc>
        <w:tc>
          <w:tcPr>
            <w:tcW w:w="4700" w:type="dxa"/>
            <w:vAlign w:val="bottom"/>
          </w:tcPr>
          <w:p>
            <w:pPr>
              <w:jc w:val="right"/>
              <w:ind w:right="3250"/>
              <w:spacing w:after="0"/>
              <w:rPr>
                <w:sz w:val="20"/>
                <w:szCs w:val="20"/>
                <w:color w:val="auto"/>
              </w:rPr>
            </w:pPr>
            <w:r>
              <w:rPr>
                <w:rFonts w:ascii="Arial" w:cs="Arial" w:eastAsia="Arial" w:hAnsi="Arial"/>
                <w:sz w:val="18"/>
                <w:szCs w:val="18"/>
                <w:b w:val="1"/>
                <w:bCs w:val="1"/>
                <w:color w:val="auto"/>
              </w:rPr>
              <w:t>0</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____________________________________________________________</w:t>
            </w:r>
          </w:p>
        </w:tc>
      </w:tr>
      <w:tr>
        <w:trPr>
          <w:trHeight w:val="216"/>
        </w:trPr>
        <w:tc>
          <w:tcPr>
            <w:tcW w:w="1900" w:type="dxa"/>
            <w:vAlign w:val="bottom"/>
          </w:tcPr>
          <w:p>
            <w:pPr>
              <w:spacing w:after="0"/>
              <w:rPr>
                <w:sz w:val="18"/>
                <w:szCs w:val="18"/>
                <w:color w:val="auto"/>
              </w:rPr>
            </w:pPr>
          </w:p>
        </w:tc>
        <w:tc>
          <w:tcPr>
            <w:tcW w:w="1260" w:type="dxa"/>
            <w:vAlign w:val="bottom"/>
          </w:tcPr>
          <w:p>
            <w:pPr>
              <w:ind w:left="700"/>
              <w:spacing w:after="0"/>
              <w:rPr>
                <w:sz w:val="20"/>
                <w:szCs w:val="20"/>
                <w:color w:val="auto"/>
              </w:rPr>
            </w:pPr>
            <w:r>
              <w:rPr>
                <w:rFonts w:ascii="Arial" w:cs="Arial" w:eastAsia="Arial" w:hAnsi="Arial"/>
                <w:sz w:val="18"/>
                <w:szCs w:val="18"/>
                <w:b w:val="1"/>
                <w:bCs w:val="1"/>
                <w:color w:val="auto"/>
              </w:rPr>
              <w:t>10)</w:t>
            </w:r>
          </w:p>
        </w:tc>
        <w:tc>
          <w:tcPr>
            <w:tcW w:w="4700" w:type="dxa"/>
            <w:vAlign w:val="bottom"/>
          </w:tcPr>
          <w:p>
            <w:pPr>
              <w:jc w:val="right"/>
              <w:ind w:right="1750"/>
              <w:spacing w:after="0"/>
              <w:rPr>
                <w:sz w:val="20"/>
                <w:szCs w:val="20"/>
                <w:color w:val="auto"/>
              </w:rPr>
            </w:pPr>
            <w:r>
              <w:rPr>
                <w:rFonts w:ascii="Arial" w:cs="Arial" w:eastAsia="Arial" w:hAnsi="Arial"/>
                <w:sz w:val="18"/>
                <w:szCs w:val="18"/>
                <w:b w:val="1"/>
                <w:bCs w:val="1"/>
                <w:color w:val="auto"/>
              </w:rPr>
              <w:t>SHARED DISPOSITIVE POWER</w:t>
            </w:r>
          </w:p>
        </w:tc>
      </w:tr>
      <w:tr>
        <w:trPr>
          <w:trHeight w:val="234"/>
        </w:trPr>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700" w:type="dxa"/>
            <w:vAlign w:val="bottom"/>
          </w:tcPr>
          <w:p>
            <w:pPr>
              <w:jc w:val="right"/>
              <w:ind w:right="3610"/>
              <w:spacing w:after="0"/>
              <w:rPr>
                <w:sz w:val="20"/>
                <w:szCs w:val="20"/>
                <w:color w:val="auto"/>
              </w:rPr>
            </w:pPr>
            <w:r>
              <w:rPr>
                <w:rFonts w:ascii="Arial" w:cs="Arial" w:eastAsia="Arial" w:hAnsi="Arial"/>
                <w:sz w:val="18"/>
                <w:szCs w:val="18"/>
                <w:b w:val="1"/>
                <w:bCs w:val="1"/>
                <w:color w:val="auto"/>
              </w:rPr>
              <w:t>0</w:t>
            </w:r>
          </w:p>
        </w:tc>
      </w:tr>
    </w:tbl>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4040" w:right="2559" w:hanging="4032"/>
        <w:spacing w:after="0" w:line="250" w:lineRule="auto"/>
        <w:tabs>
          <w:tab w:leader="none" w:pos="7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0 — See Item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9" w:lineRule="exact"/>
        <w:rPr>
          <w:sz w:val="20"/>
          <w:szCs w:val="20"/>
          <w:color w:val="auto"/>
        </w:rPr>
      </w:pPr>
    </w:p>
    <w:p>
      <w:pPr>
        <w:ind w:left="740" w:hanging="732"/>
        <w:spacing w:after="0"/>
        <w:tabs>
          <w:tab w:leader="none" w:pos="7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type w:val="continuous"/>
        </w:sectPr>
      </w:pPr>
    </w:p>
    <w:bookmarkStart w:id="6" w:name="page7"/>
    <w:bookmarkEnd w:id="6"/>
    <w:p>
      <w:pPr>
        <w:ind w:right="60" w:firstLine="648"/>
        <w:spacing w:after="0" w:line="281" w:lineRule="auto"/>
        <w:rPr>
          <w:sz w:val="20"/>
          <w:szCs w:val="20"/>
          <w:color w:val="auto"/>
        </w:rPr>
      </w:pPr>
      <w:r>
        <w:rPr>
          <w:rFonts w:ascii="Arial" w:cs="Arial" w:eastAsia="Arial" w:hAnsi="Arial"/>
          <w:sz w:val="17"/>
          <w:szCs w:val="17"/>
          <w:b w:val="1"/>
          <w:bCs w:val="1"/>
          <w:color w:val="auto"/>
        </w:rPr>
        <w:t>This Amendment No. 56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is hereby amended and supplemented as follows: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On May 30, 2007, JMI executed and delivered an Amendment to Consulting Agreement with Casual Male Retail Group, Inc., effective as of April 29, 2007, which amends and restates certain portions of the Consulting Agreement as previously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Items 5(a)–(c) of the Schedule 13D are hereby amended and supplemented as follows:</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As of June 5, 2007, the Reporting Entities included in this filing beneficially own an aggregate of 5,413,403 shares of Common Stock, representing approximately 12.50% of the outstanding shares of Common Stock based upon the 41,518,390 shares of Common Stock outstanding as of June 1, 2007 as reported by the Company in its Definitive Proxy Statement filed on June 4, 2007.</w:t>
      </w:r>
    </w:p>
    <w:p>
      <w:pPr>
        <w:spacing w:after="0" w:line="18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As of June 5, 2007, Seymour Holtzman may be deemed to beneficially own 5,413,403 shares of Common Stock, representing an aggregate of approximately 12.50% of the outstanding shares of Common Stock. Such amount includes options to purchase an aggregate of 1,743,334 shares of Common Stock and warrants to purchase an aggregate of 80,000 shares of Common Stock, all of which are immediately exercisable and are directly beneficially owned by Mr. Holtzman.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of December 29, 2006, JMI beneficially owned no shares of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 transactions have been effectuated by the Reporting Entities during the 60 days preceding the date of this filing.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6 is hereby amended and supplemented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See Item 4 and Item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 1. Amendment to Consulting Agreement effective as of April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2"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After reasonable inquiry and to the best knowledge and belief of the undersigned, the undersigned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June 5, 2007</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JEWELCOR MANAGEMENT, INC.</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b w:val="1"/>
          <w:bCs w:val="1"/>
          <w:u w:val="single" w:color="auto"/>
          <w:color w:val="auto"/>
        </w:rPr>
        <w:t>/s/ Seymour Holtzman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Name: Seymour Holtzman</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Title:  President</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JEWELCOR INCORPORATED</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-7620</wp:posOffset>
            </wp:positionV>
            <wp:extent cx="1114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Name: Seymour Holtzman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Title:  President</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S.H. HOLDINGS, INC.</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-7620</wp:posOffset>
            </wp:positionV>
            <wp:extent cx="1114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Name: Seymour Holtzman</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Title:  President</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/s/ Seymour Holtzman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Seymour Holtzman</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/s/ Evelyn Holtzman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607"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April 29, 2007</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WHEREAS, Casual Male Retail Group, Inc. (formerly Designs, Inc., the “Corporation”) and Jewelcor Management, Inc. (the “Independent Contractor”) entered into a certain Consulting Agreement dated April 29, 2000, as amended by Letter Agreement dated April 28, 2001, by Letter Agreement dated April 28, 2002, by Amendment to Consulting Agreement dated April 29, 2003, by Amendment to Consulting Agreement dated April 26, 2004, by Amendment to Consulting Agreement dated August 26, 2004, by Amendment to Consulting Agreement dated June 15, 2005 and as amended by Letter Agreement dated May 26, 2006 (hereinafter referred to as “the Agreement”), and</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WHEREAS, Corporation and Independent Contractor wish to amend, modify and/or restate certain terms, provisions, conditions and covenants of the Agreement.</w:t>
      </w:r>
    </w:p>
    <w:p>
      <w:pPr>
        <w:spacing w:after="0" w:line="189"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NOW THEREFORE, for and in consideration of the foregoing, the mutual promises and covenants set forth in this Agreement, and for other good and valuable consideration, the receipt and sufficiency of which are hereby expressly acknowledged, the Corporation and Independent Contractor hereby agree to amend the Agreement as follows: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1. Term of Agreement. Paragraph 1 of Amendment to Consulting Agreement dated April 29, 2003 shall be amended to read as follows:</w:t>
      </w:r>
    </w:p>
    <w:p>
      <w:pPr>
        <w:spacing w:after="0" w:line="27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term of the Agreement shall be extended for a period of two years, with the period commencing on April 29, 2007. The term can be further extended only by agreement of both the Corporation and Independent Contractor.</w:t>
      </w:r>
    </w:p>
    <w:p>
      <w:pPr>
        <w:spacing w:after="0" w:line="189" w:lineRule="exact"/>
        <w:rPr>
          <w:sz w:val="20"/>
          <w:szCs w:val="20"/>
          <w:color w:val="auto"/>
        </w:rPr>
      </w:pPr>
    </w:p>
    <w:p>
      <w:pPr>
        <w:ind w:right="800" w:firstLine="8"/>
        <w:spacing w:after="0" w:line="282" w:lineRule="auto"/>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Duties. The Independent Contractor will be responsible on the Board's behalf for overseeing the direction and execution of transactions concerning the strategic direction of the Corporation, including</w:t>
      </w:r>
    </w:p>
    <w:p>
      <w:pPr>
        <w:spacing w:after="0" w:line="192" w:lineRule="exact"/>
        <w:rPr>
          <w:rFonts w:ascii="Arial" w:cs="Arial" w:eastAsia="Arial" w:hAnsi="Arial"/>
          <w:sz w:val="18"/>
          <w:szCs w:val="18"/>
          <w:b w:val="1"/>
          <w:bCs w:val="1"/>
          <w:color w:val="auto"/>
        </w:rPr>
      </w:pPr>
    </w:p>
    <w:p>
      <w:pPr>
        <w:ind w:left="980" w:hanging="21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significant acquisitions or dispositions;</w:t>
      </w:r>
    </w:p>
    <w:p>
      <w:pPr>
        <w:spacing w:after="0" w:line="252" w:lineRule="exact"/>
        <w:rPr>
          <w:rFonts w:ascii="Arial" w:cs="Arial" w:eastAsia="Arial" w:hAnsi="Arial"/>
          <w:sz w:val="18"/>
          <w:szCs w:val="18"/>
          <w:color w:val="auto"/>
        </w:rPr>
      </w:pPr>
    </w:p>
    <w:p>
      <w:pPr>
        <w:ind w:left="980" w:hanging="225"/>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merger, business combination or sale of the Corporation or of substantially all of its assets;</w:t>
      </w:r>
    </w:p>
    <w:p>
      <w:pPr>
        <w:spacing w:after="0" w:line="252" w:lineRule="exact"/>
        <w:rPr>
          <w:rFonts w:ascii="Arial" w:cs="Arial" w:eastAsia="Arial" w:hAnsi="Arial"/>
          <w:sz w:val="18"/>
          <w:szCs w:val="18"/>
          <w:color w:val="auto"/>
        </w:rPr>
      </w:pPr>
    </w:p>
    <w:p>
      <w:pPr>
        <w:ind w:left="980" w:hanging="21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debt or equity financing and/or refinancing;</w:t>
      </w:r>
    </w:p>
    <w:p>
      <w:pPr>
        <w:spacing w:after="0" w:line="252" w:lineRule="exact"/>
        <w:rPr>
          <w:rFonts w:ascii="Arial" w:cs="Arial" w:eastAsia="Arial" w:hAnsi="Arial"/>
          <w:sz w:val="18"/>
          <w:szCs w:val="18"/>
          <w:color w:val="auto"/>
        </w:rPr>
      </w:pPr>
    </w:p>
    <w:p>
      <w:pPr>
        <w:ind w:left="980" w:hanging="225"/>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strategic partnering; and</w:t>
      </w:r>
    </w:p>
    <w:p>
      <w:pPr>
        <w:spacing w:after="0" w:line="252" w:lineRule="exact"/>
        <w:rPr>
          <w:rFonts w:ascii="Arial" w:cs="Arial" w:eastAsia="Arial" w:hAnsi="Arial"/>
          <w:sz w:val="18"/>
          <w:szCs w:val="18"/>
          <w:color w:val="auto"/>
        </w:rPr>
      </w:pPr>
    </w:p>
    <w:p>
      <w:pPr>
        <w:ind w:left="980" w:hanging="21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major contracts or transactions that the Board of Directors deems to be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3. Compensation</w:t>
      </w:r>
    </w:p>
    <w:p>
      <w:pPr>
        <w:spacing w:after="0" w:line="252" w:lineRule="exact"/>
        <w:rPr>
          <w:sz w:val="20"/>
          <w:szCs w:val="20"/>
          <w:color w:val="auto"/>
        </w:rPr>
      </w:pPr>
    </w:p>
    <w:p>
      <w:pPr>
        <w:ind w:right="120" w:firstLine="324"/>
        <w:spacing w:after="0" w:line="314" w:lineRule="auto"/>
        <w:rPr>
          <w:sz w:val="20"/>
          <w:szCs w:val="20"/>
          <w:color w:val="auto"/>
        </w:rPr>
      </w:pPr>
      <w:r>
        <w:rPr>
          <w:rFonts w:ascii="Arial" w:cs="Arial" w:eastAsia="Arial" w:hAnsi="Arial"/>
          <w:sz w:val="16"/>
          <w:szCs w:val="16"/>
          <w:b w:val="1"/>
          <w:bCs w:val="1"/>
          <w:color w:val="auto"/>
        </w:rPr>
        <w:t>Effective as of the date of this Agreement, subject to the provisions of Section 4 of the Agreement, the fixed non-bonus consideration to be furnished to the Independent Contractor (or to Seymour Holtzman if the Independent Contractor so directs) by the Corporation for the Services rendered by the Independent Contractor under the Agreement shall consist of annual compensation of $575,000.</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4.5 of the Agreement shall be amended to read as follows:</w:t>
      </w:r>
    </w:p>
    <w:p>
      <w:pPr>
        <w:spacing w:after="0" w:line="25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Independent Contractor is not eligible to future participation in any current executive incentive or bonus program. However, the Board of Directors, at its own discretion, may choose to award a bonus to Independent Contractor if it determines that the Independent Contractor’s performance in carrying out its duties (as described in Paragraph 2 of this Amendment) has been outstanding, substantially exceeding the Board's expectations.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REMAINING terms of the Agreement shall remain in full force and effect without change.</w:t>
      </w:r>
    </w:p>
    <w:p>
      <w:pPr>
        <w:spacing w:after="0" w:line="252"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By:___________________________</w:t>
      </w:r>
    </w:p>
    <w:sectPr>
      <w:pgSz w:w="11900" w:h="16838" w:orient="portrait"/>
      <w:cols w:equalWidth="0" w:num="1">
        <w:col w:w="11220"/>
      </w:cols>
      <w:pgMar w:left="240" w:top="10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lvl w:ilvl="1">
      <w:lvlJc w:val="left"/>
      <w:lvlText w:val="%2"/>
      <w:numFmt w:val="upperLetter"/>
      <w:start w:val="1"/>
    </w:lvl>
  </w:abstractNum>
  <w:abstractNum w:abstractNumId="1">
    <w:nsid w:val="721DA317"/>
    <w:multiLevelType w:val="hybridMultilevel"/>
    <w:lvl w:ilvl="0">
      <w:lvlJc w:val="left"/>
      <w:lvlText w:val="(%1)"/>
      <w:numFmt w:val="lowerLetter"/>
      <w:start w:val="2"/>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1)"/>
      <w:numFmt w:val="decimal"/>
      <w:start w:val="5"/>
    </w:lvl>
  </w:abstractNum>
  <w:abstractNum w:abstractNumId="4">
    <w:nsid w:val="6763845E"/>
    <w:multiLevelType w:val="hybridMultilevel"/>
    <w:lvl w:ilvl="0">
      <w:lvlJc w:val="left"/>
      <w:lvlText w:val="%1)"/>
      <w:numFmt w:val="decimal"/>
      <w:start w:val="11"/>
    </w:lvl>
  </w:abstractNum>
  <w:abstractNum w:abstractNumId="5">
    <w:nsid w:val="75A2A8D4"/>
    <w:multiLevelType w:val="hybridMultilevel"/>
    <w:lvl w:ilvl="0">
      <w:lvlJc w:val="left"/>
      <w:lvlText w:val="%1)"/>
      <w:numFmt w:val="decimal"/>
      <w:start w:val="12"/>
    </w:lvl>
  </w:abstractNum>
  <w:abstractNum w:abstractNumId="6">
    <w:nsid w:val="8EDBDAB"/>
    <w:multiLevelType w:val="hybridMultilevel"/>
    <w:lvl w:ilvl="0">
      <w:lvlJc w:val="left"/>
      <w:lvlText w:val="%1)"/>
      <w:numFmt w:val="decimal"/>
      <w:start w:val="13"/>
    </w:lvl>
  </w:abstractNum>
  <w:abstractNum w:abstractNumId="7">
    <w:nsid w:val="79838CB2"/>
    <w:multiLevelType w:val="hybridMultilevel"/>
    <w:lvl w:ilvl="0">
      <w:lvlJc w:val="left"/>
      <w:lvlText w:val="%1)"/>
      <w:numFmt w:val="decimal"/>
      <w:start w:val="14"/>
    </w:lvl>
  </w:abstractNum>
  <w:abstractNum w:abstractNumId="8">
    <w:nsid w:val="4353D0CD"/>
    <w:multiLevelType w:val="hybridMultilevel"/>
    <w:lvl w:ilvl="0">
      <w:lvlJc w:val="left"/>
      <w:lvlText w:val="%1)"/>
      <w:numFmt w:val="decimal"/>
      <w:start w:val="1"/>
    </w:lvl>
    <w:lvl w:ilvl="1">
      <w:lvlJc w:val="left"/>
      <w:lvlText w:val="%2"/>
      <w:numFmt w:val="upperLetter"/>
      <w:start w:val="1"/>
    </w:lvl>
  </w:abstractNum>
  <w:abstractNum w:abstractNumId="9">
    <w:nsid w:val="B03E0C6"/>
    <w:multiLevelType w:val="hybridMultilevel"/>
    <w:lvl w:ilvl="0">
      <w:lvlJc w:val="left"/>
      <w:lvlText w:val="(%1)"/>
      <w:numFmt w:val="lowerLetter"/>
      <w:start w:val="2"/>
    </w:lvl>
  </w:abstractNum>
  <w:abstractNum w:abstractNumId="10">
    <w:nsid w:val="189A769B"/>
    <w:multiLevelType w:val="hybridMultilevel"/>
    <w:lvl w:ilvl="0">
      <w:lvlJc w:val="left"/>
      <w:lvlText w:val="%1)"/>
      <w:numFmt w:val="decimal"/>
      <w:start w:val="3"/>
    </w:lvl>
  </w:abstractNum>
  <w:abstractNum w:abstractNumId="11">
    <w:nsid w:val="54E49EB4"/>
    <w:multiLevelType w:val="hybridMultilevel"/>
    <w:lvl w:ilvl="0">
      <w:lvlJc w:val="left"/>
      <w:lvlText w:val="%1)"/>
      <w:numFmt w:val="decimal"/>
      <w:start w:val="5"/>
    </w:lvl>
  </w:abstractNum>
  <w:abstractNum w:abstractNumId="12">
    <w:nsid w:val="71F32454"/>
    <w:multiLevelType w:val="hybridMultilevel"/>
    <w:lvl w:ilvl="0">
      <w:lvlJc w:val="left"/>
      <w:lvlText w:val="%1)"/>
      <w:numFmt w:val="decimal"/>
      <w:start w:val="11"/>
    </w:lvl>
  </w:abstractNum>
  <w:abstractNum w:abstractNumId="13">
    <w:nsid w:val="2CA88611"/>
    <w:multiLevelType w:val="hybridMultilevel"/>
    <w:lvl w:ilvl="0">
      <w:lvlJc w:val="left"/>
      <w:lvlText w:val="%1)"/>
      <w:numFmt w:val="decimal"/>
      <w:start w:val="12"/>
    </w:lvl>
  </w:abstractNum>
  <w:abstractNum w:abstractNumId="14">
    <w:nsid w:val="836C40E"/>
    <w:multiLevelType w:val="hybridMultilevel"/>
    <w:lvl w:ilvl="0">
      <w:lvlJc w:val="left"/>
      <w:lvlText w:val="%1)"/>
      <w:numFmt w:val="decimal"/>
      <w:start w:val="13"/>
    </w:lvl>
  </w:abstractNum>
  <w:abstractNum w:abstractNumId="15">
    <w:nsid w:val="2901D82"/>
    <w:multiLevelType w:val="hybridMultilevel"/>
    <w:lvl w:ilvl="0">
      <w:lvlJc w:val="left"/>
      <w:lvlText w:val="%1)"/>
      <w:numFmt w:val="decimal"/>
      <w:start w:val="14"/>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lvl w:ilvl="1">
      <w:lvlJc w:val="left"/>
      <w:lvlText w:val="%2"/>
      <w:numFmt w:val="upperLetter"/>
      <w:start w:val="1"/>
    </w:lvl>
  </w:abstractNum>
  <w:abstractNum w:abstractNumId="18">
    <w:nsid w:val="1E7FF521"/>
    <w:multiLevelType w:val="hybridMultilevel"/>
    <w:lvl w:ilvl="0">
      <w:lvlJc w:val="left"/>
      <w:lvlText w:val="%1"/>
      <w:numFmt w:val="decimal"/>
      <w:start w:val="1"/>
    </w:lvl>
    <w:lvl w:ilvl="1">
      <w:lvlJc w:val="left"/>
      <w:lvlText w:val="(%2)"/>
      <w:numFmt w:val="lowerLetter"/>
      <w:start w:val="2"/>
    </w:lvl>
  </w:abstractNum>
  <w:abstractNum w:abstractNumId="19">
    <w:nsid w:val="7C3DBD3D"/>
    <w:multiLevelType w:val="hybridMultilevel"/>
    <w:lvl w:ilvl="0">
      <w:lvlJc w:val="left"/>
      <w:lvlText w:val="%1)"/>
      <w:numFmt w:val="decimal"/>
      <w:start w:val="3"/>
    </w:lvl>
    <w:lvl w:ilvl="1">
      <w:lvlJc w:val="left"/>
      <w:lvlText w:val="%2"/>
      <w:numFmt w:val="lowerLetter"/>
      <w:start w:val="1"/>
    </w:lvl>
  </w:abstractNum>
  <w:abstractNum w:abstractNumId="20">
    <w:nsid w:val="737B8DDC"/>
    <w:multiLevelType w:val="hybridMultilevel"/>
    <w:lvl w:ilvl="0">
      <w:lvlJc w:val="left"/>
      <w:lvlText w:val="%1)"/>
      <w:numFmt w:val="decimal"/>
      <w:start w:val="5"/>
    </w:lvl>
  </w:abstractNum>
  <w:abstractNum w:abstractNumId="21">
    <w:nsid w:val="6CEAF087"/>
    <w:multiLevelType w:val="hybridMultilevel"/>
    <w:lvl w:ilvl="0">
      <w:lvlJc w:val="left"/>
      <w:lvlText w:val="%1)"/>
      <w:numFmt w:val="decimal"/>
      <w:start w:val="11"/>
    </w:lvl>
  </w:abstractNum>
  <w:abstractNum w:abstractNumId="22">
    <w:nsid w:val="22221A70"/>
    <w:multiLevelType w:val="hybridMultilevel"/>
    <w:lvl w:ilvl="0">
      <w:lvlJc w:val="left"/>
      <w:lvlText w:val="%1)"/>
      <w:numFmt w:val="decimal"/>
      <w:start w:val="12"/>
    </w:lvl>
  </w:abstractNum>
  <w:abstractNum w:abstractNumId="23">
    <w:nsid w:val="4516DDE9"/>
    <w:multiLevelType w:val="hybridMultilevel"/>
    <w:lvl w:ilvl="0">
      <w:lvlJc w:val="left"/>
      <w:lvlText w:val="%1)"/>
      <w:numFmt w:val="decimal"/>
      <w:start w:val="13"/>
    </w:lvl>
  </w:abstractNum>
  <w:abstractNum w:abstractNumId="24">
    <w:nsid w:val="3006C83E"/>
    <w:multiLevelType w:val="hybridMultilevel"/>
    <w:lvl w:ilvl="0">
      <w:lvlJc w:val="left"/>
      <w:lvlText w:val="%1)"/>
      <w:numFmt w:val="decimal"/>
      <w:start w:val="14"/>
    </w:lvl>
  </w:abstractNum>
  <w:abstractNum w:abstractNumId="25">
    <w:nsid w:val="614FD4A1"/>
    <w:multiLevelType w:val="hybridMultilevel"/>
    <w:lvl w:ilvl="0">
      <w:lvlJc w:val="left"/>
      <w:lvlText w:val="%1)"/>
      <w:numFmt w:val="decimal"/>
      <w:start w:val="1"/>
    </w:lvl>
    <w:lvl w:ilvl="1">
      <w:lvlJc w:val="left"/>
      <w:lvlText w:val="%2"/>
      <w:numFmt w:val="upperLetter"/>
      <w:start w:val="1"/>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decimal"/>
      <w:start w:val="3"/>
    </w:lvl>
  </w:abstractNum>
  <w:abstractNum w:abstractNumId="28">
    <w:nsid w:val="440BADFC"/>
    <w:multiLevelType w:val="hybridMultilevel"/>
    <w:lvl w:ilvl="0">
      <w:lvlJc w:val="left"/>
      <w:lvlText w:val="%1)"/>
      <w:numFmt w:val="decimal"/>
      <w:start w:val="5"/>
    </w:lvl>
  </w:abstractNum>
  <w:abstractNum w:abstractNumId="29">
    <w:nsid w:val="5072367"/>
    <w:multiLevelType w:val="hybridMultilevel"/>
    <w:lvl w:ilvl="0">
      <w:lvlJc w:val="left"/>
      <w:lvlText w:val="%1)"/>
      <w:numFmt w:val="decimal"/>
      <w:start w:val="11"/>
    </w:lvl>
  </w:abstractNum>
  <w:abstractNum w:abstractNumId="30">
    <w:nsid w:val="3804823E"/>
    <w:multiLevelType w:val="hybridMultilevel"/>
    <w:lvl w:ilvl="0">
      <w:lvlJc w:val="left"/>
      <w:lvlText w:val="%1)"/>
      <w:numFmt w:val="decimal"/>
      <w:start w:val="12"/>
    </w:lvl>
  </w:abstractNum>
  <w:abstractNum w:abstractNumId="31">
    <w:nsid w:val="77465F01"/>
    <w:multiLevelType w:val="hybridMultilevel"/>
    <w:lvl w:ilvl="0">
      <w:lvlJc w:val="left"/>
      <w:lvlText w:val="%1)"/>
      <w:numFmt w:val="decimal"/>
      <w:start w:val="13"/>
    </w:lvl>
  </w:abstractNum>
  <w:abstractNum w:abstractNumId="32">
    <w:nsid w:val="7724C67E"/>
    <w:multiLevelType w:val="hybridMultilevel"/>
    <w:lvl w:ilvl="0">
      <w:lvlJc w:val="left"/>
      <w:lvlText w:val="%1)"/>
      <w:numFmt w:val="decimal"/>
      <w:start w:val="14"/>
    </w:lvl>
  </w:abstractNum>
  <w:abstractNum w:abstractNumId="33">
    <w:nsid w:val="5C482A97"/>
    <w:multiLevelType w:val="hybridMultilevel"/>
    <w:lvl w:ilvl="0">
      <w:lvlJc w:val="left"/>
      <w:lvlText w:val="%1)"/>
      <w:numFmt w:val="decimal"/>
      <w:start w:val="1"/>
    </w:lvl>
    <w:lvl w:ilvl="1">
      <w:lvlJc w:val="left"/>
      <w:lvlText w:val="%2"/>
      <w:numFmt w:val="upp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3"/>
    </w:lvl>
  </w:abstractNum>
  <w:abstractNum w:abstractNumId="36">
    <w:nsid w:val="51EAD36B"/>
    <w:multiLevelType w:val="hybridMultilevel"/>
    <w:lvl w:ilvl="0">
      <w:lvlJc w:val="left"/>
      <w:lvlText w:val="%1)"/>
      <w:numFmt w:val="decimal"/>
      <w:start w:val="5"/>
    </w:lvl>
  </w:abstractNum>
  <w:abstractNum w:abstractNumId="37">
    <w:nsid w:val="2D517796"/>
    <w:multiLevelType w:val="hybridMultilevel"/>
    <w:lvl w:ilvl="0">
      <w:lvlJc w:val="left"/>
      <w:lvlText w:val="%1)"/>
      <w:numFmt w:val="decimal"/>
      <w:start w:val="11"/>
    </w:lvl>
  </w:abstractNum>
  <w:abstractNum w:abstractNumId="38">
    <w:nsid w:val="580BD78F"/>
    <w:multiLevelType w:val="hybridMultilevel"/>
    <w:lvl w:ilvl="0">
      <w:lvlJc w:val="left"/>
      <w:lvlText w:val="%1)"/>
      <w:numFmt w:val="decimal"/>
      <w:start w:val="12"/>
    </w:lvl>
  </w:abstractNum>
  <w:abstractNum w:abstractNumId="39">
    <w:nsid w:val="153EA438"/>
    <w:multiLevelType w:val="hybridMultilevel"/>
    <w:lvl w:ilvl="0">
      <w:lvlJc w:val="left"/>
      <w:lvlText w:val="%1)"/>
      <w:numFmt w:val="decimal"/>
      <w:start w:val="13"/>
    </w:lvl>
  </w:abstractNum>
  <w:abstractNum w:abstractNumId="40">
    <w:nsid w:val="3855585C"/>
    <w:multiLevelType w:val="hybridMultilevel"/>
    <w:lvl w:ilvl="0">
      <w:lvlJc w:val="left"/>
      <w:lvlText w:val="%1)"/>
      <w:numFmt w:val="decimal"/>
      <w:start w:val="14"/>
    </w:lvl>
  </w:abstractNum>
  <w:abstractNum w:abstractNumId="41">
    <w:nsid w:val="70A64E2A"/>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2019-12-20T00:55:05Z</dcterms:created>
  <dcterms:modified xsi:type="dcterms:W3CDTF">2019-12-20T00:55:05Z</dcterms:modified>
</cp:coreProperties>
</file>