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7"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July 19, 2007</w:t>
      </w:r>
    </w:p>
    <w:p>
      <w:pPr>
        <w:ind w:left="3700"/>
        <w:spacing w:after="0" w:line="238" w:lineRule="auto"/>
        <w:rPr>
          <w:sz w:val="20"/>
          <w:szCs w:val="20"/>
          <w:color w:val="auto"/>
        </w:rPr>
      </w:pPr>
      <w:r>
        <w:rPr>
          <w:rFonts w:ascii="Courier New" w:cs="Courier New" w:eastAsia="Courier New" w:hAnsi="Courier New"/>
          <w:sz w:val="18"/>
          <w:szCs w:val="18"/>
          <w:color w:val="auto"/>
        </w:rPr>
        <w:t>0-15898</w:t>
      </w:r>
    </w:p>
    <w:p>
      <w:pPr>
        <w:ind w:left="2740"/>
        <w:spacing w:after="0"/>
        <w:rPr>
          <w:sz w:val="20"/>
          <w:szCs w:val="20"/>
          <w:color w:val="auto"/>
        </w:rPr>
      </w:pPr>
      <w:r>
        <w:rPr>
          <w:rFonts w:ascii="Courier New" w:cs="Courier New" w:eastAsia="Courier New" w:hAnsi="Courier New"/>
          <w:sz w:val="18"/>
          <w:szCs w:val="18"/>
          <w:color w:val="auto"/>
        </w:rPr>
        <w:t>(Commission File Number)</w:t>
      </w:r>
    </w:p>
    <w:p>
      <w:pPr>
        <w:ind w:left="24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ind w:left="2220"/>
        <w:spacing w:after="0" w:line="238" w:lineRule="auto"/>
        <w:rPr>
          <w:sz w:val="20"/>
          <w:szCs w:val="20"/>
          <w:color w:val="auto"/>
        </w:rPr>
      </w:pPr>
      <w:r>
        <w:rPr>
          <w:rFonts w:ascii="Courier New" w:cs="Courier New" w:eastAsia="Courier New" w:hAnsi="Courier New"/>
          <w:sz w:val="18"/>
          <w:szCs w:val="18"/>
          <w:color w:val="auto"/>
        </w:rPr>
        <w:t>CASUAL MALE RETAIL GROUP, INC.</w:t>
      </w:r>
    </w:p>
    <w:p>
      <w:pPr>
        <w:ind w:left="8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1440"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2"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5"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6"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6" w:lineRule="exact"/>
        <w:rPr>
          <w:sz w:val="24"/>
          <w:szCs w:val="24"/>
          <w:color w:val="auto"/>
        </w:rPr>
      </w:pPr>
    </w:p>
    <w:p>
      <w:pPr>
        <w:ind w:left="420" w:right="2739" w:hanging="420"/>
        <w:spacing w:after="0" w:line="235" w:lineRule="auto"/>
        <w:rPr>
          <w:sz w:val="20"/>
          <w:szCs w:val="20"/>
          <w:color w:val="auto"/>
        </w:rPr>
      </w:pPr>
      <w:r>
        <w:rPr>
          <w:rFonts w:ascii="Courier New" w:cs="Courier New" w:eastAsia="Courier New" w:hAnsi="Courier New"/>
          <w:sz w:val="18"/>
          <w:szCs w:val="18"/>
          <w:color w:val="auto"/>
        </w:rPr>
        <w:t>[ ] Pre-commencement communications pursuant to Rule 14d-2(b) under the Exchange Act(17 CFR 240.14d-2(b))</w:t>
      </w:r>
    </w:p>
    <w:p>
      <w:pPr>
        <w:spacing w:after="0" w:line="6"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1280" w:right="157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5.02</w:t>
      </w:r>
      <w:r>
        <w:rPr>
          <w:sz w:val="20"/>
          <w:szCs w:val="20"/>
          <w:color w:val="auto"/>
        </w:rPr>
        <w:tab/>
      </w:r>
      <w:r>
        <w:rPr>
          <w:rFonts w:ascii="Courier New" w:cs="Courier New" w:eastAsia="Courier New" w:hAnsi="Courier New"/>
          <w:sz w:val="18"/>
          <w:szCs w:val="18"/>
          <w:color w:val="auto"/>
        </w:rPr>
        <w:t>Departure of Directors or Certain Officers; Election of Directors; Appointment of Certain Officers; Compensatory Arrangements of</w:t>
      </w:r>
    </w:p>
    <w:p>
      <w:pPr>
        <w:ind w:left="1700"/>
        <w:spacing w:after="0"/>
        <w:rPr>
          <w:sz w:val="20"/>
          <w:szCs w:val="20"/>
          <w:color w:val="auto"/>
        </w:rPr>
      </w:pPr>
      <w:r>
        <w:rPr>
          <w:rFonts w:ascii="Courier New" w:cs="Courier New" w:eastAsia="Courier New" w:hAnsi="Courier New"/>
          <w:sz w:val="18"/>
          <w:szCs w:val="18"/>
          <w:color w:val="auto"/>
        </w:rPr>
        <w:t>Certain Officers.</w:t>
      </w:r>
    </w:p>
    <w:p>
      <w:pPr>
        <w:spacing w:after="0" w:line="200" w:lineRule="exact"/>
        <w:rPr>
          <w:sz w:val="24"/>
          <w:szCs w:val="24"/>
          <w:color w:val="auto"/>
        </w:rPr>
      </w:pP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July 19, 2007, Casual Male Retail Group, Inc. (the "Company") notified Linda B. Carlo of the termination of her active employment effective August 18, 2007. Ms. Carlo was serving as the Company's Executive Vice President-Business Development and Direct-to-Consumer. Ms. Carlo was a "named executive officer" in the Company's 2007 Proxy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38" w:lineRule="auto"/>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5"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ind w:left="4860"/>
        <w:spacing w:after="0" w:line="238" w:lineRule="auto"/>
        <w:rPr>
          <w:sz w:val="20"/>
          <w:szCs w:val="20"/>
          <w:color w:val="auto"/>
        </w:rPr>
      </w:pPr>
      <w:r>
        <w:rPr>
          <w:rFonts w:ascii="Courier New" w:cs="Courier New" w:eastAsia="Courier New" w:hAnsi="Courier New"/>
          <w:sz w:val="18"/>
          <w:szCs w:val="18"/>
          <w:color w:val="auto"/>
        </w:rPr>
        <w:t>By: /s/ DENNIS R. HERNREICH</w:t>
      </w:r>
    </w:p>
    <w:p>
      <w:pPr>
        <w:spacing w:after="0" w:line="5" w:lineRule="exact"/>
        <w:rPr>
          <w:sz w:val="24"/>
          <w:szCs w:val="24"/>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20, 2007</w:t>
      </w:r>
    </w:p>
    <w:sectPr>
      <w:pgSz w:w="11900" w:h="16838" w:orient="portrait"/>
      <w:cols w:equalWidth="0" w:num="1">
        <w:col w:w="10219"/>
      </w:cols>
      <w:pgMar w:left="240" w:top="44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78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2019-12-11T20:35:32Z</dcterms:created>
  <dcterms:modified xsi:type="dcterms:W3CDTF">2019-12-11T20:35:32Z</dcterms:modified>
</cp:coreProperties>
</file>