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738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Stratton Peter H Jr.</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20" w:type="dxa"/>
            <w:vAlign w:val="bottom"/>
            <w:gridSpan w:val="4"/>
          </w:tcPr>
          <w:p>
            <w:pPr>
              <w:ind w:left="6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DESTINATION XL GROUP,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76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ind w:left="120"/>
              <w:spacing w:after="0" w:line="128"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restart"/>
          </w:tcPr>
          <w:p>
            <w:pPr>
              <w:ind w:left="12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460"/>
              <w:spacing w:after="0"/>
              <w:rPr>
                <w:sz w:val="20"/>
                <w:szCs w:val="20"/>
                <w:color w:val="auto"/>
              </w:rPr>
            </w:pPr>
            <w:r>
              <w:rPr>
                <w:rFonts w:ascii="Arial" w:cs="Arial" w:eastAsia="Arial" w:hAnsi="Arial"/>
                <w:sz w:val="17"/>
                <w:szCs w:val="17"/>
                <w:color w:val="0000FF"/>
              </w:rPr>
              <w:t>EVP, CFO, Treasurer</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05/01/2023</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w w:val="98"/>
              </w:rPr>
              <w:t>Common</w:t>
            </w:r>
          </w:p>
        </w:tc>
        <w:tc>
          <w:tcPr>
            <w:tcW w:w="700" w:type="dxa"/>
            <w:vAlign w:val="bottom"/>
            <w:vMerge w:val="restart"/>
          </w:tcPr>
          <w:p>
            <w:pPr>
              <w:ind w:left="60"/>
              <w:spacing w:after="0"/>
              <w:rPr>
                <w:sz w:val="20"/>
                <w:szCs w:val="20"/>
                <w:color w:val="auto"/>
              </w:rPr>
            </w:pPr>
            <w:r>
              <w:rPr>
                <w:rFonts w:ascii="Arial" w:cs="Arial" w:eastAsia="Arial" w:hAnsi="Arial"/>
                <w:sz w:val="17"/>
                <w:szCs w:val="17"/>
                <w:color w:val="0000FF"/>
                <w:w w:val="89"/>
              </w:rPr>
              <w:t>20,859</w:t>
            </w:r>
            <w:r>
              <w:rPr>
                <w:rFonts w:ascii="Arial" w:cs="Arial" w:eastAsia="Arial" w:hAnsi="Arial"/>
                <w:sz w:val="21"/>
                <w:szCs w:val="21"/>
                <w:color w:val="008000"/>
                <w:w w:val="89"/>
                <w:vertAlign w:val="superscript"/>
              </w:rPr>
              <w:t>(2)</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tcPr>
          <w:p>
            <w:pPr>
              <w:ind w:left="32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80" w:type="dxa"/>
            <w:vAlign w:val="bottom"/>
          </w:tcPr>
          <w:p>
            <w:pPr>
              <w:jc w:val="right"/>
              <w:ind w:right="181"/>
              <w:spacing w:after="0" w:line="124" w:lineRule="exact"/>
              <w:rPr>
                <w:sz w:val="20"/>
                <w:szCs w:val="20"/>
                <w:color w:val="auto"/>
              </w:rPr>
            </w:pPr>
            <w:r>
              <w:rPr>
                <w:rFonts w:ascii="Arial" w:cs="Arial" w:eastAsia="Arial" w:hAnsi="Arial"/>
                <w:sz w:val="13"/>
                <w:szCs w:val="13"/>
                <w:color w:val="0000FF"/>
              </w:rPr>
              <w:t>05/01/2023</w:t>
            </w:r>
          </w:p>
        </w:tc>
        <w:tc>
          <w:tcPr>
            <w:tcW w:w="1060" w:type="dxa"/>
            <w:vAlign w:val="bottom"/>
          </w:tcPr>
          <w:p>
            <w:pPr>
              <w:spacing w:after="0"/>
              <w:rPr>
                <w:sz w:val="10"/>
                <w:szCs w:val="10"/>
                <w:color w:val="auto"/>
              </w:rPr>
            </w:pPr>
          </w:p>
        </w:tc>
        <w:tc>
          <w:tcPr>
            <w:tcW w:w="800" w:type="dxa"/>
            <w:vAlign w:val="bottom"/>
          </w:tcPr>
          <w:p>
            <w:pPr>
              <w:ind w:left="180"/>
              <w:spacing w:after="0" w:line="124" w:lineRule="exact"/>
              <w:rPr>
                <w:sz w:val="20"/>
                <w:szCs w:val="20"/>
                <w:color w:val="auto"/>
              </w:rPr>
            </w:pPr>
            <w:r>
              <w:rPr>
                <w:rFonts w:ascii="Arial" w:cs="Arial" w:eastAsia="Arial" w:hAnsi="Arial"/>
                <w:sz w:val="13"/>
                <w:szCs w:val="13"/>
                <w:color w:val="0000FF"/>
              </w:rPr>
              <w:t>A</w:t>
            </w:r>
          </w:p>
        </w:tc>
        <w:tc>
          <w:tcPr>
            <w:tcW w:w="500" w:type="dxa"/>
            <w:vAlign w:val="bottom"/>
          </w:tcPr>
          <w:p>
            <w:pPr>
              <w:ind w:left="80"/>
              <w:spacing w:after="0" w:line="124" w:lineRule="exact"/>
              <w:rPr>
                <w:sz w:val="20"/>
                <w:szCs w:val="20"/>
                <w:color w:val="auto"/>
              </w:rPr>
            </w:pPr>
            <w:r>
              <w:rPr>
                <w:rFonts w:ascii="Arial" w:cs="Arial" w:eastAsia="Arial" w:hAnsi="Arial"/>
                <w:sz w:val="13"/>
                <w:szCs w:val="13"/>
                <w:color w:val="0000FF"/>
              </w:rPr>
              <w:t>20,859</w:t>
            </w: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3"/>
                <w:szCs w:val="13"/>
                <w:color w:val="0000FF"/>
                <w:w w:val="95"/>
              </w:rPr>
              <w:t>05/01/2033</w:t>
            </w:r>
          </w:p>
        </w:tc>
        <w:tc>
          <w:tcPr>
            <w:tcW w:w="6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40" w:type="dxa"/>
            <w:vAlign w:val="bottom"/>
          </w:tcPr>
          <w:p>
            <w:pPr>
              <w:ind w:left="300"/>
              <w:spacing w:after="0" w:line="124" w:lineRule="exact"/>
              <w:rPr>
                <w:sz w:val="20"/>
                <w:szCs w:val="20"/>
                <w:color w:val="auto"/>
              </w:rPr>
            </w:pPr>
            <w:r>
              <w:rPr>
                <w:rFonts w:ascii="Arial" w:cs="Arial" w:eastAsia="Arial" w:hAnsi="Arial"/>
                <w:sz w:val="13"/>
                <w:szCs w:val="13"/>
                <w:color w:val="0000FF"/>
              </w:rPr>
              <w:t>20,859</w:t>
            </w:r>
          </w:p>
        </w:tc>
        <w:tc>
          <w:tcPr>
            <w:tcW w:w="72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("RSUs") represent the time-based portion of the 2023-2025 Long-Term Incentive Plan award to the Reporting Person. The RSU's vest and become exercisable in four equal installments on May 1, 2024, April 1, 2025, April 1, 2026 and April 1, 2027.</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as defined in the Company's 2016 Incentive Compensation Plan, represents a contingent right to receive one share of DXLG common stock.</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5"/>
              </w:rPr>
              <w:t>Peter H. Stratton, Jr.</w:t>
            </w:r>
          </w:p>
        </w:tc>
        <w:tc>
          <w:tcPr>
            <w:tcW w:w="8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05/03/2023</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0555"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2023-05-03T15:27:13Z</dcterms:created>
  <dcterms:modified xsi:type="dcterms:W3CDTF">2023-05-03T15:27:13Z</dcterms:modified>
</cp:coreProperties>
</file>