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2459"/>
        <w:spacing w:after="0"/>
        <w:rPr>
          <w:sz w:val="20"/>
          <w:szCs w:val="20"/>
          <w:color w:val="auto"/>
        </w:rPr>
      </w:pPr>
      <w:r>
        <w:rPr>
          <w:rFonts w:ascii="Courier New" w:cs="Courier New" w:eastAsia="Courier New" w:hAnsi="Courier New"/>
          <w:sz w:val="16"/>
          <w:szCs w:val="16"/>
          <w:color w:val="auto"/>
        </w:rPr>
        <w:t>Filed Pursuant to Rule 424(b)(3)</w:t>
      </w:r>
    </w:p>
    <w:p>
      <w:pPr>
        <w:spacing w:after="0" w:line="5" w:lineRule="exact"/>
        <w:rPr>
          <w:sz w:val="24"/>
          <w:szCs w:val="24"/>
          <w:color w:val="auto"/>
        </w:rPr>
      </w:pPr>
    </w:p>
    <w:p>
      <w:pPr>
        <w:jc w:val="right"/>
        <w:ind w:right="2459"/>
        <w:spacing w:after="0"/>
        <w:rPr>
          <w:sz w:val="20"/>
          <w:szCs w:val="20"/>
          <w:color w:val="auto"/>
        </w:rPr>
      </w:pPr>
      <w:r>
        <w:rPr>
          <w:rFonts w:ascii="Courier New" w:cs="Courier New" w:eastAsia="Courier New" w:hAnsi="Courier New"/>
          <w:sz w:val="16"/>
          <w:szCs w:val="16"/>
          <w:color w:val="auto"/>
        </w:rPr>
        <w:t>Registration No. 333-112598</w:t>
      </w:r>
    </w:p>
    <w:p>
      <w:pPr>
        <w:spacing w:after="0" w:line="200" w:lineRule="exact"/>
        <w:rPr>
          <w:sz w:val="24"/>
          <w:szCs w:val="24"/>
          <w:color w:val="auto"/>
        </w:rPr>
      </w:pPr>
    </w:p>
    <w:p>
      <w:pPr>
        <w:spacing w:after="0" w:line="36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PROSPECTUS SUPPLEMENT NO. 1</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TO PROSPECTUS DATED APRIL 21, 2004</w:t>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CASUAL MALE RETAIL GROUP, INC.</w:t>
      </w:r>
    </w:p>
    <w:p>
      <w:pPr>
        <w:spacing w:after="0" w:line="191"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$100,000,000 Principal Amount of</w:t>
      </w:r>
    </w:p>
    <w:p>
      <w:pPr>
        <w:spacing w:after="0" w:line="5"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5% Convertible Subordinated Notes Due 2024</w:t>
      </w:r>
    </w:p>
    <w:p>
      <w:pPr>
        <w:spacing w:after="0" w:line="5" w:lineRule="exact"/>
        <w:rPr>
          <w:sz w:val="24"/>
          <w:szCs w:val="24"/>
          <w:color w:val="auto"/>
        </w:rPr>
      </w:pPr>
    </w:p>
    <w:p>
      <w:pPr>
        <w:jc w:val="center"/>
        <w:ind w:right="2359"/>
        <w:spacing w:after="0"/>
        <w:rPr>
          <w:sz w:val="20"/>
          <w:szCs w:val="20"/>
          <w:color w:val="auto"/>
        </w:rPr>
      </w:pPr>
      <w:r>
        <w:rPr>
          <w:rFonts w:ascii="Courier New" w:cs="Courier New" w:eastAsia="Courier New" w:hAnsi="Courier New"/>
          <w:sz w:val="16"/>
          <w:szCs w:val="16"/>
          <w:color w:val="auto"/>
        </w:rPr>
        <w:t>and</w:t>
      </w:r>
    </w:p>
    <w:p>
      <w:pPr>
        <w:spacing w:after="0" w:line="5"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Shares of Common Stock Issuable Upon Conversion of the Notes</w:t>
      </w:r>
    </w:p>
    <w:p>
      <w:pPr>
        <w:spacing w:after="0" w:line="5" w:lineRule="exact"/>
        <w:rPr>
          <w:sz w:val="24"/>
          <w:szCs w:val="24"/>
          <w:color w:val="auto"/>
        </w:rPr>
      </w:pPr>
    </w:p>
    <w:p>
      <w:pPr>
        <w:ind w:left="310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4"/>
          <w:szCs w:val="24"/>
          <w:color w:val="auto"/>
        </w:rPr>
      </w:pPr>
    </w:p>
    <w:p>
      <w:pPr>
        <w:ind w:right="2659" w:firstLine="581"/>
        <w:spacing w:after="0" w:line="247" w:lineRule="auto"/>
        <w:rPr>
          <w:sz w:val="20"/>
          <w:szCs w:val="20"/>
          <w:color w:val="auto"/>
        </w:rPr>
      </w:pPr>
      <w:r>
        <w:rPr>
          <w:rFonts w:ascii="Courier New" w:cs="Courier New" w:eastAsia="Courier New" w:hAnsi="Courier New"/>
          <w:sz w:val="16"/>
          <w:szCs w:val="16"/>
          <w:color w:val="auto"/>
        </w:rPr>
        <w:t>This prospectus supplement relates to the resale by the selling securityholders (including their transferees, pledgees or donees or their successors) of up to $100 million aggregate principal amount of 5% Convertible Subordinated Notes due 2024 issued by Casual Male Retail Group, Inc. and the shares of common stock issuable upon conversion of the notes.</w:t>
      </w:r>
    </w:p>
    <w:p>
      <w:pPr>
        <w:spacing w:after="0" w:line="185" w:lineRule="exact"/>
        <w:rPr>
          <w:sz w:val="24"/>
          <w:szCs w:val="24"/>
          <w:color w:val="auto"/>
        </w:rPr>
      </w:pPr>
    </w:p>
    <w:p>
      <w:pPr>
        <w:ind w:right="2559" w:firstLine="581"/>
        <w:spacing w:after="0" w:line="246" w:lineRule="auto"/>
        <w:rPr>
          <w:sz w:val="20"/>
          <w:szCs w:val="20"/>
          <w:color w:val="auto"/>
        </w:rPr>
      </w:pPr>
      <w:r>
        <w:rPr>
          <w:rFonts w:ascii="Courier New" w:cs="Courier New" w:eastAsia="Courier New" w:hAnsi="Courier New"/>
          <w:sz w:val="16"/>
          <w:szCs w:val="16"/>
          <w:color w:val="auto"/>
        </w:rPr>
        <w:t>This prospectus supplement should be read in conjunction with the prospectus dated April 21, 2004, which is to be delivered with this prospectus supplement, and this prospectus supplement is qualified by reference to the prospectus, except to the extent that the information in this prospectus supplement supercedes the information contained in the prospectus. This prospectus supplement is not complete without, and may not be delivered or utilized except in connection with, the prospectus, including any amendments or supplements to it.</w:t>
      </w:r>
    </w:p>
    <w:p>
      <w:pPr>
        <w:spacing w:after="0" w:line="191" w:lineRule="exact"/>
        <w:rPr>
          <w:sz w:val="24"/>
          <w:szCs w:val="24"/>
          <w:color w:val="auto"/>
        </w:rPr>
      </w:pPr>
    </w:p>
    <w:p>
      <w:pPr>
        <w:ind w:right="2859" w:firstLine="581"/>
        <w:spacing w:after="0" w:line="247" w:lineRule="auto"/>
        <w:rPr>
          <w:sz w:val="20"/>
          <w:szCs w:val="20"/>
          <w:color w:val="auto"/>
        </w:rPr>
      </w:pPr>
      <w:r>
        <w:rPr>
          <w:rFonts w:ascii="Courier New" w:cs="Courier New" w:eastAsia="Courier New" w:hAnsi="Courier New"/>
          <w:sz w:val="16"/>
          <w:szCs w:val="16"/>
          <w:color w:val="auto"/>
        </w:rPr>
        <w:t>Investing in the notes or the common stock offered by the prospectus involves risks that are described in the "Risk Factors" section beginning on page 8 of the prospectus.</w:t>
      </w:r>
    </w:p>
    <w:p>
      <w:pPr>
        <w:spacing w:after="0" w:line="186" w:lineRule="exact"/>
        <w:rPr>
          <w:sz w:val="24"/>
          <w:szCs w:val="24"/>
          <w:color w:val="auto"/>
        </w:rPr>
      </w:pPr>
    </w:p>
    <w:p>
      <w:pPr>
        <w:ind w:left="310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4"/>
          <w:szCs w:val="24"/>
          <w:color w:val="auto"/>
        </w:rPr>
      </w:pPr>
    </w:p>
    <w:p>
      <w:pPr>
        <w:ind w:right="2559" w:firstLine="581"/>
        <w:spacing w:after="0" w:line="247" w:lineRule="auto"/>
        <w:rPr>
          <w:sz w:val="20"/>
          <w:szCs w:val="20"/>
          <w:color w:val="auto"/>
        </w:rPr>
      </w:pPr>
      <w:r>
        <w:rPr>
          <w:rFonts w:ascii="Courier New" w:cs="Courier New" w:eastAsia="Courier New" w:hAnsi="Courier New"/>
          <w:sz w:val="16"/>
          <w:szCs w:val="16"/>
          <w:color w:val="auto"/>
        </w:rPr>
        <w:t>Neither the Securities and Exchange Commission, any state securities commission nor any other regulatory body has approved or disapproved of these securities or determined if this prospectus supplement is truthful or complete. Any representation to the contrary is a criminal offense.</w:t>
      </w:r>
    </w:p>
    <w:p>
      <w:pPr>
        <w:spacing w:after="0" w:line="186" w:lineRule="exact"/>
        <w:rPr>
          <w:sz w:val="24"/>
          <w:szCs w:val="24"/>
          <w:color w:val="auto"/>
        </w:rPr>
      </w:pPr>
    </w:p>
    <w:p>
      <w:pPr>
        <w:ind w:left="310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4"/>
          <w:szCs w:val="24"/>
          <w:color w:val="auto"/>
        </w:rPr>
      </w:pPr>
    </w:p>
    <w:p>
      <w:pPr>
        <w:ind w:left="580"/>
        <w:spacing w:after="0"/>
        <w:rPr>
          <w:sz w:val="20"/>
          <w:szCs w:val="20"/>
          <w:color w:val="auto"/>
        </w:rPr>
      </w:pPr>
      <w:r>
        <w:rPr>
          <w:rFonts w:ascii="Courier New" w:cs="Courier New" w:eastAsia="Courier New" w:hAnsi="Courier New"/>
          <w:sz w:val="16"/>
          <w:szCs w:val="16"/>
          <w:color w:val="auto"/>
        </w:rPr>
        <w:t>The date of this prospectus supplement is June 14, 2004.</w:t>
      </w:r>
    </w:p>
    <w:p>
      <w:pPr>
        <w:spacing w:after="0" w:line="191" w:lineRule="exact"/>
        <w:rPr>
          <w:sz w:val="24"/>
          <w:szCs w:val="24"/>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The information in the table appearing under the heading "Selling Securityholders" beginning on page 46 of the prospectus is amended by adding the information below with respect to persons not previously listed in the prospectus, and by superceding the information with respect to persons listed in the prospectus that are listed below.</w:t>
      </w: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The following table sets forth certain information as of June 2, 2004, except where otherwise noted, concerning the principal amount of notes beneficially owned by each selling securityholder and the number of shares of common stock that may be offered from time to time by each selling securityholder under this prospectus. The information is based on information provided by or on behalf of the selling securityholders. The number of shares of common stock issuable upon conversion of the notes shown in the table below assumes conversion of the full amount of notes held by each holder at an initial conversion price of $10.65 per share. This conversion price is subject to adjustments in certain circumstances. Because the selling securityholders may offer all or some portion of the notes or the common stock issuable upon conversion of the notes, we have assumed for purposes of the table below that the named selling securityholders will sell all of the notes or convert all of the notes and sell all of the common stock issuable upon conversion of the notes offered by this prospectus. In addition, the selling securityholders identified below may have sold, transferred or otherwise disposed of all or a portion of their notes since the date on which they provided the information regarding their notes in transactions exempt from the registration requirements of the Securities Act. Information about the selling securityholders may change over time. Any changed information given to us by the selling securityholders will be set forth in prospectus supplements if and when necessary.</w:t>
      </w:r>
    </w:p>
    <w:p>
      <w:pPr>
        <w:spacing w:after="0" w:line="200" w:lineRule="exact"/>
        <w:rPr>
          <w:sz w:val="24"/>
          <w:szCs w:val="24"/>
          <w:color w:val="auto"/>
        </w:rPr>
      </w:pPr>
    </w:p>
    <w:p>
      <w:pPr>
        <w:spacing w:after="0" w:line="200" w:lineRule="exact"/>
        <w:rPr>
          <w:sz w:val="24"/>
          <w:szCs w:val="24"/>
          <w:color w:val="auto"/>
        </w:rPr>
      </w:pPr>
    </w:p>
    <w:p>
      <w:pPr>
        <w:spacing w:after="0" w:line="357" w:lineRule="exact"/>
        <w:rPr>
          <w:sz w:val="24"/>
          <w:szCs w:val="24"/>
          <w:color w:val="auto"/>
        </w:rPr>
      </w:pPr>
    </w:p>
    <w:p>
      <w:pPr>
        <w:ind w:left="37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241" w:right="1440" w:bottom="409" w:gutter="0" w:footer="0" w:header="0"/>
        </w:sectPr>
      </w:pPr>
    </w:p>
    <w:bookmarkStart w:id="1" w:name="page2"/>
    <w:bookmarkEnd w:id="1"/>
    <w:tbl>
      <w:tblPr>
        <w:tblLayout w:type="fixed"/>
        <w:tblInd w:w="1" w:type="dxa"/>
        <w:tblCellMar>
          <w:top w:w="0" w:type="dxa"/>
          <w:left w:w="0" w:type="dxa"/>
          <w:bottom w:w="0" w:type="dxa"/>
          <w:right w:w="0" w:type="dxa"/>
        </w:tblCellMar>
      </w:tblPr>
      <w:tr>
        <w:trPr>
          <w:trHeight w:val="183"/>
        </w:trPr>
        <w:tc>
          <w:tcPr>
            <w:tcW w:w="37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540" w:type="dxa"/>
            <w:vAlign w:val="bottom"/>
          </w:tcPr>
          <w:p>
            <w:pPr>
              <w:ind w:left="40"/>
              <w:spacing w:after="0"/>
              <w:rPr>
                <w:sz w:val="20"/>
                <w:szCs w:val="20"/>
                <w:color w:val="auto"/>
              </w:rPr>
            </w:pPr>
            <w:r>
              <w:rPr>
                <w:rFonts w:ascii="Courier New" w:cs="Courier New" w:eastAsia="Courier New" w:hAnsi="Courier New"/>
                <w:sz w:val="16"/>
                <w:szCs w:val="16"/>
                <w:color w:val="auto"/>
              </w:rPr>
              <w:t>Other Shares</w:t>
            </w:r>
          </w:p>
        </w:tc>
        <w:tc>
          <w:tcPr>
            <w:tcW w:w="1500" w:type="dxa"/>
            <w:vAlign w:val="bottom"/>
          </w:tcPr>
          <w:p>
            <w:pPr>
              <w:spacing w:after="0"/>
              <w:rPr>
                <w:sz w:val="15"/>
                <w:szCs w:val="15"/>
                <w:color w:val="auto"/>
              </w:rPr>
            </w:pPr>
          </w:p>
        </w:tc>
      </w:tr>
      <w:tr>
        <w:trPr>
          <w:trHeight w:val="186"/>
        </w:trPr>
        <w:tc>
          <w:tcPr>
            <w:tcW w:w="37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540" w:type="dxa"/>
            <w:vAlign w:val="bottom"/>
          </w:tcPr>
          <w:p>
            <w:pPr>
              <w:ind w:left="40"/>
              <w:spacing w:after="0"/>
              <w:rPr>
                <w:sz w:val="20"/>
                <w:szCs w:val="20"/>
                <w:color w:val="auto"/>
              </w:rPr>
            </w:pPr>
            <w:r>
              <w:rPr>
                <w:rFonts w:ascii="Courier New" w:cs="Courier New" w:eastAsia="Courier New" w:hAnsi="Courier New"/>
                <w:sz w:val="16"/>
                <w:szCs w:val="16"/>
                <w:color w:val="auto"/>
              </w:rPr>
              <w:t>of Common</w:t>
            </w:r>
          </w:p>
        </w:tc>
        <w:tc>
          <w:tcPr>
            <w:tcW w:w="1500" w:type="dxa"/>
            <w:vAlign w:val="bottom"/>
          </w:tcPr>
          <w:p>
            <w:pPr>
              <w:spacing w:after="0"/>
              <w:rPr>
                <w:sz w:val="16"/>
                <w:szCs w:val="16"/>
                <w:color w:val="auto"/>
              </w:rPr>
            </w:pPr>
          </w:p>
        </w:tc>
      </w:tr>
      <w:tr>
        <w:trPr>
          <w:trHeight w:val="186"/>
        </w:trPr>
        <w:tc>
          <w:tcPr>
            <w:tcW w:w="37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540" w:type="dxa"/>
            <w:vAlign w:val="bottom"/>
          </w:tcPr>
          <w:p>
            <w:pPr>
              <w:ind w:left="40"/>
              <w:spacing w:after="0"/>
              <w:rPr>
                <w:sz w:val="20"/>
                <w:szCs w:val="20"/>
                <w:color w:val="auto"/>
              </w:rPr>
            </w:pPr>
            <w:r>
              <w:rPr>
                <w:rFonts w:ascii="Courier New" w:cs="Courier New" w:eastAsia="Courier New" w:hAnsi="Courier New"/>
                <w:sz w:val="16"/>
                <w:szCs w:val="16"/>
                <w:color w:val="auto"/>
              </w:rPr>
              <w:t>Stock</w:t>
            </w:r>
          </w:p>
        </w:tc>
        <w:tc>
          <w:tcPr>
            <w:tcW w:w="1500" w:type="dxa"/>
            <w:vAlign w:val="bottom"/>
          </w:tcPr>
          <w:p>
            <w:pPr>
              <w:spacing w:after="0"/>
              <w:rPr>
                <w:sz w:val="16"/>
                <w:szCs w:val="16"/>
                <w:color w:val="auto"/>
              </w:rPr>
            </w:pPr>
          </w:p>
        </w:tc>
      </w:tr>
      <w:tr>
        <w:trPr>
          <w:trHeight w:val="186"/>
        </w:trPr>
        <w:tc>
          <w:tcPr>
            <w:tcW w:w="37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540" w:type="dxa"/>
            <w:vAlign w:val="bottom"/>
          </w:tcPr>
          <w:p>
            <w:pPr>
              <w:ind w:left="40"/>
              <w:spacing w:after="0"/>
              <w:rPr>
                <w:sz w:val="20"/>
                <w:szCs w:val="20"/>
                <w:color w:val="auto"/>
              </w:rPr>
            </w:pPr>
            <w:r>
              <w:rPr>
                <w:rFonts w:ascii="Courier New" w:cs="Courier New" w:eastAsia="Courier New" w:hAnsi="Courier New"/>
                <w:sz w:val="16"/>
                <w:szCs w:val="16"/>
                <w:color w:val="auto"/>
              </w:rPr>
              <w:t>Beneficially</w:t>
            </w:r>
          </w:p>
        </w:tc>
        <w:tc>
          <w:tcPr>
            <w:tcW w:w="1500" w:type="dxa"/>
            <w:vAlign w:val="bottom"/>
          </w:tcPr>
          <w:p>
            <w:pPr>
              <w:spacing w:after="0"/>
              <w:rPr>
                <w:sz w:val="16"/>
                <w:szCs w:val="16"/>
                <w:color w:val="auto"/>
              </w:rPr>
            </w:pPr>
          </w:p>
        </w:tc>
      </w:tr>
      <w:tr>
        <w:trPr>
          <w:trHeight w:val="186"/>
        </w:trPr>
        <w:tc>
          <w:tcPr>
            <w:tcW w:w="3740" w:type="dxa"/>
            <w:vAlign w:val="bottom"/>
          </w:tcPr>
          <w:p>
            <w:pPr>
              <w:spacing w:after="0"/>
              <w:rPr>
                <w:sz w:val="16"/>
                <w:szCs w:val="16"/>
                <w:color w:val="auto"/>
              </w:rPr>
            </w:pPr>
          </w:p>
        </w:tc>
        <w:tc>
          <w:tcPr>
            <w:tcW w:w="1500" w:type="dxa"/>
            <w:vAlign w:val="bottom"/>
          </w:tcPr>
          <w:p>
            <w:pPr>
              <w:ind w:left="140"/>
              <w:spacing w:after="0"/>
              <w:rPr>
                <w:sz w:val="20"/>
                <w:szCs w:val="20"/>
                <w:color w:val="auto"/>
              </w:rPr>
            </w:pPr>
            <w:r>
              <w:rPr>
                <w:rFonts w:ascii="Courier New" w:cs="Courier New" w:eastAsia="Courier New" w:hAnsi="Courier New"/>
                <w:sz w:val="16"/>
                <w:szCs w:val="16"/>
                <w:color w:val="auto"/>
              </w:rPr>
              <w:t>Aggregate</w:t>
            </w:r>
          </w:p>
        </w:tc>
        <w:tc>
          <w:tcPr>
            <w:tcW w:w="1680" w:type="dxa"/>
            <w:vAlign w:val="bottom"/>
          </w:tcPr>
          <w:p>
            <w:pPr>
              <w:spacing w:after="0"/>
              <w:rPr>
                <w:sz w:val="16"/>
                <w:szCs w:val="16"/>
                <w:color w:val="auto"/>
              </w:rPr>
            </w:pPr>
          </w:p>
        </w:tc>
        <w:tc>
          <w:tcPr>
            <w:tcW w:w="1560" w:type="dxa"/>
            <w:vAlign w:val="bottom"/>
          </w:tcPr>
          <w:p>
            <w:pPr>
              <w:ind w:left="160"/>
              <w:spacing w:after="0"/>
              <w:rPr>
                <w:sz w:val="20"/>
                <w:szCs w:val="20"/>
                <w:color w:val="auto"/>
              </w:rPr>
            </w:pPr>
            <w:r>
              <w:rPr>
                <w:rFonts w:ascii="Courier New" w:cs="Courier New" w:eastAsia="Courier New" w:hAnsi="Courier New"/>
                <w:sz w:val="16"/>
                <w:szCs w:val="16"/>
                <w:color w:val="auto"/>
              </w:rPr>
              <w:t>Shares of</w:t>
            </w:r>
          </w:p>
        </w:tc>
        <w:tc>
          <w:tcPr>
            <w:tcW w:w="1540" w:type="dxa"/>
            <w:vAlign w:val="bottom"/>
          </w:tcPr>
          <w:p>
            <w:pPr>
              <w:ind w:left="40"/>
              <w:spacing w:after="0"/>
              <w:rPr>
                <w:sz w:val="20"/>
                <w:szCs w:val="20"/>
                <w:color w:val="auto"/>
              </w:rPr>
            </w:pPr>
            <w:r>
              <w:rPr>
                <w:rFonts w:ascii="Courier New" w:cs="Courier New" w:eastAsia="Courier New" w:hAnsi="Courier New"/>
                <w:sz w:val="16"/>
                <w:szCs w:val="16"/>
                <w:color w:val="auto"/>
              </w:rPr>
              <w:t>Owned Before</w:t>
            </w:r>
          </w:p>
        </w:tc>
        <w:tc>
          <w:tcPr>
            <w:tcW w:w="1500" w:type="dxa"/>
            <w:vAlign w:val="bottom"/>
          </w:tcPr>
          <w:p>
            <w:pPr>
              <w:spacing w:after="0"/>
              <w:rPr>
                <w:sz w:val="16"/>
                <w:szCs w:val="16"/>
                <w:color w:val="auto"/>
              </w:rPr>
            </w:pPr>
          </w:p>
        </w:tc>
      </w:tr>
      <w:tr>
        <w:trPr>
          <w:trHeight w:val="186"/>
        </w:trPr>
        <w:tc>
          <w:tcPr>
            <w:tcW w:w="3740" w:type="dxa"/>
            <w:vAlign w:val="bottom"/>
          </w:tcPr>
          <w:p>
            <w:pPr>
              <w:spacing w:after="0"/>
              <w:rPr>
                <w:sz w:val="16"/>
                <w:szCs w:val="16"/>
                <w:color w:val="auto"/>
              </w:rPr>
            </w:pPr>
          </w:p>
        </w:tc>
        <w:tc>
          <w:tcPr>
            <w:tcW w:w="1500" w:type="dxa"/>
            <w:vAlign w:val="bottom"/>
          </w:tcPr>
          <w:p>
            <w:pPr>
              <w:ind w:left="140"/>
              <w:spacing w:after="0"/>
              <w:rPr>
                <w:sz w:val="20"/>
                <w:szCs w:val="20"/>
                <w:color w:val="auto"/>
              </w:rPr>
            </w:pPr>
            <w:r>
              <w:rPr>
                <w:rFonts w:ascii="Courier New" w:cs="Courier New" w:eastAsia="Courier New" w:hAnsi="Courier New"/>
                <w:sz w:val="16"/>
                <w:szCs w:val="16"/>
                <w:color w:val="auto"/>
              </w:rPr>
              <w:t>Principal</w:t>
            </w:r>
          </w:p>
        </w:tc>
        <w:tc>
          <w:tcPr>
            <w:tcW w:w="1680" w:type="dxa"/>
            <w:vAlign w:val="bottom"/>
          </w:tcPr>
          <w:p>
            <w:pPr>
              <w:spacing w:after="0"/>
              <w:rPr>
                <w:sz w:val="16"/>
                <w:szCs w:val="16"/>
                <w:color w:val="auto"/>
              </w:rPr>
            </w:pPr>
          </w:p>
        </w:tc>
        <w:tc>
          <w:tcPr>
            <w:tcW w:w="1560" w:type="dxa"/>
            <w:vAlign w:val="bottom"/>
          </w:tcPr>
          <w:p>
            <w:pPr>
              <w:ind w:left="160"/>
              <w:spacing w:after="0"/>
              <w:rPr>
                <w:sz w:val="20"/>
                <w:szCs w:val="20"/>
                <w:color w:val="auto"/>
              </w:rPr>
            </w:pPr>
            <w:r>
              <w:rPr>
                <w:rFonts w:ascii="Courier New" w:cs="Courier New" w:eastAsia="Courier New" w:hAnsi="Courier New"/>
                <w:sz w:val="16"/>
                <w:szCs w:val="16"/>
                <w:color w:val="auto"/>
              </w:rPr>
              <w:t>Common Stock</w:t>
            </w:r>
          </w:p>
        </w:tc>
        <w:tc>
          <w:tcPr>
            <w:tcW w:w="1540" w:type="dxa"/>
            <w:vAlign w:val="bottom"/>
          </w:tcPr>
          <w:p>
            <w:pPr>
              <w:ind w:left="40"/>
              <w:spacing w:after="0"/>
              <w:rPr>
                <w:sz w:val="20"/>
                <w:szCs w:val="20"/>
                <w:color w:val="auto"/>
              </w:rPr>
            </w:pPr>
            <w:r>
              <w:rPr>
                <w:rFonts w:ascii="Courier New" w:cs="Courier New" w:eastAsia="Courier New" w:hAnsi="Courier New"/>
                <w:sz w:val="16"/>
                <w:szCs w:val="16"/>
                <w:color w:val="auto"/>
              </w:rPr>
              <w:t>the Offering</w:t>
            </w:r>
          </w:p>
        </w:tc>
        <w:tc>
          <w:tcPr>
            <w:tcW w:w="1500" w:type="dxa"/>
            <w:vAlign w:val="bottom"/>
          </w:tcPr>
          <w:p>
            <w:pPr>
              <w:spacing w:after="0"/>
              <w:rPr>
                <w:sz w:val="16"/>
                <w:szCs w:val="16"/>
                <w:color w:val="auto"/>
              </w:rPr>
            </w:pPr>
          </w:p>
        </w:tc>
      </w:tr>
      <w:tr>
        <w:trPr>
          <w:trHeight w:val="186"/>
        </w:trPr>
        <w:tc>
          <w:tcPr>
            <w:tcW w:w="3740" w:type="dxa"/>
            <w:vAlign w:val="bottom"/>
          </w:tcPr>
          <w:p>
            <w:pPr>
              <w:spacing w:after="0"/>
              <w:rPr>
                <w:sz w:val="16"/>
                <w:szCs w:val="16"/>
                <w:color w:val="auto"/>
              </w:rPr>
            </w:pPr>
          </w:p>
        </w:tc>
        <w:tc>
          <w:tcPr>
            <w:tcW w:w="1500" w:type="dxa"/>
            <w:vAlign w:val="bottom"/>
          </w:tcPr>
          <w:p>
            <w:pPr>
              <w:ind w:left="140"/>
              <w:spacing w:after="0"/>
              <w:rPr>
                <w:sz w:val="20"/>
                <w:szCs w:val="20"/>
                <w:color w:val="auto"/>
              </w:rPr>
            </w:pPr>
            <w:r>
              <w:rPr>
                <w:rFonts w:ascii="Courier New" w:cs="Courier New" w:eastAsia="Courier New" w:hAnsi="Courier New"/>
                <w:sz w:val="16"/>
                <w:szCs w:val="16"/>
                <w:color w:val="auto"/>
              </w:rPr>
              <w:t>Amount of</w:t>
            </w:r>
          </w:p>
        </w:tc>
        <w:tc>
          <w:tcPr>
            <w:tcW w:w="1680" w:type="dxa"/>
            <w:vAlign w:val="bottom"/>
          </w:tcPr>
          <w:p>
            <w:pPr>
              <w:spacing w:after="0"/>
              <w:rPr>
                <w:sz w:val="16"/>
                <w:szCs w:val="16"/>
                <w:color w:val="auto"/>
              </w:rPr>
            </w:pPr>
          </w:p>
        </w:tc>
        <w:tc>
          <w:tcPr>
            <w:tcW w:w="1560" w:type="dxa"/>
            <w:vAlign w:val="bottom"/>
          </w:tcPr>
          <w:p>
            <w:pPr>
              <w:ind w:left="160"/>
              <w:spacing w:after="0"/>
              <w:rPr>
                <w:sz w:val="20"/>
                <w:szCs w:val="20"/>
                <w:color w:val="auto"/>
              </w:rPr>
            </w:pPr>
            <w:r>
              <w:rPr>
                <w:rFonts w:ascii="Courier New" w:cs="Courier New" w:eastAsia="Courier New" w:hAnsi="Courier New"/>
                <w:sz w:val="16"/>
                <w:szCs w:val="16"/>
                <w:color w:val="auto"/>
              </w:rPr>
              <w:t>Issuable</w:t>
            </w:r>
          </w:p>
        </w:tc>
        <w:tc>
          <w:tcPr>
            <w:tcW w:w="1540" w:type="dxa"/>
            <w:vAlign w:val="bottom"/>
          </w:tcPr>
          <w:p>
            <w:pPr>
              <w:ind w:left="40"/>
              <w:spacing w:after="0"/>
              <w:rPr>
                <w:sz w:val="20"/>
                <w:szCs w:val="20"/>
                <w:color w:val="auto"/>
              </w:rPr>
            </w:pPr>
            <w:r>
              <w:rPr>
                <w:rFonts w:ascii="Courier New" w:cs="Courier New" w:eastAsia="Courier New" w:hAnsi="Courier New"/>
                <w:sz w:val="16"/>
                <w:szCs w:val="16"/>
                <w:color w:val="auto"/>
              </w:rPr>
              <w:t>and Assumed</w:t>
            </w:r>
          </w:p>
        </w:tc>
        <w:tc>
          <w:tcPr>
            <w:tcW w:w="15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Percentage of</w:t>
            </w:r>
          </w:p>
        </w:tc>
      </w:tr>
      <w:tr>
        <w:trPr>
          <w:trHeight w:val="186"/>
        </w:trPr>
        <w:tc>
          <w:tcPr>
            <w:tcW w:w="3740" w:type="dxa"/>
            <w:vAlign w:val="bottom"/>
          </w:tcPr>
          <w:p>
            <w:pPr>
              <w:spacing w:after="0"/>
              <w:rPr>
                <w:sz w:val="16"/>
                <w:szCs w:val="16"/>
                <w:color w:val="auto"/>
              </w:rPr>
            </w:pPr>
          </w:p>
        </w:tc>
        <w:tc>
          <w:tcPr>
            <w:tcW w:w="1500" w:type="dxa"/>
            <w:vAlign w:val="bottom"/>
          </w:tcPr>
          <w:p>
            <w:pPr>
              <w:ind w:left="140"/>
              <w:spacing w:after="0"/>
              <w:rPr>
                <w:sz w:val="20"/>
                <w:szCs w:val="20"/>
                <w:color w:val="auto"/>
              </w:rPr>
            </w:pPr>
            <w:r>
              <w:rPr>
                <w:rFonts w:ascii="Courier New" w:cs="Courier New" w:eastAsia="Courier New" w:hAnsi="Courier New"/>
                <w:sz w:val="16"/>
                <w:szCs w:val="16"/>
                <w:color w:val="auto"/>
              </w:rPr>
              <w:t>Notes</w:t>
            </w:r>
          </w:p>
        </w:tc>
        <w:tc>
          <w:tcPr>
            <w:tcW w:w="1680" w:type="dxa"/>
            <w:vAlign w:val="bottom"/>
          </w:tcPr>
          <w:p>
            <w:pPr>
              <w:ind w:left="80"/>
              <w:spacing w:after="0"/>
              <w:rPr>
                <w:sz w:val="20"/>
                <w:szCs w:val="20"/>
                <w:color w:val="auto"/>
              </w:rPr>
            </w:pPr>
            <w:r>
              <w:rPr>
                <w:rFonts w:ascii="Courier New" w:cs="Courier New" w:eastAsia="Courier New" w:hAnsi="Courier New"/>
                <w:sz w:val="16"/>
                <w:szCs w:val="16"/>
                <w:color w:val="auto"/>
              </w:rPr>
              <w:t>Percentage of</w:t>
            </w:r>
          </w:p>
        </w:tc>
        <w:tc>
          <w:tcPr>
            <w:tcW w:w="1560" w:type="dxa"/>
            <w:vAlign w:val="bottom"/>
          </w:tcPr>
          <w:p>
            <w:pPr>
              <w:ind w:left="160"/>
              <w:spacing w:after="0"/>
              <w:rPr>
                <w:sz w:val="20"/>
                <w:szCs w:val="20"/>
                <w:color w:val="auto"/>
              </w:rPr>
            </w:pPr>
            <w:r>
              <w:rPr>
                <w:rFonts w:ascii="Courier New" w:cs="Courier New" w:eastAsia="Courier New" w:hAnsi="Courier New"/>
                <w:sz w:val="16"/>
                <w:szCs w:val="16"/>
                <w:color w:val="auto"/>
              </w:rPr>
              <w:t>Upon</w:t>
            </w:r>
          </w:p>
        </w:tc>
        <w:tc>
          <w:tcPr>
            <w:tcW w:w="1540" w:type="dxa"/>
            <w:vAlign w:val="bottom"/>
          </w:tcPr>
          <w:p>
            <w:pPr>
              <w:ind w:left="40"/>
              <w:spacing w:after="0"/>
              <w:rPr>
                <w:sz w:val="20"/>
                <w:szCs w:val="20"/>
                <w:color w:val="auto"/>
              </w:rPr>
            </w:pPr>
            <w:r>
              <w:rPr>
                <w:rFonts w:ascii="Courier New" w:cs="Courier New" w:eastAsia="Courier New" w:hAnsi="Courier New"/>
                <w:sz w:val="16"/>
                <w:szCs w:val="16"/>
                <w:color w:val="auto"/>
              </w:rPr>
              <w:t>to be Owned</w:t>
            </w:r>
          </w:p>
        </w:tc>
        <w:tc>
          <w:tcPr>
            <w:tcW w:w="15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Common Stock</w:t>
            </w:r>
          </w:p>
        </w:tc>
      </w:tr>
      <w:tr>
        <w:trPr>
          <w:trHeight w:val="186"/>
        </w:trPr>
        <w:tc>
          <w:tcPr>
            <w:tcW w:w="3740" w:type="dxa"/>
            <w:vAlign w:val="bottom"/>
          </w:tcPr>
          <w:p>
            <w:pPr>
              <w:spacing w:after="0"/>
              <w:rPr>
                <w:sz w:val="16"/>
                <w:szCs w:val="16"/>
                <w:color w:val="auto"/>
              </w:rPr>
            </w:pPr>
          </w:p>
        </w:tc>
        <w:tc>
          <w:tcPr>
            <w:tcW w:w="1500" w:type="dxa"/>
            <w:vAlign w:val="bottom"/>
          </w:tcPr>
          <w:p>
            <w:pPr>
              <w:ind w:left="140"/>
              <w:spacing w:after="0"/>
              <w:rPr>
                <w:sz w:val="20"/>
                <w:szCs w:val="20"/>
                <w:color w:val="auto"/>
              </w:rPr>
            </w:pPr>
            <w:r>
              <w:rPr>
                <w:rFonts w:ascii="Courier New" w:cs="Courier New" w:eastAsia="Courier New" w:hAnsi="Courier New"/>
                <w:sz w:val="16"/>
                <w:szCs w:val="16"/>
                <w:color w:val="auto"/>
              </w:rPr>
              <w:t>Beneficially</w:t>
            </w:r>
          </w:p>
        </w:tc>
        <w:tc>
          <w:tcPr>
            <w:tcW w:w="1680" w:type="dxa"/>
            <w:vAlign w:val="bottom"/>
          </w:tcPr>
          <w:p>
            <w:pPr>
              <w:ind w:left="80"/>
              <w:spacing w:after="0"/>
              <w:rPr>
                <w:sz w:val="20"/>
                <w:szCs w:val="20"/>
                <w:color w:val="auto"/>
              </w:rPr>
            </w:pPr>
            <w:r>
              <w:rPr>
                <w:rFonts w:ascii="Courier New" w:cs="Courier New" w:eastAsia="Courier New" w:hAnsi="Courier New"/>
                <w:sz w:val="16"/>
                <w:szCs w:val="16"/>
                <w:color w:val="auto"/>
              </w:rPr>
              <w:t>Notes</w:t>
            </w:r>
          </w:p>
        </w:tc>
        <w:tc>
          <w:tcPr>
            <w:tcW w:w="1560" w:type="dxa"/>
            <w:vAlign w:val="bottom"/>
          </w:tcPr>
          <w:p>
            <w:pPr>
              <w:ind w:left="160"/>
              <w:spacing w:after="0"/>
              <w:rPr>
                <w:sz w:val="20"/>
                <w:szCs w:val="20"/>
                <w:color w:val="auto"/>
              </w:rPr>
            </w:pPr>
            <w:r>
              <w:rPr>
                <w:rFonts w:ascii="Courier New" w:cs="Courier New" w:eastAsia="Courier New" w:hAnsi="Courier New"/>
                <w:sz w:val="16"/>
                <w:szCs w:val="16"/>
                <w:color w:val="auto"/>
              </w:rPr>
              <w:t>Conversion</w:t>
            </w:r>
          </w:p>
        </w:tc>
        <w:tc>
          <w:tcPr>
            <w:tcW w:w="1540" w:type="dxa"/>
            <w:vAlign w:val="bottom"/>
          </w:tcPr>
          <w:p>
            <w:pPr>
              <w:ind w:left="40"/>
              <w:spacing w:after="0"/>
              <w:rPr>
                <w:sz w:val="20"/>
                <w:szCs w:val="20"/>
                <w:color w:val="auto"/>
              </w:rPr>
            </w:pPr>
            <w:r>
              <w:rPr>
                <w:rFonts w:ascii="Courier New" w:cs="Courier New" w:eastAsia="Courier New" w:hAnsi="Courier New"/>
                <w:sz w:val="16"/>
                <w:szCs w:val="16"/>
                <w:color w:val="auto"/>
              </w:rPr>
              <w:t>Following the</w:t>
            </w:r>
          </w:p>
        </w:tc>
        <w:tc>
          <w:tcPr>
            <w:tcW w:w="15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Outstanding</w:t>
            </w:r>
          </w:p>
        </w:tc>
      </w:tr>
      <w:tr>
        <w:trPr>
          <w:trHeight w:val="186"/>
        </w:trPr>
        <w:tc>
          <w:tcPr>
            <w:tcW w:w="3740" w:type="dxa"/>
            <w:vAlign w:val="bottom"/>
          </w:tcPr>
          <w:p>
            <w:pPr>
              <w:spacing w:after="0"/>
              <w:rPr>
                <w:sz w:val="16"/>
                <w:szCs w:val="16"/>
                <w:color w:val="auto"/>
              </w:rPr>
            </w:pPr>
          </w:p>
        </w:tc>
        <w:tc>
          <w:tcPr>
            <w:tcW w:w="1500" w:type="dxa"/>
            <w:vAlign w:val="bottom"/>
          </w:tcPr>
          <w:p>
            <w:pPr>
              <w:ind w:left="140"/>
              <w:spacing w:after="0"/>
              <w:rPr>
                <w:sz w:val="20"/>
                <w:szCs w:val="20"/>
                <w:color w:val="auto"/>
              </w:rPr>
            </w:pPr>
            <w:r>
              <w:rPr>
                <w:rFonts w:ascii="Courier New" w:cs="Courier New" w:eastAsia="Courier New" w:hAnsi="Courier New"/>
                <w:sz w:val="16"/>
                <w:szCs w:val="16"/>
                <w:color w:val="auto"/>
              </w:rPr>
              <w:t>Owned and</w:t>
            </w:r>
          </w:p>
        </w:tc>
        <w:tc>
          <w:tcPr>
            <w:tcW w:w="1680" w:type="dxa"/>
            <w:vAlign w:val="bottom"/>
          </w:tcPr>
          <w:p>
            <w:pPr>
              <w:ind w:left="80"/>
              <w:spacing w:after="0"/>
              <w:rPr>
                <w:sz w:val="20"/>
                <w:szCs w:val="20"/>
                <w:color w:val="auto"/>
              </w:rPr>
            </w:pPr>
            <w:r>
              <w:rPr>
                <w:rFonts w:ascii="Courier New" w:cs="Courier New" w:eastAsia="Courier New" w:hAnsi="Courier New"/>
                <w:sz w:val="16"/>
                <w:szCs w:val="16"/>
                <w:color w:val="auto"/>
              </w:rPr>
              <w:t>Outstanding</w:t>
            </w:r>
          </w:p>
        </w:tc>
        <w:tc>
          <w:tcPr>
            <w:tcW w:w="1560" w:type="dxa"/>
            <w:vAlign w:val="bottom"/>
          </w:tcPr>
          <w:p>
            <w:pPr>
              <w:ind w:left="160"/>
              <w:spacing w:after="0"/>
              <w:rPr>
                <w:sz w:val="20"/>
                <w:szCs w:val="20"/>
                <w:color w:val="auto"/>
              </w:rPr>
            </w:pPr>
            <w:r>
              <w:rPr>
                <w:rFonts w:ascii="Courier New" w:cs="Courier New" w:eastAsia="Courier New" w:hAnsi="Courier New"/>
                <w:sz w:val="16"/>
                <w:szCs w:val="16"/>
                <w:color w:val="auto"/>
              </w:rPr>
              <w:t>of the Notes</w:t>
            </w:r>
          </w:p>
        </w:tc>
        <w:tc>
          <w:tcPr>
            <w:tcW w:w="1540" w:type="dxa"/>
            <w:vAlign w:val="bottom"/>
          </w:tcPr>
          <w:p>
            <w:pPr>
              <w:ind w:left="40"/>
              <w:spacing w:after="0"/>
              <w:rPr>
                <w:sz w:val="20"/>
                <w:szCs w:val="20"/>
                <w:color w:val="auto"/>
              </w:rPr>
            </w:pPr>
            <w:r>
              <w:rPr>
                <w:rFonts w:ascii="Courier New" w:cs="Courier New" w:eastAsia="Courier New" w:hAnsi="Courier New"/>
                <w:sz w:val="16"/>
                <w:szCs w:val="16"/>
                <w:color w:val="auto"/>
              </w:rPr>
              <w:t>Offering</w:t>
            </w:r>
          </w:p>
        </w:tc>
        <w:tc>
          <w:tcPr>
            <w:tcW w:w="1500" w:type="dxa"/>
            <w:vAlign w:val="bottom"/>
          </w:tcPr>
          <w:p>
            <w:pPr>
              <w:jc w:val="right"/>
              <w:ind w:right="679"/>
              <w:spacing w:after="0"/>
              <w:rPr>
                <w:sz w:val="20"/>
                <w:szCs w:val="20"/>
                <w:color w:val="auto"/>
              </w:rPr>
            </w:pPr>
            <w:r>
              <w:rPr>
                <w:rFonts w:ascii="Courier New" w:cs="Courier New" w:eastAsia="Courier New" w:hAnsi="Courier New"/>
                <w:sz w:val="16"/>
                <w:szCs w:val="16"/>
                <w:color w:val="auto"/>
              </w:rPr>
              <w:t>****</w:t>
            </w:r>
          </w:p>
        </w:tc>
      </w:tr>
      <w:tr>
        <w:trPr>
          <w:trHeight w:val="186"/>
        </w:trPr>
        <w:tc>
          <w:tcPr>
            <w:tcW w:w="374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1500" w:type="dxa"/>
            <w:vAlign w:val="bottom"/>
          </w:tcPr>
          <w:p>
            <w:pPr>
              <w:ind w:left="140"/>
              <w:spacing w:after="0"/>
              <w:rPr>
                <w:sz w:val="20"/>
                <w:szCs w:val="20"/>
                <w:color w:val="auto"/>
              </w:rPr>
            </w:pPr>
            <w:r>
              <w:rPr>
                <w:rFonts w:ascii="Courier New" w:cs="Courier New" w:eastAsia="Courier New" w:hAnsi="Courier New"/>
                <w:sz w:val="16"/>
                <w:szCs w:val="16"/>
                <w:color w:val="auto"/>
              </w:rPr>
              <w:t>Offered</w:t>
            </w:r>
          </w:p>
        </w:tc>
        <w:tc>
          <w:tcPr>
            <w:tcW w:w="1680" w:type="dxa"/>
            <w:vAlign w:val="bottom"/>
          </w:tcPr>
          <w:p>
            <w:pPr>
              <w:jc w:val="right"/>
              <w:ind w:right="83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939"/>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6"/>
        </w:trPr>
        <w:tc>
          <w:tcPr>
            <w:tcW w:w="37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5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3740" w:type="dxa"/>
            <w:vAlign w:val="bottom"/>
          </w:tcPr>
          <w:p>
            <w:pPr>
              <w:spacing w:after="0"/>
              <w:rPr>
                <w:sz w:val="20"/>
                <w:szCs w:val="20"/>
                <w:color w:val="auto"/>
              </w:rPr>
            </w:pPr>
            <w:r>
              <w:rPr>
                <w:rFonts w:ascii="Courier New" w:cs="Courier New" w:eastAsia="Courier New" w:hAnsi="Courier New"/>
                <w:sz w:val="16"/>
                <w:szCs w:val="16"/>
                <w:color w:val="auto"/>
              </w:rPr>
              <w:t>Argent Classic Convertible</w:t>
            </w:r>
          </w:p>
        </w:tc>
        <w:tc>
          <w:tcPr>
            <w:tcW w:w="15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86"/>
        </w:trPr>
        <w:tc>
          <w:tcPr>
            <w:tcW w:w="3740" w:type="dxa"/>
            <w:vAlign w:val="bottom"/>
          </w:tcPr>
          <w:p>
            <w:pPr>
              <w:spacing w:after="0"/>
              <w:rPr>
                <w:sz w:val="20"/>
                <w:szCs w:val="20"/>
                <w:color w:val="auto"/>
              </w:rPr>
            </w:pPr>
            <w:r>
              <w:rPr>
                <w:rFonts w:ascii="Courier New" w:cs="Courier New" w:eastAsia="Courier New" w:hAnsi="Courier New"/>
                <w:sz w:val="16"/>
                <w:szCs w:val="16"/>
                <w:color w:val="auto"/>
              </w:rPr>
              <w:t>Arbitrage Fund (Bermuda) Limited(1)</w:t>
            </w:r>
          </w:p>
        </w:tc>
        <w:tc>
          <w:tcPr>
            <w:tcW w:w="15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3,880,000</w:t>
            </w:r>
          </w:p>
        </w:tc>
        <w:tc>
          <w:tcPr>
            <w:tcW w:w="168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3.9%</w:t>
            </w: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364,332</w:t>
            </w:r>
          </w:p>
        </w:tc>
        <w:tc>
          <w:tcPr>
            <w:tcW w:w="1540" w:type="dxa"/>
            <w:vAlign w:val="bottom"/>
          </w:tcPr>
          <w:p>
            <w:pPr>
              <w:ind w:left="540"/>
              <w:spacing w:after="0"/>
              <w:rPr>
                <w:sz w:val="20"/>
                <w:szCs w:val="20"/>
                <w:color w:val="auto"/>
              </w:rPr>
            </w:pPr>
            <w:r>
              <w:rPr>
                <w:rFonts w:ascii="Courier New" w:cs="Courier New" w:eastAsia="Courier New" w:hAnsi="Courier New"/>
                <w:sz w:val="16"/>
                <w:szCs w:val="16"/>
                <w:color w:val="auto"/>
              </w:rPr>
              <w:t>None</w:t>
            </w:r>
          </w:p>
        </w:tc>
        <w:tc>
          <w:tcPr>
            <w:tcW w:w="15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1.0%</w:t>
            </w:r>
          </w:p>
        </w:tc>
      </w:tr>
      <w:tr>
        <w:trPr>
          <w:trHeight w:val="186"/>
        </w:trPr>
        <w:tc>
          <w:tcPr>
            <w:tcW w:w="3740" w:type="dxa"/>
            <w:vAlign w:val="bottom"/>
          </w:tcPr>
          <w:p>
            <w:pPr>
              <w:spacing w:after="0"/>
              <w:rPr>
                <w:sz w:val="20"/>
                <w:szCs w:val="20"/>
                <w:color w:val="auto"/>
              </w:rPr>
            </w:pPr>
            <w:r>
              <w:rPr>
                <w:rFonts w:ascii="Courier New" w:cs="Courier New" w:eastAsia="Courier New" w:hAnsi="Courier New"/>
                <w:sz w:val="16"/>
                <w:szCs w:val="16"/>
                <w:color w:val="auto"/>
              </w:rPr>
              <w:t>Barclays Global Investors</w:t>
            </w:r>
          </w:p>
        </w:tc>
        <w:tc>
          <w:tcPr>
            <w:tcW w:w="15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6"/>
        </w:trPr>
        <w:tc>
          <w:tcPr>
            <w:tcW w:w="3740" w:type="dxa"/>
            <w:vAlign w:val="bottom"/>
          </w:tcPr>
          <w:p>
            <w:pPr>
              <w:spacing w:after="0"/>
              <w:rPr>
                <w:sz w:val="20"/>
                <w:szCs w:val="20"/>
                <w:color w:val="auto"/>
              </w:rPr>
            </w:pPr>
            <w:r>
              <w:rPr>
                <w:rFonts w:ascii="Courier New" w:cs="Courier New" w:eastAsia="Courier New" w:hAnsi="Courier New"/>
                <w:sz w:val="16"/>
                <w:szCs w:val="16"/>
                <w:color w:val="auto"/>
              </w:rPr>
              <w:t>Diversified Alpha Plus Funds(2)</w:t>
            </w:r>
          </w:p>
        </w:tc>
        <w:tc>
          <w:tcPr>
            <w:tcW w:w="15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264,000</w:t>
            </w:r>
          </w:p>
        </w:tc>
        <w:tc>
          <w:tcPr>
            <w:tcW w:w="168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24,790</w:t>
            </w:r>
          </w:p>
        </w:tc>
        <w:tc>
          <w:tcPr>
            <w:tcW w:w="1540" w:type="dxa"/>
            <w:vAlign w:val="bottom"/>
          </w:tcPr>
          <w:p>
            <w:pPr>
              <w:ind w:left="540"/>
              <w:spacing w:after="0"/>
              <w:rPr>
                <w:sz w:val="20"/>
                <w:szCs w:val="20"/>
                <w:color w:val="auto"/>
              </w:rPr>
            </w:pPr>
            <w:r>
              <w:rPr>
                <w:rFonts w:ascii="Courier New" w:cs="Courier New" w:eastAsia="Courier New" w:hAnsi="Courier New"/>
                <w:sz w:val="16"/>
                <w:szCs w:val="16"/>
                <w:color w:val="auto"/>
              </w:rPr>
              <w:t>None</w:t>
            </w:r>
          </w:p>
        </w:tc>
        <w:tc>
          <w:tcPr>
            <w:tcW w:w="1500" w:type="dxa"/>
            <w:vAlign w:val="bottom"/>
          </w:tcPr>
          <w:p>
            <w:pPr>
              <w:jc w:val="right"/>
              <w:ind w:right="579"/>
              <w:spacing w:after="0"/>
              <w:rPr>
                <w:sz w:val="20"/>
                <w:szCs w:val="20"/>
                <w:color w:val="auto"/>
              </w:rPr>
            </w:pPr>
            <w:r>
              <w:rPr>
                <w:rFonts w:ascii="Courier New" w:cs="Courier New" w:eastAsia="Courier New" w:hAnsi="Courier New"/>
                <w:sz w:val="16"/>
                <w:szCs w:val="16"/>
                <w:color w:val="auto"/>
              </w:rPr>
              <w:t>-</w:t>
            </w:r>
          </w:p>
        </w:tc>
      </w:tr>
      <w:tr>
        <w:trPr>
          <w:trHeight w:val="186"/>
        </w:trPr>
        <w:tc>
          <w:tcPr>
            <w:tcW w:w="3740" w:type="dxa"/>
            <w:vAlign w:val="bottom"/>
          </w:tcPr>
          <w:p>
            <w:pPr>
              <w:spacing w:after="0"/>
              <w:rPr>
                <w:sz w:val="20"/>
                <w:szCs w:val="20"/>
                <w:color w:val="auto"/>
              </w:rPr>
            </w:pPr>
            <w:r>
              <w:rPr>
                <w:rFonts w:ascii="Courier New" w:cs="Courier New" w:eastAsia="Courier New" w:hAnsi="Courier New"/>
                <w:sz w:val="16"/>
                <w:szCs w:val="16"/>
                <w:color w:val="auto"/>
              </w:rPr>
              <w:t>Dodeca Fund, L.P.(3)</w:t>
            </w:r>
          </w:p>
        </w:tc>
        <w:tc>
          <w:tcPr>
            <w:tcW w:w="15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580,000</w:t>
            </w:r>
          </w:p>
        </w:tc>
        <w:tc>
          <w:tcPr>
            <w:tcW w:w="168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54,462</w:t>
            </w:r>
          </w:p>
        </w:tc>
        <w:tc>
          <w:tcPr>
            <w:tcW w:w="1540" w:type="dxa"/>
            <w:vAlign w:val="bottom"/>
          </w:tcPr>
          <w:p>
            <w:pPr>
              <w:ind w:left="540"/>
              <w:spacing w:after="0"/>
              <w:rPr>
                <w:sz w:val="20"/>
                <w:szCs w:val="20"/>
                <w:color w:val="auto"/>
              </w:rPr>
            </w:pPr>
            <w:r>
              <w:rPr>
                <w:rFonts w:ascii="Courier New" w:cs="Courier New" w:eastAsia="Courier New" w:hAnsi="Courier New"/>
                <w:sz w:val="16"/>
                <w:szCs w:val="16"/>
                <w:color w:val="auto"/>
              </w:rPr>
              <w:t>None</w:t>
            </w:r>
          </w:p>
        </w:tc>
        <w:tc>
          <w:tcPr>
            <w:tcW w:w="1500" w:type="dxa"/>
            <w:vAlign w:val="bottom"/>
          </w:tcPr>
          <w:p>
            <w:pPr>
              <w:jc w:val="right"/>
              <w:ind w:right="579"/>
              <w:spacing w:after="0"/>
              <w:rPr>
                <w:sz w:val="20"/>
                <w:szCs w:val="20"/>
                <w:color w:val="auto"/>
              </w:rPr>
            </w:pPr>
            <w:r>
              <w:rPr>
                <w:rFonts w:ascii="Courier New" w:cs="Courier New" w:eastAsia="Courier New" w:hAnsi="Courier New"/>
                <w:sz w:val="16"/>
                <w:szCs w:val="16"/>
                <w:color w:val="auto"/>
              </w:rPr>
              <w:t>-</w:t>
            </w:r>
          </w:p>
        </w:tc>
      </w:tr>
      <w:tr>
        <w:trPr>
          <w:trHeight w:val="186"/>
        </w:trPr>
        <w:tc>
          <w:tcPr>
            <w:tcW w:w="3740" w:type="dxa"/>
            <w:vAlign w:val="bottom"/>
          </w:tcPr>
          <w:p>
            <w:pPr>
              <w:spacing w:after="0"/>
              <w:rPr>
                <w:sz w:val="20"/>
                <w:szCs w:val="20"/>
                <w:color w:val="auto"/>
              </w:rPr>
            </w:pPr>
            <w:r>
              <w:rPr>
                <w:rFonts w:ascii="Courier New" w:cs="Courier New" w:eastAsia="Courier New" w:hAnsi="Courier New"/>
                <w:sz w:val="16"/>
                <w:szCs w:val="16"/>
                <w:color w:val="auto"/>
              </w:rPr>
              <w:t>Forest Global Convertible Fund, Ltd.,</w:t>
            </w:r>
          </w:p>
        </w:tc>
        <w:tc>
          <w:tcPr>
            <w:tcW w:w="15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6"/>
        </w:trPr>
        <w:tc>
          <w:tcPr>
            <w:tcW w:w="3740" w:type="dxa"/>
            <w:vAlign w:val="bottom"/>
          </w:tcPr>
          <w:p>
            <w:pPr>
              <w:spacing w:after="0"/>
              <w:rPr>
                <w:sz w:val="20"/>
                <w:szCs w:val="20"/>
                <w:color w:val="auto"/>
              </w:rPr>
            </w:pPr>
            <w:r>
              <w:rPr>
                <w:rFonts w:ascii="Courier New" w:cs="Courier New" w:eastAsia="Courier New" w:hAnsi="Courier New"/>
                <w:sz w:val="16"/>
                <w:szCs w:val="16"/>
                <w:color w:val="auto"/>
              </w:rPr>
              <w:t>Class A-5(4)</w:t>
            </w:r>
          </w:p>
        </w:tc>
        <w:tc>
          <w:tcPr>
            <w:tcW w:w="15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730,000</w:t>
            </w:r>
          </w:p>
        </w:tc>
        <w:tc>
          <w:tcPr>
            <w:tcW w:w="168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68,547</w:t>
            </w:r>
          </w:p>
        </w:tc>
        <w:tc>
          <w:tcPr>
            <w:tcW w:w="1540" w:type="dxa"/>
            <w:vAlign w:val="bottom"/>
          </w:tcPr>
          <w:p>
            <w:pPr>
              <w:ind w:left="540"/>
              <w:spacing w:after="0"/>
              <w:rPr>
                <w:sz w:val="20"/>
                <w:szCs w:val="20"/>
                <w:color w:val="auto"/>
              </w:rPr>
            </w:pPr>
            <w:r>
              <w:rPr>
                <w:rFonts w:ascii="Courier New" w:cs="Courier New" w:eastAsia="Courier New" w:hAnsi="Courier New"/>
                <w:sz w:val="16"/>
                <w:szCs w:val="16"/>
                <w:color w:val="auto"/>
              </w:rPr>
              <w:t>None</w:t>
            </w:r>
          </w:p>
        </w:tc>
        <w:tc>
          <w:tcPr>
            <w:tcW w:w="1500" w:type="dxa"/>
            <w:vAlign w:val="bottom"/>
          </w:tcPr>
          <w:p>
            <w:pPr>
              <w:jc w:val="right"/>
              <w:ind w:right="579"/>
              <w:spacing w:after="0"/>
              <w:rPr>
                <w:sz w:val="20"/>
                <w:szCs w:val="20"/>
                <w:color w:val="auto"/>
              </w:rPr>
            </w:pPr>
            <w:r>
              <w:rPr>
                <w:rFonts w:ascii="Courier New" w:cs="Courier New" w:eastAsia="Courier New" w:hAnsi="Courier New"/>
                <w:sz w:val="16"/>
                <w:szCs w:val="16"/>
                <w:color w:val="auto"/>
              </w:rPr>
              <w:t>-</w:t>
            </w:r>
          </w:p>
        </w:tc>
      </w:tr>
      <w:tr>
        <w:trPr>
          <w:trHeight w:val="186"/>
        </w:trPr>
        <w:tc>
          <w:tcPr>
            <w:tcW w:w="3740" w:type="dxa"/>
            <w:vAlign w:val="bottom"/>
          </w:tcPr>
          <w:p>
            <w:pPr>
              <w:spacing w:after="0"/>
              <w:rPr>
                <w:sz w:val="20"/>
                <w:szCs w:val="20"/>
                <w:color w:val="auto"/>
              </w:rPr>
            </w:pPr>
            <w:r>
              <w:rPr>
                <w:rFonts w:ascii="Courier New" w:cs="Courier New" w:eastAsia="Courier New" w:hAnsi="Courier New"/>
                <w:sz w:val="16"/>
                <w:szCs w:val="16"/>
                <w:color w:val="auto"/>
              </w:rPr>
              <w:t>Forest Multi-Strategy Master Fund</w:t>
            </w:r>
          </w:p>
        </w:tc>
        <w:tc>
          <w:tcPr>
            <w:tcW w:w="15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6"/>
        </w:trPr>
        <w:tc>
          <w:tcPr>
            <w:tcW w:w="3740" w:type="dxa"/>
            <w:vAlign w:val="bottom"/>
          </w:tcPr>
          <w:p>
            <w:pPr>
              <w:spacing w:after="0"/>
              <w:rPr>
                <w:sz w:val="20"/>
                <w:szCs w:val="20"/>
                <w:color w:val="auto"/>
              </w:rPr>
            </w:pPr>
            <w:r>
              <w:rPr>
                <w:rFonts w:ascii="Courier New" w:cs="Courier New" w:eastAsia="Courier New" w:hAnsi="Courier New"/>
                <w:sz w:val="16"/>
                <w:szCs w:val="16"/>
                <w:color w:val="auto"/>
              </w:rPr>
              <w:t>SPC, on behalf of its Multi-Strategy</w:t>
            </w:r>
          </w:p>
        </w:tc>
        <w:tc>
          <w:tcPr>
            <w:tcW w:w="15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6"/>
        </w:trPr>
        <w:tc>
          <w:tcPr>
            <w:tcW w:w="3740" w:type="dxa"/>
            <w:vAlign w:val="bottom"/>
          </w:tcPr>
          <w:p>
            <w:pPr>
              <w:spacing w:after="0"/>
              <w:rPr>
                <w:sz w:val="20"/>
                <w:szCs w:val="20"/>
                <w:color w:val="auto"/>
              </w:rPr>
            </w:pPr>
            <w:r>
              <w:rPr>
                <w:rFonts w:ascii="Courier New" w:cs="Courier New" w:eastAsia="Courier New" w:hAnsi="Courier New"/>
                <w:sz w:val="16"/>
                <w:szCs w:val="16"/>
                <w:color w:val="auto"/>
              </w:rPr>
              <w:t>Segregated Portfolio(5)</w:t>
            </w:r>
          </w:p>
        </w:tc>
        <w:tc>
          <w:tcPr>
            <w:tcW w:w="15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779,000</w:t>
            </w:r>
          </w:p>
        </w:tc>
        <w:tc>
          <w:tcPr>
            <w:tcW w:w="168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73,148</w:t>
            </w:r>
          </w:p>
        </w:tc>
        <w:tc>
          <w:tcPr>
            <w:tcW w:w="1540" w:type="dxa"/>
            <w:vAlign w:val="bottom"/>
          </w:tcPr>
          <w:p>
            <w:pPr>
              <w:ind w:left="540"/>
              <w:spacing w:after="0"/>
              <w:rPr>
                <w:sz w:val="20"/>
                <w:szCs w:val="20"/>
                <w:color w:val="auto"/>
              </w:rPr>
            </w:pPr>
            <w:r>
              <w:rPr>
                <w:rFonts w:ascii="Courier New" w:cs="Courier New" w:eastAsia="Courier New" w:hAnsi="Courier New"/>
                <w:sz w:val="16"/>
                <w:szCs w:val="16"/>
                <w:color w:val="auto"/>
              </w:rPr>
              <w:t>None</w:t>
            </w:r>
          </w:p>
        </w:tc>
        <w:tc>
          <w:tcPr>
            <w:tcW w:w="1500" w:type="dxa"/>
            <w:vAlign w:val="bottom"/>
          </w:tcPr>
          <w:p>
            <w:pPr>
              <w:jc w:val="right"/>
              <w:ind w:right="579"/>
              <w:spacing w:after="0"/>
              <w:rPr>
                <w:sz w:val="20"/>
                <w:szCs w:val="20"/>
                <w:color w:val="auto"/>
              </w:rPr>
            </w:pPr>
            <w:r>
              <w:rPr>
                <w:rFonts w:ascii="Courier New" w:cs="Courier New" w:eastAsia="Courier New" w:hAnsi="Courier New"/>
                <w:sz w:val="16"/>
                <w:szCs w:val="16"/>
                <w:color w:val="auto"/>
              </w:rPr>
              <w:t>-</w:t>
            </w:r>
          </w:p>
        </w:tc>
      </w:tr>
      <w:tr>
        <w:trPr>
          <w:trHeight w:val="559"/>
        </w:trPr>
        <w:tc>
          <w:tcPr>
            <w:tcW w:w="37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5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spacing w:after="0" w:line="4" w:lineRule="exact"/>
        <w:rPr>
          <w:sz w:val="20"/>
          <w:szCs w:val="20"/>
          <w:color w:val="auto"/>
        </w:rPr>
      </w:pPr>
    </w:p>
    <w:p>
      <w:pPr>
        <w:ind w:left="1" w:right="3760" w:hanging="1"/>
        <w:spacing w:after="0" w:line="247" w:lineRule="auto"/>
        <w:tabs>
          <w:tab w:leader="none" w:pos="388"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Henry Cox and Allan Marshall are the controlling shareholders of Argent Classic Convertible Arbitrage Fund (Bermuda) Limited. Argent International Management Company, LLC is the investment advisor to Argent Classic Convertible Arbitrage Fund (Bermuda) Limited with respect to the securities listed on the table. Nathanial Braun and Robert Richardson exercise voting and investment power over such securities on behalf of Argent International Management Company, LLC.</w:t>
      </w:r>
    </w:p>
    <w:p>
      <w:pPr>
        <w:spacing w:after="0" w:line="185" w:lineRule="exact"/>
        <w:rPr>
          <w:rFonts w:ascii="Courier New" w:cs="Courier New" w:eastAsia="Courier New" w:hAnsi="Courier New"/>
          <w:sz w:val="16"/>
          <w:szCs w:val="16"/>
          <w:color w:val="auto"/>
        </w:rPr>
      </w:pPr>
    </w:p>
    <w:p>
      <w:pPr>
        <w:ind w:left="1" w:right="3760" w:hanging="1"/>
        <w:spacing w:after="0" w:line="247" w:lineRule="auto"/>
        <w:tabs>
          <w:tab w:leader="none" w:pos="388"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Forest Investment Management is the investment advisor to Barclays Global Investors Diversified Alpha Plus Funds with respect to the securities listed on the table. Forest Investment Management is wholly owned by Forest Partners II, the sole General Partner of which is Michael A. Boyd Inc. Michael A. Boyd is the sole owner of Michael A. Boyd Inc.</w:t>
      </w:r>
    </w:p>
    <w:p>
      <w:pPr>
        <w:spacing w:after="0" w:line="185" w:lineRule="exact"/>
        <w:rPr>
          <w:rFonts w:ascii="Courier New" w:cs="Courier New" w:eastAsia="Courier New" w:hAnsi="Courier New"/>
          <w:sz w:val="16"/>
          <w:szCs w:val="16"/>
          <w:color w:val="auto"/>
        </w:rPr>
      </w:pPr>
    </w:p>
    <w:p>
      <w:pPr>
        <w:ind w:left="1" w:right="3860" w:hanging="1"/>
        <w:spacing w:after="0" w:line="247" w:lineRule="auto"/>
        <w:tabs>
          <w:tab w:leader="none" w:pos="388"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Convert Co., LLC is the General Partner of Dodeca Fund, L.P. Thomas Y. Roy, President and Chief Financial Officer of Inflective Asset Management LLC, exercises voting and dispositive power over the securities on behalf of Convert Co., LLC.</w:t>
      </w:r>
    </w:p>
    <w:p>
      <w:pPr>
        <w:spacing w:after="0" w:line="185" w:lineRule="exact"/>
        <w:rPr>
          <w:rFonts w:ascii="Courier New" w:cs="Courier New" w:eastAsia="Courier New" w:hAnsi="Courier New"/>
          <w:sz w:val="16"/>
          <w:szCs w:val="16"/>
          <w:color w:val="auto"/>
        </w:rPr>
      </w:pPr>
    </w:p>
    <w:p>
      <w:pPr>
        <w:ind w:left="1" w:right="3960" w:hanging="1"/>
        <w:spacing w:after="0" w:line="247" w:lineRule="auto"/>
        <w:tabs>
          <w:tab w:leader="none" w:pos="388"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Forest Investment Management is the investment advisor to Forest Global Convertible Fund, Ltd., Class A-5 with respect to the securities listed on the table. Forest Investment Management is wholly owned by Forest Partners II, the sole General Partner of which is Michael A. Boyd Inc. Michael A. Boyd is the sole owner of Michael A. Boyd Inc.</w:t>
      </w:r>
    </w:p>
    <w:p>
      <w:pPr>
        <w:spacing w:after="0" w:line="185" w:lineRule="exact"/>
        <w:rPr>
          <w:rFonts w:ascii="Courier New" w:cs="Courier New" w:eastAsia="Courier New" w:hAnsi="Courier New"/>
          <w:sz w:val="16"/>
          <w:szCs w:val="16"/>
          <w:color w:val="auto"/>
        </w:rPr>
      </w:pPr>
    </w:p>
    <w:p>
      <w:pPr>
        <w:ind w:left="381" w:hanging="381"/>
        <w:spacing w:after="0"/>
        <w:tabs>
          <w:tab w:leader="none" w:pos="38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Forest Investment Management is the investment advisor to Forest</w:t>
      </w:r>
    </w:p>
    <w:p>
      <w:pPr>
        <w:spacing w:after="0" w:line="5" w:lineRule="exact"/>
        <w:rPr>
          <w:sz w:val="20"/>
          <w:szCs w:val="20"/>
          <w:color w:val="auto"/>
        </w:rPr>
      </w:pPr>
    </w:p>
    <w:p>
      <w:pPr>
        <w:ind w:left="1" w:right="3860"/>
        <w:spacing w:after="0" w:line="247" w:lineRule="auto"/>
        <w:rPr>
          <w:sz w:val="20"/>
          <w:szCs w:val="20"/>
          <w:color w:val="auto"/>
        </w:rPr>
      </w:pPr>
      <w:r>
        <w:rPr>
          <w:rFonts w:ascii="Courier New" w:cs="Courier New" w:eastAsia="Courier New" w:hAnsi="Courier New"/>
          <w:sz w:val="16"/>
          <w:szCs w:val="16"/>
          <w:color w:val="auto"/>
        </w:rPr>
        <w:t>Multi-Strategy Master Fund SPC, on behalf of its Multi-Strategy Segregated Portfolio with respect to the securities listed on the table. Forest Investment Management is wholly owned by Forest Partners II, the sole General Partner of which is Michael A. Boyd Inc. Michael A. Boyd is the sole owner of Michael A. Boyd Inc.</w:t>
      </w:r>
    </w:p>
    <w:p>
      <w:pPr>
        <w:spacing w:after="0" w:line="372"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1521"/>
          </w:cols>
          <w:pgMar w:left="239" w:top="1235" w:right="139" w:bottom="1440" w:gutter="0" w:footer="0" w:header="0"/>
        </w:sectPr>
      </w:pPr>
    </w:p>
    <w:bookmarkStart w:id="2" w:name="page3"/>
    <w:bookmarkEnd w:id="2"/>
    <w:tbl>
      <w:tblPr>
        <w:tblLayout w:type="fixed"/>
        <w:tblInd w:w="1" w:type="dxa"/>
        <w:tblCellMar>
          <w:top w:w="0" w:type="dxa"/>
          <w:left w:w="0" w:type="dxa"/>
          <w:bottom w:w="0" w:type="dxa"/>
          <w:right w:w="0" w:type="dxa"/>
        </w:tblCellMar>
      </w:tblPr>
      <w:tr>
        <w:trPr>
          <w:trHeight w:val="183"/>
        </w:trPr>
        <w:tc>
          <w:tcPr>
            <w:tcW w:w="37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540" w:type="dxa"/>
            <w:vAlign w:val="bottom"/>
          </w:tcPr>
          <w:p>
            <w:pPr>
              <w:ind w:left="40"/>
              <w:spacing w:after="0"/>
              <w:rPr>
                <w:sz w:val="20"/>
                <w:szCs w:val="20"/>
                <w:color w:val="auto"/>
              </w:rPr>
            </w:pPr>
            <w:r>
              <w:rPr>
                <w:rFonts w:ascii="Courier New" w:cs="Courier New" w:eastAsia="Courier New" w:hAnsi="Courier New"/>
                <w:sz w:val="16"/>
                <w:szCs w:val="16"/>
                <w:color w:val="auto"/>
              </w:rPr>
              <w:t>Other Shares</w:t>
            </w:r>
          </w:p>
        </w:tc>
        <w:tc>
          <w:tcPr>
            <w:tcW w:w="1500" w:type="dxa"/>
            <w:vAlign w:val="bottom"/>
          </w:tcPr>
          <w:p>
            <w:pPr>
              <w:spacing w:after="0"/>
              <w:rPr>
                <w:sz w:val="15"/>
                <w:szCs w:val="15"/>
                <w:color w:val="auto"/>
              </w:rPr>
            </w:pPr>
          </w:p>
        </w:tc>
      </w:tr>
      <w:tr>
        <w:trPr>
          <w:trHeight w:val="186"/>
        </w:trPr>
        <w:tc>
          <w:tcPr>
            <w:tcW w:w="37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540" w:type="dxa"/>
            <w:vAlign w:val="bottom"/>
          </w:tcPr>
          <w:p>
            <w:pPr>
              <w:ind w:left="40"/>
              <w:spacing w:after="0"/>
              <w:rPr>
                <w:sz w:val="20"/>
                <w:szCs w:val="20"/>
                <w:color w:val="auto"/>
              </w:rPr>
            </w:pPr>
            <w:r>
              <w:rPr>
                <w:rFonts w:ascii="Courier New" w:cs="Courier New" w:eastAsia="Courier New" w:hAnsi="Courier New"/>
                <w:sz w:val="16"/>
                <w:szCs w:val="16"/>
                <w:color w:val="auto"/>
              </w:rPr>
              <w:t>of Common</w:t>
            </w:r>
          </w:p>
        </w:tc>
        <w:tc>
          <w:tcPr>
            <w:tcW w:w="1500" w:type="dxa"/>
            <w:vAlign w:val="bottom"/>
          </w:tcPr>
          <w:p>
            <w:pPr>
              <w:spacing w:after="0"/>
              <w:rPr>
                <w:sz w:val="16"/>
                <w:szCs w:val="16"/>
                <w:color w:val="auto"/>
              </w:rPr>
            </w:pPr>
          </w:p>
        </w:tc>
      </w:tr>
      <w:tr>
        <w:trPr>
          <w:trHeight w:val="186"/>
        </w:trPr>
        <w:tc>
          <w:tcPr>
            <w:tcW w:w="37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540" w:type="dxa"/>
            <w:vAlign w:val="bottom"/>
          </w:tcPr>
          <w:p>
            <w:pPr>
              <w:ind w:left="40"/>
              <w:spacing w:after="0"/>
              <w:rPr>
                <w:sz w:val="20"/>
                <w:szCs w:val="20"/>
                <w:color w:val="auto"/>
              </w:rPr>
            </w:pPr>
            <w:r>
              <w:rPr>
                <w:rFonts w:ascii="Courier New" w:cs="Courier New" w:eastAsia="Courier New" w:hAnsi="Courier New"/>
                <w:sz w:val="16"/>
                <w:szCs w:val="16"/>
                <w:color w:val="auto"/>
              </w:rPr>
              <w:t>Stock</w:t>
            </w:r>
          </w:p>
        </w:tc>
        <w:tc>
          <w:tcPr>
            <w:tcW w:w="1500" w:type="dxa"/>
            <w:vAlign w:val="bottom"/>
          </w:tcPr>
          <w:p>
            <w:pPr>
              <w:spacing w:after="0"/>
              <w:rPr>
                <w:sz w:val="16"/>
                <w:szCs w:val="16"/>
                <w:color w:val="auto"/>
              </w:rPr>
            </w:pPr>
          </w:p>
        </w:tc>
      </w:tr>
      <w:tr>
        <w:trPr>
          <w:trHeight w:val="186"/>
        </w:trPr>
        <w:tc>
          <w:tcPr>
            <w:tcW w:w="37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540" w:type="dxa"/>
            <w:vAlign w:val="bottom"/>
          </w:tcPr>
          <w:p>
            <w:pPr>
              <w:ind w:left="40"/>
              <w:spacing w:after="0"/>
              <w:rPr>
                <w:sz w:val="20"/>
                <w:szCs w:val="20"/>
                <w:color w:val="auto"/>
              </w:rPr>
            </w:pPr>
            <w:r>
              <w:rPr>
                <w:rFonts w:ascii="Courier New" w:cs="Courier New" w:eastAsia="Courier New" w:hAnsi="Courier New"/>
                <w:sz w:val="16"/>
                <w:szCs w:val="16"/>
                <w:color w:val="auto"/>
              </w:rPr>
              <w:t>Beneficially</w:t>
            </w:r>
          </w:p>
        </w:tc>
        <w:tc>
          <w:tcPr>
            <w:tcW w:w="1500" w:type="dxa"/>
            <w:vAlign w:val="bottom"/>
          </w:tcPr>
          <w:p>
            <w:pPr>
              <w:spacing w:after="0"/>
              <w:rPr>
                <w:sz w:val="16"/>
                <w:szCs w:val="16"/>
                <w:color w:val="auto"/>
              </w:rPr>
            </w:pPr>
          </w:p>
        </w:tc>
      </w:tr>
      <w:tr>
        <w:trPr>
          <w:trHeight w:val="186"/>
        </w:trPr>
        <w:tc>
          <w:tcPr>
            <w:tcW w:w="3740" w:type="dxa"/>
            <w:vAlign w:val="bottom"/>
          </w:tcPr>
          <w:p>
            <w:pPr>
              <w:spacing w:after="0"/>
              <w:rPr>
                <w:sz w:val="16"/>
                <w:szCs w:val="16"/>
                <w:color w:val="auto"/>
              </w:rPr>
            </w:pPr>
          </w:p>
        </w:tc>
        <w:tc>
          <w:tcPr>
            <w:tcW w:w="1500" w:type="dxa"/>
            <w:vAlign w:val="bottom"/>
          </w:tcPr>
          <w:p>
            <w:pPr>
              <w:ind w:left="140"/>
              <w:spacing w:after="0"/>
              <w:rPr>
                <w:sz w:val="20"/>
                <w:szCs w:val="20"/>
                <w:color w:val="auto"/>
              </w:rPr>
            </w:pPr>
            <w:r>
              <w:rPr>
                <w:rFonts w:ascii="Courier New" w:cs="Courier New" w:eastAsia="Courier New" w:hAnsi="Courier New"/>
                <w:sz w:val="16"/>
                <w:szCs w:val="16"/>
                <w:color w:val="auto"/>
              </w:rPr>
              <w:t>Aggregate</w:t>
            </w:r>
          </w:p>
        </w:tc>
        <w:tc>
          <w:tcPr>
            <w:tcW w:w="1680" w:type="dxa"/>
            <w:vAlign w:val="bottom"/>
          </w:tcPr>
          <w:p>
            <w:pPr>
              <w:spacing w:after="0"/>
              <w:rPr>
                <w:sz w:val="16"/>
                <w:szCs w:val="16"/>
                <w:color w:val="auto"/>
              </w:rPr>
            </w:pPr>
          </w:p>
        </w:tc>
        <w:tc>
          <w:tcPr>
            <w:tcW w:w="1560" w:type="dxa"/>
            <w:vAlign w:val="bottom"/>
          </w:tcPr>
          <w:p>
            <w:pPr>
              <w:ind w:left="160"/>
              <w:spacing w:after="0"/>
              <w:rPr>
                <w:sz w:val="20"/>
                <w:szCs w:val="20"/>
                <w:color w:val="auto"/>
              </w:rPr>
            </w:pPr>
            <w:r>
              <w:rPr>
                <w:rFonts w:ascii="Courier New" w:cs="Courier New" w:eastAsia="Courier New" w:hAnsi="Courier New"/>
                <w:sz w:val="16"/>
                <w:szCs w:val="16"/>
                <w:color w:val="auto"/>
              </w:rPr>
              <w:t>Shares of</w:t>
            </w:r>
          </w:p>
        </w:tc>
        <w:tc>
          <w:tcPr>
            <w:tcW w:w="1540" w:type="dxa"/>
            <w:vAlign w:val="bottom"/>
          </w:tcPr>
          <w:p>
            <w:pPr>
              <w:ind w:left="40"/>
              <w:spacing w:after="0"/>
              <w:rPr>
                <w:sz w:val="20"/>
                <w:szCs w:val="20"/>
                <w:color w:val="auto"/>
              </w:rPr>
            </w:pPr>
            <w:r>
              <w:rPr>
                <w:rFonts w:ascii="Courier New" w:cs="Courier New" w:eastAsia="Courier New" w:hAnsi="Courier New"/>
                <w:sz w:val="16"/>
                <w:szCs w:val="16"/>
                <w:color w:val="auto"/>
              </w:rPr>
              <w:t>Owned Before</w:t>
            </w:r>
          </w:p>
        </w:tc>
        <w:tc>
          <w:tcPr>
            <w:tcW w:w="1500" w:type="dxa"/>
            <w:vAlign w:val="bottom"/>
          </w:tcPr>
          <w:p>
            <w:pPr>
              <w:spacing w:after="0"/>
              <w:rPr>
                <w:sz w:val="16"/>
                <w:szCs w:val="16"/>
                <w:color w:val="auto"/>
              </w:rPr>
            </w:pPr>
          </w:p>
        </w:tc>
      </w:tr>
      <w:tr>
        <w:trPr>
          <w:trHeight w:val="186"/>
        </w:trPr>
        <w:tc>
          <w:tcPr>
            <w:tcW w:w="3740" w:type="dxa"/>
            <w:vAlign w:val="bottom"/>
          </w:tcPr>
          <w:p>
            <w:pPr>
              <w:spacing w:after="0"/>
              <w:rPr>
                <w:sz w:val="16"/>
                <w:szCs w:val="16"/>
                <w:color w:val="auto"/>
              </w:rPr>
            </w:pPr>
          </w:p>
        </w:tc>
        <w:tc>
          <w:tcPr>
            <w:tcW w:w="1500" w:type="dxa"/>
            <w:vAlign w:val="bottom"/>
          </w:tcPr>
          <w:p>
            <w:pPr>
              <w:ind w:left="140"/>
              <w:spacing w:after="0"/>
              <w:rPr>
                <w:sz w:val="20"/>
                <w:szCs w:val="20"/>
                <w:color w:val="auto"/>
              </w:rPr>
            </w:pPr>
            <w:r>
              <w:rPr>
                <w:rFonts w:ascii="Courier New" w:cs="Courier New" w:eastAsia="Courier New" w:hAnsi="Courier New"/>
                <w:sz w:val="16"/>
                <w:szCs w:val="16"/>
                <w:color w:val="auto"/>
              </w:rPr>
              <w:t>Principal</w:t>
            </w:r>
          </w:p>
        </w:tc>
        <w:tc>
          <w:tcPr>
            <w:tcW w:w="1680" w:type="dxa"/>
            <w:vAlign w:val="bottom"/>
          </w:tcPr>
          <w:p>
            <w:pPr>
              <w:spacing w:after="0"/>
              <w:rPr>
                <w:sz w:val="16"/>
                <w:szCs w:val="16"/>
                <w:color w:val="auto"/>
              </w:rPr>
            </w:pPr>
          </w:p>
        </w:tc>
        <w:tc>
          <w:tcPr>
            <w:tcW w:w="1560" w:type="dxa"/>
            <w:vAlign w:val="bottom"/>
          </w:tcPr>
          <w:p>
            <w:pPr>
              <w:ind w:left="160"/>
              <w:spacing w:after="0"/>
              <w:rPr>
                <w:sz w:val="20"/>
                <w:szCs w:val="20"/>
                <w:color w:val="auto"/>
              </w:rPr>
            </w:pPr>
            <w:r>
              <w:rPr>
                <w:rFonts w:ascii="Courier New" w:cs="Courier New" w:eastAsia="Courier New" w:hAnsi="Courier New"/>
                <w:sz w:val="16"/>
                <w:szCs w:val="16"/>
                <w:color w:val="auto"/>
              </w:rPr>
              <w:t>Common Stock</w:t>
            </w:r>
          </w:p>
        </w:tc>
        <w:tc>
          <w:tcPr>
            <w:tcW w:w="1540" w:type="dxa"/>
            <w:vAlign w:val="bottom"/>
          </w:tcPr>
          <w:p>
            <w:pPr>
              <w:ind w:left="40"/>
              <w:spacing w:after="0"/>
              <w:rPr>
                <w:sz w:val="20"/>
                <w:szCs w:val="20"/>
                <w:color w:val="auto"/>
              </w:rPr>
            </w:pPr>
            <w:r>
              <w:rPr>
                <w:rFonts w:ascii="Courier New" w:cs="Courier New" w:eastAsia="Courier New" w:hAnsi="Courier New"/>
                <w:sz w:val="16"/>
                <w:szCs w:val="16"/>
                <w:color w:val="auto"/>
              </w:rPr>
              <w:t>the Offering</w:t>
            </w:r>
          </w:p>
        </w:tc>
        <w:tc>
          <w:tcPr>
            <w:tcW w:w="1500" w:type="dxa"/>
            <w:vAlign w:val="bottom"/>
          </w:tcPr>
          <w:p>
            <w:pPr>
              <w:spacing w:after="0"/>
              <w:rPr>
                <w:sz w:val="16"/>
                <w:szCs w:val="16"/>
                <w:color w:val="auto"/>
              </w:rPr>
            </w:pPr>
          </w:p>
        </w:tc>
      </w:tr>
      <w:tr>
        <w:trPr>
          <w:trHeight w:val="186"/>
        </w:trPr>
        <w:tc>
          <w:tcPr>
            <w:tcW w:w="3740" w:type="dxa"/>
            <w:vAlign w:val="bottom"/>
          </w:tcPr>
          <w:p>
            <w:pPr>
              <w:spacing w:after="0"/>
              <w:rPr>
                <w:sz w:val="16"/>
                <w:szCs w:val="16"/>
                <w:color w:val="auto"/>
              </w:rPr>
            </w:pPr>
          </w:p>
        </w:tc>
        <w:tc>
          <w:tcPr>
            <w:tcW w:w="1500" w:type="dxa"/>
            <w:vAlign w:val="bottom"/>
          </w:tcPr>
          <w:p>
            <w:pPr>
              <w:ind w:left="140"/>
              <w:spacing w:after="0"/>
              <w:rPr>
                <w:sz w:val="20"/>
                <w:szCs w:val="20"/>
                <w:color w:val="auto"/>
              </w:rPr>
            </w:pPr>
            <w:r>
              <w:rPr>
                <w:rFonts w:ascii="Courier New" w:cs="Courier New" w:eastAsia="Courier New" w:hAnsi="Courier New"/>
                <w:sz w:val="16"/>
                <w:szCs w:val="16"/>
                <w:color w:val="auto"/>
              </w:rPr>
              <w:t>Amount of</w:t>
            </w:r>
          </w:p>
        </w:tc>
        <w:tc>
          <w:tcPr>
            <w:tcW w:w="1680" w:type="dxa"/>
            <w:vAlign w:val="bottom"/>
          </w:tcPr>
          <w:p>
            <w:pPr>
              <w:spacing w:after="0"/>
              <w:rPr>
                <w:sz w:val="16"/>
                <w:szCs w:val="16"/>
                <w:color w:val="auto"/>
              </w:rPr>
            </w:pPr>
          </w:p>
        </w:tc>
        <w:tc>
          <w:tcPr>
            <w:tcW w:w="1560" w:type="dxa"/>
            <w:vAlign w:val="bottom"/>
          </w:tcPr>
          <w:p>
            <w:pPr>
              <w:ind w:left="160"/>
              <w:spacing w:after="0"/>
              <w:rPr>
                <w:sz w:val="20"/>
                <w:szCs w:val="20"/>
                <w:color w:val="auto"/>
              </w:rPr>
            </w:pPr>
            <w:r>
              <w:rPr>
                <w:rFonts w:ascii="Courier New" w:cs="Courier New" w:eastAsia="Courier New" w:hAnsi="Courier New"/>
                <w:sz w:val="16"/>
                <w:szCs w:val="16"/>
                <w:color w:val="auto"/>
              </w:rPr>
              <w:t>Issuable</w:t>
            </w:r>
          </w:p>
        </w:tc>
        <w:tc>
          <w:tcPr>
            <w:tcW w:w="1540" w:type="dxa"/>
            <w:vAlign w:val="bottom"/>
          </w:tcPr>
          <w:p>
            <w:pPr>
              <w:ind w:left="40"/>
              <w:spacing w:after="0"/>
              <w:rPr>
                <w:sz w:val="20"/>
                <w:szCs w:val="20"/>
                <w:color w:val="auto"/>
              </w:rPr>
            </w:pPr>
            <w:r>
              <w:rPr>
                <w:rFonts w:ascii="Courier New" w:cs="Courier New" w:eastAsia="Courier New" w:hAnsi="Courier New"/>
                <w:sz w:val="16"/>
                <w:szCs w:val="16"/>
                <w:color w:val="auto"/>
              </w:rPr>
              <w:t>and Assumed</w:t>
            </w:r>
          </w:p>
        </w:tc>
        <w:tc>
          <w:tcPr>
            <w:tcW w:w="15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Percentage of</w:t>
            </w:r>
          </w:p>
        </w:tc>
      </w:tr>
      <w:tr>
        <w:trPr>
          <w:trHeight w:val="186"/>
        </w:trPr>
        <w:tc>
          <w:tcPr>
            <w:tcW w:w="3740" w:type="dxa"/>
            <w:vAlign w:val="bottom"/>
          </w:tcPr>
          <w:p>
            <w:pPr>
              <w:spacing w:after="0"/>
              <w:rPr>
                <w:sz w:val="16"/>
                <w:szCs w:val="16"/>
                <w:color w:val="auto"/>
              </w:rPr>
            </w:pPr>
          </w:p>
        </w:tc>
        <w:tc>
          <w:tcPr>
            <w:tcW w:w="1500" w:type="dxa"/>
            <w:vAlign w:val="bottom"/>
          </w:tcPr>
          <w:p>
            <w:pPr>
              <w:ind w:left="140"/>
              <w:spacing w:after="0"/>
              <w:rPr>
                <w:sz w:val="20"/>
                <w:szCs w:val="20"/>
                <w:color w:val="auto"/>
              </w:rPr>
            </w:pPr>
            <w:r>
              <w:rPr>
                <w:rFonts w:ascii="Courier New" w:cs="Courier New" w:eastAsia="Courier New" w:hAnsi="Courier New"/>
                <w:sz w:val="16"/>
                <w:szCs w:val="16"/>
                <w:color w:val="auto"/>
              </w:rPr>
              <w:t>Notes</w:t>
            </w:r>
          </w:p>
        </w:tc>
        <w:tc>
          <w:tcPr>
            <w:tcW w:w="1680" w:type="dxa"/>
            <w:vAlign w:val="bottom"/>
          </w:tcPr>
          <w:p>
            <w:pPr>
              <w:ind w:left="80"/>
              <w:spacing w:after="0"/>
              <w:rPr>
                <w:sz w:val="20"/>
                <w:szCs w:val="20"/>
                <w:color w:val="auto"/>
              </w:rPr>
            </w:pPr>
            <w:r>
              <w:rPr>
                <w:rFonts w:ascii="Courier New" w:cs="Courier New" w:eastAsia="Courier New" w:hAnsi="Courier New"/>
                <w:sz w:val="16"/>
                <w:szCs w:val="16"/>
                <w:color w:val="auto"/>
              </w:rPr>
              <w:t>Percentage of</w:t>
            </w:r>
          </w:p>
        </w:tc>
        <w:tc>
          <w:tcPr>
            <w:tcW w:w="1560" w:type="dxa"/>
            <w:vAlign w:val="bottom"/>
          </w:tcPr>
          <w:p>
            <w:pPr>
              <w:ind w:left="160"/>
              <w:spacing w:after="0"/>
              <w:rPr>
                <w:sz w:val="20"/>
                <w:szCs w:val="20"/>
                <w:color w:val="auto"/>
              </w:rPr>
            </w:pPr>
            <w:r>
              <w:rPr>
                <w:rFonts w:ascii="Courier New" w:cs="Courier New" w:eastAsia="Courier New" w:hAnsi="Courier New"/>
                <w:sz w:val="16"/>
                <w:szCs w:val="16"/>
                <w:color w:val="auto"/>
              </w:rPr>
              <w:t>Upon</w:t>
            </w:r>
          </w:p>
        </w:tc>
        <w:tc>
          <w:tcPr>
            <w:tcW w:w="1540" w:type="dxa"/>
            <w:vAlign w:val="bottom"/>
          </w:tcPr>
          <w:p>
            <w:pPr>
              <w:ind w:left="40"/>
              <w:spacing w:after="0"/>
              <w:rPr>
                <w:sz w:val="20"/>
                <w:szCs w:val="20"/>
                <w:color w:val="auto"/>
              </w:rPr>
            </w:pPr>
            <w:r>
              <w:rPr>
                <w:rFonts w:ascii="Courier New" w:cs="Courier New" w:eastAsia="Courier New" w:hAnsi="Courier New"/>
                <w:sz w:val="16"/>
                <w:szCs w:val="16"/>
                <w:color w:val="auto"/>
              </w:rPr>
              <w:t>to be Owned</w:t>
            </w:r>
          </w:p>
        </w:tc>
        <w:tc>
          <w:tcPr>
            <w:tcW w:w="15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Common Stock</w:t>
            </w:r>
          </w:p>
        </w:tc>
      </w:tr>
      <w:tr>
        <w:trPr>
          <w:trHeight w:val="186"/>
        </w:trPr>
        <w:tc>
          <w:tcPr>
            <w:tcW w:w="3740" w:type="dxa"/>
            <w:vAlign w:val="bottom"/>
          </w:tcPr>
          <w:p>
            <w:pPr>
              <w:spacing w:after="0"/>
              <w:rPr>
                <w:sz w:val="16"/>
                <w:szCs w:val="16"/>
                <w:color w:val="auto"/>
              </w:rPr>
            </w:pPr>
          </w:p>
        </w:tc>
        <w:tc>
          <w:tcPr>
            <w:tcW w:w="1500" w:type="dxa"/>
            <w:vAlign w:val="bottom"/>
          </w:tcPr>
          <w:p>
            <w:pPr>
              <w:ind w:left="140"/>
              <w:spacing w:after="0"/>
              <w:rPr>
                <w:sz w:val="20"/>
                <w:szCs w:val="20"/>
                <w:color w:val="auto"/>
              </w:rPr>
            </w:pPr>
            <w:r>
              <w:rPr>
                <w:rFonts w:ascii="Courier New" w:cs="Courier New" w:eastAsia="Courier New" w:hAnsi="Courier New"/>
                <w:sz w:val="16"/>
                <w:szCs w:val="16"/>
                <w:color w:val="auto"/>
              </w:rPr>
              <w:t>Beneficially</w:t>
            </w:r>
          </w:p>
        </w:tc>
        <w:tc>
          <w:tcPr>
            <w:tcW w:w="1680" w:type="dxa"/>
            <w:vAlign w:val="bottom"/>
          </w:tcPr>
          <w:p>
            <w:pPr>
              <w:ind w:left="80"/>
              <w:spacing w:after="0"/>
              <w:rPr>
                <w:sz w:val="20"/>
                <w:szCs w:val="20"/>
                <w:color w:val="auto"/>
              </w:rPr>
            </w:pPr>
            <w:r>
              <w:rPr>
                <w:rFonts w:ascii="Courier New" w:cs="Courier New" w:eastAsia="Courier New" w:hAnsi="Courier New"/>
                <w:sz w:val="16"/>
                <w:szCs w:val="16"/>
                <w:color w:val="auto"/>
              </w:rPr>
              <w:t>Notes</w:t>
            </w:r>
          </w:p>
        </w:tc>
        <w:tc>
          <w:tcPr>
            <w:tcW w:w="1560" w:type="dxa"/>
            <w:vAlign w:val="bottom"/>
          </w:tcPr>
          <w:p>
            <w:pPr>
              <w:ind w:left="160"/>
              <w:spacing w:after="0"/>
              <w:rPr>
                <w:sz w:val="20"/>
                <w:szCs w:val="20"/>
                <w:color w:val="auto"/>
              </w:rPr>
            </w:pPr>
            <w:r>
              <w:rPr>
                <w:rFonts w:ascii="Courier New" w:cs="Courier New" w:eastAsia="Courier New" w:hAnsi="Courier New"/>
                <w:sz w:val="16"/>
                <w:szCs w:val="16"/>
                <w:color w:val="auto"/>
              </w:rPr>
              <w:t>Conversion</w:t>
            </w:r>
          </w:p>
        </w:tc>
        <w:tc>
          <w:tcPr>
            <w:tcW w:w="1540" w:type="dxa"/>
            <w:vAlign w:val="bottom"/>
          </w:tcPr>
          <w:p>
            <w:pPr>
              <w:ind w:left="40"/>
              <w:spacing w:after="0"/>
              <w:rPr>
                <w:sz w:val="20"/>
                <w:szCs w:val="20"/>
                <w:color w:val="auto"/>
              </w:rPr>
            </w:pPr>
            <w:r>
              <w:rPr>
                <w:rFonts w:ascii="Courier New" w:cs="Courier New" w:eastAsia="Courier New" w:hAnsi="Courier New"/>
                <w:sz w:val="16"/>
                <w:szCs w:val="16"/>
                <w:color w:val="auto"/>
              </w:rPr>
              <w:t>Following the</w:t>
            </w:r>
          </w:p>
        </w:tc>
        <w:tc>
          <w:tcPr>
            <w:tcW w:w="15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Outstanding</w:t>
            </w:r>
          </w:p>
        </w:tc>
      </w:tr>
      <w:tr>
        <w:trPr>
          <w:trHeight w:val="186"/>
        </w:trPr>
        <w:tc>
          <w:tcPr>
            <w:tcW w:w="3740" w:type="dxa"/>
            <w:vAlign w:val="bottom"/>
          </w:tcPr>
          <w:p>
            <w:pPr>
              <w:spacing w:after="0"/>
              <w:rPr>
                <w:sz w:val="16"/>
                <w:szCs w:val="16"/>
                <w:color w:val="auto"/>
              </w:rPr>
            </w:pPr>
          </w:p>
        </w:tc>
        <w:tc>
          <w:tcPr>
            <w:tcW w:w="1500" w:type="dxa"/>
            <w:vAlign w:val="bottom"/>
          </w:tcPr>
          <w:p>
            <w:pPr>
              <w:ind w:left="140"/>
              <w:spacing w:after="0"/>
              <w:rPr>
                <w:sz w:val="20"/>
                <w:szCs w:val="20"/>
                <w:color w:val="auto"/>
              </w:rPr>
            </w:pPr>
            <w:r>
              <w:rPr>
                <w:rFonts w:ascii="Courier New" w:cs="Courier New" w:eastAsia="Courier New" w:hAnsi="Courier New"/>
                <w:sz w:val="16"/>
                <w:szCs w:val="16"/>
                <w:color w:val="auto"/>
              </w:rPr>
              <w:t>Owned and</w:t>
            </w:r>
          </w:p>
        </w:tc>
        <w:tc>
          <w:tcPr>
            <w:tcW w:w="1680" w:type="dxa"/>
            <w:vAlign w:val="bottom"/>
          </w:tcPr>
          <w:p>
            <w:pPr>
              <w:ind w:left="80"/>
              <w:spacing w:after="0"/>
              <w:rPr>
                <w:sz w:val="20"/>
                <w:szCs w:val="20"/>
                <w:color w:val="auto"/>
              </w:rPr>
            </w:pPr>
            <w:r>
              <w:rPr>
                <w:rFonts w:ascii="Courier New" w:cs="Courier New" w:eastAsia="Courier New" w:hAnsi="Courier New"/>
                <w:sz w:val="16"/>
                <w:szCs w:val="16"/>
                <w:color w:val="auto"/>
              </w:rPr>
              <w:t>Outstanding</w:t>
            </w:r>
          </w:p>
        </w:tc>
        <w:tc>
          <w:tcPr>
            <w:tcW w:w="1560" w:type="dxa"/>
            <w:vAlign w:val="bottom"/>
          </w:tcPr>
          <w:p>
            <w:pPr>
              <w:ind w:left="160"/>
              <w:spacing w:after="0"/>
              <w:rPr>
                <w:sz w:val="20"/>
                <w:szCs w:val="20"/>
                <w:color w:val="auto"/>
              </w:rPr>
            </w:pPr>
            <w:r>
              <w:rPr>
                <w:rFonts w:ascii="Courier New" w:cs="Courier New" w:eastAsia="Courier New" w:hAnsi="Courier New"/>
                <w:sz w:val="16"/>
                <w:szCs w:val="16"/>
                <w:color w:val="auto"/>
              </w:rPr>
              <w:t>of the Notes</w:t>
            </w:r>
          </w:p>
        </w:tc>
        <w:tc>
          <w:tcPr>
            <w:tcW w:w="1540" w:type="dxa"/>
            <w:vAlign w:val="bottom"/>
          </w:tcPr>
          <w:p>
            <w:pPr>
              <w:ind w:left="40"/>
              <w:spacing w:after="0"/>
              <w:rPr>
                <w:sz w:val="20"/>
                <w:szCs w:val="20"/>
                <w:color w:val="auto"/>
              </w:rPr>
            </w:pPr>
            <w:r>
              <w:rPr>
                <w:rFonts w:ascii="Courier New" w:cs="Courier New" w:eastAsia="Courier New" w:hAnsi="Courier New"/>
                <w:sz w:val="16"/>
                <w:szCs w:val="16"/>
                <w:color w:val="auto"/>
              </w:rPr>
              <w:t>Offering</w:t>
            </w:r>
          </w:p>
        </w:tc>
        <w:tc>
          <w:tcPr>
            <w:tcW w:w="1500" w:type="dxa"/>
            <w:vAlign w:val="bottom"/>
          </w:tcPr>
          <w:p>
            <w:pPr>
              <w:jc w:val="right"/>
              <w:ind w:right="679"/>
              <w:spacing w:after="0"/>
              <w:rPr>
                <w:sz w:val="20"/>
                <w:szCs w:val="20"/>
                <w:color w:val="auto"/>
              </w:rPr>
            </w:pPr>
            <w:r>
              <w:rPr>
                <w:rFonts w:ascii="Courier New" w:cs="Courier New" w:eastAsia="Courier New" w:hAnsi="Courier New"/>
                <w:sz w:val="16"/>
                <w:szCs w:val="16"/>
                <w:color w:val="auto"/>
              </w:rPr>
              <w:t>****</w:t>
            </w:r>
          </w:p>
        </w:tc>
      </w:tr>
      <w:tr>
        <w:trPr>
          <w:trHeight w:val="186"/>
        </w:trPr>
        <w:tc>
          <w:tcPr>
            <w:tcW w:w="374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1500" w:type="dxa"/>
            <w:vAlign w:val="bottom"/>
          </w:tcPr>
          <w:p>
            <w:pPr>
              <w:ind w:left="140"/>
              <w:spacing w:after="0"/>
              <w:rPr>
                <w:sz w:val="20"/>
                <w:szCs w:val="20"/>
                <w:color w:val="auto"/>
              </w:rPr>
            </w:pPr>
            <w:r>
              <w:rPr>
                <w:rFonts w:ascii="Courier New" w:cs="Courier New" w:eastAsia="Courier New" w:hAnsi="Courier New"/>
                <w:sz w:val="16"/>
                <w:szCs w:val="16"/>
                <w:color w:val="auto"/>
              </w:rPr>
              <w:t>Offered</w:t>
            </w:r>
          </w:p>
        </w:tc>
        <w:tc>
          <w:tcPr>
            <w:tcW w:w="1680" w:type="dxa"/>
            <w:vAlign w:val="bottom"/>
          </w:tcPr>
          <w:p>
            <w:pPr>
              <w:jc w:val="right"/>
              <w:ind w:right="83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939"/>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6"/>
        </w:trPr>
        <w:tc>
          <w:tcPr>
            <w:tcW w:w="37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5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559"/>
        </w:trPr>
        <w:tc>
          <w:tcPr>
            <w:tcW w:w="3740" w:type="dxa"/>
            <w:vAlign w:val="bottom"/>
          </w:tcPr>
          <w:p>
            <w:pPr>
              <w:spacing w:after="0"/>
              <w:rPr>
                <w:sz w:val="20"/>
                <w:szCs w:val="20"/>
                <w:color w:val="auto"/>
              </w:rPr>
            </w:pPr>
            <w:r>
              <w:rPr>
                <w:rFonts w:ascii="Courier New" w:cs="Courier New" w:eastAsia="Courier New" w:hAnsi="Courier New"/>
                <w:sz w:val="16"/>
                <w:szCs w:val="16"/>
                <w:color w:val="auto"/>
              </w:rPr>
              <w:t>HFR CA Global Opportunity Master</w:t>
            </w:r>
          </w:p>
        </w:tc>
        <w:tc>
          <w:tcPr>
            <w:tcW w:w="15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86"/>
        </w:trPr>
        <w:tc>
          <w:tcPr>
            <w:tcW w:w="3740" w:type="dxa"/>
            <w:vAlign w:val="bottom"/>
          </w:tcPr>
          <w:p>
            <w:pPr>
              <w:spacing w:after="0"/>
              <w:rPr>
                <w:sz w:val="20"/>
                <w:szCs w:val="20"/>
                <w:color w:val="auto"/>
              </w:rPr>
            </w:pPr>
            <w:r>
              <w:rPr>
                <w:rFonts w:ascii="Courier New" w:cs="Courier New" w:eastAsia="Courier New" w:hAnsi="Courier New"/>
                <w:sz w:val="16"/>
                <w:szCs w:val="16"/>
                <w:color w:val="auto"/>
              </w:rPr>
              <w:t>Trust(6)</w:t>
            </w:r>
          </w:p>
        </w:tc>
        <w:tc>
          <w:tcPr>
            <w:tcW w:w="15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203,000</w:t>
            </w:r>
          </w:p>
        </w:tc>
        <w:tc>
          <w:tcPr>
            <w:tcW w:w="168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19,062</w:t>
            </w:r>
          </w:p>
        </w:tc>
        <w:tc>
          <w:tcPr>
            <w:tcW w:w="1540" w:type="dxa"/>
            <w:vAlign w:val="bottom"/>
          </w:tcPr>
          <w:p>
            <w:pPr>
              <w:ind w:left="540"/>
              <w:spacing w:after="0"/>
              <w:rPr>
                <w:sz w:val="20"/>
                <w:szCs w:val="20"/>
                <w:color w:val="auto"/>
              </w:rPr>
            </w:pPr>
            <w:r>
              <w:rPr>
                <w:rFonts w:ascii="Courier New" w:cs="Courier New" w:eastAsia="Courier New" w:hAnsi="Courier New"/>
                <w:sz w:val="16"/>
                <w:szCs w:val="16"/>
                <w:color w:val="auto"/>
              </w:rPr>
              <w:t>None</w:t>
            </w:r>
          </w:p>
        </w:tc>
        <w:tc>
          <w:tcPr>
            <w:tcW w:w="1500" w:type="dxa"/>
            <w:vAlign w:val="bottom"/>
          </w:tcPr>
          <w:p>
            <w:pPr>
              <w:jc w:val="right"/>
              <w:ind w:right="579"/>
              <w:spacing w:after="0"/>
              <w:rPr>
                <w:sz w:val="20"/>
                <w:szCs w:val="20"/>
                <w:color w:val="auto"/>
              </w:rPr>
            </w:pPr>
            <w:r>
              <w:rPr>
                <w:rFonts w:ascii="Courier New" w:cs="Courier New" w:eastAsia="Courier New" w:hAnsi="Courier New"/>
                <w:sz w:val="16"/>
                <w:szCs w:val="16"/>
                <w:color w:val="auto"/>
              </w:rPr>
              <w:t>-</w:t>
            </w:r>
          </w:p>
        </w:tc>
      </w:tr>
      <w:tr>
        <w:trPr>
          <w:trHeight w:val="186"/>
        </w:trPr>
        <w:tc>
          <w:tcPr>
            <w:tcW w:w="3740" w:type="dxa"/>
            <w:vAlign w:val="bottom"/>
          </w:tcPr>
          <w:p>
            <w:pPr>
              <w:spacing w:after="0"/>
              <w:rPr>
                <w:sz w:val="20"/>
                <w:szCs w:val="20"/>
                <w:color w:val="auto"/>
              </w:rPr>
            </w:pPr>
            <w:r>
              <w:rPr>
                <w:rFonts w:ascii="Courier New" w:cs="Courier New" w:eastAsia="Courier New" w:hAnsi="Courier New"/>
                <w:sz w:val="16"/>
                <w:szCs w:val="16"/>
                <w:color w:val="auto"/>
              </w:rPr>
              <w:t>HFR RVA Select Performance Master</w:t>
            </w:r>
          </w:p>
        </w:tc>
        <w:tc>
          <w:tcPr>
            <w:tcW w:w="15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6"/>
        </w:trPr>
        <w:tc>
          <w:tcPr>
            <w:tcW w:w="3740" w:type="dxa"/>
            <w:vAlign w:val="bottom"/>
          </w:tcPr>
          <w:p>
            <w:pPr>
              <w:spacing w:after="0"/>
              <w:rPr>
                <w:sz w:val="20"/>
                <w:szCs w:val="20"/>
                <w:color w:val="auto"/>
              </w:rPr>
            </w:pPr>
            <w:r>
              <w:rPr>
                <w:rFonts w:ascii="Courier New" w:cs="Courier New" w:eastAsia="Courier New" w:hAnsi="Courier New"/>
                <w:sz w:val="16"/>
                <w:szCs w:val="16"/>
                <w:color w:val="auto"/>
              </w:rPr>
              <w:t>Trust(7)</w:t>
            </w:r>
          </w:p>
        </w:tc>
        <w:tc>
          <w:tcPr>
            <w:tcW w:w="15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203,000</w:t>
            </w:r>
          </w:p>
        </w:tc>
        <w:tc>
          <w:tcPr>
            <w:tcW w:w="168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19,062</w:t>
            </w:r>
          </w:p>
        </w:tc>
        <w:tc>
          <w:tcPr>
            <w:tcW w:w="1540" w:type="dxa"/>
            <w:vAlign w:val="bottom"/>
          </w:tcPr>
          <w:p>
            <w:pPr>
              <w:ind w:left="540"/>
              <w:spacing w:after="0"/>
              <w:rPr>
                <w:sz w:val="20"/>
                <w:szCs w:val="20"/>
                <w:color w:val="auto"/>
              </w:rPr>
            </w:pPr>
            <w:r>
              <w:rPr>
                <w:rFonts w:ascii="Courier New" w:cs="Courier New" w:eastAsia="Courier New" w:hAnsi="Courier New"/>
                <w:sz w:val="16"/>
                <w:szCs w:val="16"/>
                <w:color w:val="auto"/>
              </w:rPr>
              <w:t>None</w:t>
            </w:r>
          </w:p>
        </w:tc>
        <w:tc>
          <w:tcPr>
            <w:tcW w:w="1500" w:type="dxa"/>
            <w:vAlign w:val="bottom"/>
          </w:tcPr>
          <w:p>
            <w:pPr>
              <w:jc w:val="right"/>
              <w:ind w:right="579"/>
              <w:spacing w:after="0"/>
              <w:rPr>
                <w:sz w:val="20"/>
                <w:szCs w:val="20"/>
                <w:color w:val="auto"/>
              </w:rPr>
            </w:pPr>
            <w:r>
              <w:rPr>
                <w:rFonts w:ascii="Courier New" w:cs="Courier New" w:eastAsia="Courier New" w:hAnsi="Courier New"/>
                <w:sz w:val="16"/>
                <w:szCs w:val="16"/>
                <w:color w:val="auto"/>
              </w:rPr>
              <w:t>-</w:t>
            </w:r>
          </w:p>
        </w:tc>
      </w:tr>
      <w:tr>
        <w:trPr>
          <w:trHeight w:val="186"/>
        </w:trPr>
        <w:tc>
          <w:tcPr>
            <w:tcW w:w="3740" w:type="dxa"/>
            <w:vAlign w:val="bottom"/>
          </w:tcPr>
          <w:p>
            <w:pPr>
              <w:spacing w:after="0"/>
              <w:rPr>
                <w:sz w:val="20"/>
                <w:szCs w:val="20"/>
                <w:color w:val="auto"/>
              </w:rPr>
            </w:pPr>
            <w:r>
              <w:rPr>
                <w:rFonts w:ascii="Courier New" w:cs="Courier New" w:eastAsia="Courier New" w:hAnsi="Courier New"/>
                <w:sz w:val="16"/>
                <w:szCs w:val="16"/>
                <w:color w:val="auto"/>
              </w:rPr>
              <w:t>Inflective Convertible Opportunity</w:t>
            </w:r>
          </w:p>
        </w:tc>
        <w:tc>
          <w:tcPr>
            <w:tcW w:w="15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6"/>
        </w:trPr>
        <w:tc>
          <w:tcPr>
            <w:tcW w:w="3740" w:type="dxa"/>
            <w:vAlign w:val="bottom"/>
          </w:tcPr>
          <w:p>
            <w:pPr>
              <w:spacing w:after="0"/>
              <w:rPr>
                <w:sz w:val="20"/>
                <w:szCs w:val="20"/>
                <w:color w:val="auto"/>
              </w:rPr>
            </w:pPr>
            <w:r>
              <w:rPr>
                <w:rFonts w:ascii="Courier New" w:cs="Courier New" w:eastAsia="Courier New" w:hAnsi="Courier New"/>
                <w:sz w:val="16"/>
                <w:szCs w:val="16"/>
                <w:color w:val="auto"/>
              </w:rPr>
              <w:t>Fund I, L.P.(8)</w:t>
            </w:r>
          </w:p>
        </w:tc>
        <w:tc>
          <w:tcPr>
            <w:tcW w:w="15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20,000</w:t>
            </w:r>
          </w:p>
        </w:tc>
        <w:tc>
          <w:tcPr>
            <w:tcW w:w="168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1,878</w:t>
            </w:r>
          </w:p>
        </w:tc>
        <w:tc>
          <w:tcPr>
            <w:tcW w:w="1540" w:type="dxa"/>
            <w:vAlign w:val="bottom"/>
          </w:tcPr>
          <w:p>
            <w:pPr>
              <w:ind w:left="540"/>
              <w:spacing w:after="0"/>
              <w:rPr>
                <w:sz w:val="20"/>
                <w:szCs w:val="20"/>
                <w:color w:val="auto"/>
              </w:rPr>
            </w:pPr>
            <w:r>
              <w:rPr>
                <w:rFonts w:ascii="Courier New" w:cs="Courier New" w:eastAsia="Courier New" w:hAnsi="Courier New"/>
                <w:sz w:val="16"/>
                <w:szCs w:val="16"/>
                <w:color w:val="auto"/>
              </w:rPr>
              <w:t>None</w:t>
            </w:r>
          </w:p>
        </w:tc>
        <w:tc>
          <w:tcPr>
            <w:tcW w:w="1500" w:type="dxa"/>
            <w:vAlign w:val="bottom"/>
          </w:tcPr>
          <w:p>
            <w:pPr>
              <w:jc w:val="right"/>
              <w:ind w:right="579"/>
              <w:spacing w:after="0"/>
              <w:rPr>
                <w:sz w:val="20"/>
                <w:szCs w:val="20"/>
                <w:color w:val="auto"/>
              </w:rPr>
            </w:pPr>
            <w:r>
              <w:rPr>
                <w:rFonts w:ascii="Courier New" w:cs="Courier New" w:eastAsia="Courier New" w:hAnsi="Courier New"/>
                <w:sz w:val="16"/>
                <w:szCs w:val="16"/>
                <w:color w:val="auto"/>
              </w:rPr>
              <w:t>-</w:t>
            </w:r>
          </w:p>
        </w:tc>
      </w:tr>
      <w:tr>
        <w:trPr>
          <w:trHeight w:val="186"/>
        </w:trPr>
        <w:tc>
          <w:tcPr>
            <w:tcW w:w="3740" w:type="dxa"/>
            <w:vAlign w:val="bottom"/>
          </w:tcPr>
          <w:p>
            <w:pPr>
              <w:spacing w:after="0"/>
              <w:rPr>
                <w:sz w:val="20"/>
                <w:szCs w:val="20"/>
                <w:color w:val="auto"/>
              </w:rPr>
            </w:pPr>
            <w:r>
              <w:rPr>
                <w:rFonts w:ascii="Courier New" w:cs="Courier New" w:eastAsia="Courier New" w:hAnsi="Courier New"/>
                <w:sz w:val="16"/>
                <w:szCs w:val="16"/>
                <w:color w:val="auto"/>
              </w:rPr>
              <w:t>LLT LTD(9)</w:t>
            </w:r>
          </w:p>
        </w:tc>
        <w:tc>
          <w:tcPr>
            <w:tcW w:w="15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112,000</w:t>
            </w:r>
          </w:p>
        </w:tc>
        <w:tc>
          <w:tcPr>
            <w:tcW w:w="168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10,519</w:t>
            </w:r>
          </w:p>
        </w:tc>
        <w:tc>
          <w:tcPr>
            <w:tcW w:w="1540" w:type="dxa"/>
            <w:vAlign w:val="bottom"/>
          </w:tcPr>
          <w:p>
            <w:pPr>
              <w:ind w:left="540"/>
              <w:spacing w:after="0"/>
              <w:rPr>
                <w:sz w:val="20"/>
                <w:szCs w:val="20"/>
                <w:color w:val="auto"/>
              </w:rPr>
            </w:pPr>
            <w:r>
              <w:rPr>
                <w:rFonts w:ascii="Courier New" w:cs="Courier New" w:eastAsia="Courier New" w:hAnsi="Courier New"/>
                <w:sz w:val="16"/>
                <w:szCs w:val="16"/>
                <w:color w:val="auto"/>
              </w:rPr>
              <w:t>None</w:t>
            </w:r>
          </w:p>
        </w:tc>
        <w:tc>
          <w:tcPr>
            <w:tcW w:w="1500" w:type="dxa"/>
            <w:vAlign w:val="bottom"/>
          </w:tcPr>
          <w:p>
            <w:pPr>
              <w:jc w:val="right"/>
              <w:ind w:right="579"/>
              <w:spacing w:after="0"/>
              <w:rPr>
                <w:sz w:val="20"/>
                <w:szCs w:val="20"/>
                <w:color w:val="auto"/>
              </w:rPr>
            </w:pPr>
            <w:r>
              <w:rPr>
                <w:rFonts w:ascii="Courier New" w:cs="Courier New" w:eastAsia="Courier New" w:hAnsi="Courier New"/>
                <w:sz w:val="16"/>
                <w:szCs w:val="16"/>
                <w:color w:val="auto"/>
              </w:rPr>
              <w:t>-</w:t>
            </w:r>
          </w:p>
        </w:tc>
      </w:tr>
      <w:tr>
        <w:trPr>
          <w:trHeight w:val="186"/>
        </w:trPr>
        <w:tc>
          <w:tcPr>
            <w:tcW w:w="3740" w:type="dxa"/>
            <w:vAlign w:val="bottom"/>
          </w:tcPr>
          <w:p>
            <w:pPr>
              <w:spacing w:after="0"/>
              <w:rPr>
                <w:sz w:val="20"/>
                <w:szCs w:val="20"/>
                <w:color w:val="auto"/>
              </w:rPr>
            </w:pPr>
            <w:r>
              <w:rPr>
                <w:rFonts w:ascii="Courier New" w:cs="Courier New" w:eastAsia="Courier New" w:hAnsi="Courier New"/>
                <w:sz w:val="16"/>
                <w:szCs w:val="16"/>
                <w:color w:val="auto"/>
              </w:rPr>
              <w:t>Lyxor/Forest Fund Limited(10)</w:t>
            </w:r>
          </w:p>
        </w:tc>
        <w:tc>
          <w:tcPr>
            <w:tcW w:w="15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488,000</w:t>
            </w:r>
          </w:p>
        </w:tc>
        <w:tc>
          <w:tcPr>
            <w:tcW w:w="168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45,823</w:t>
            </w:r>
          </w:p>
        </w:tc>
        <w:tc>
          <w:tcPr>
            <w:tcW w:w="1540" w:type="dxa"/>
            <w:vAlign w:val="bottom"/>
          </w:tcPr>
          <w:p>
            <w:pPr>
              <w:ind w:left="540"/>
              <w:spacing w:after="0"/>
              <w:rPr>
                <w:sz w:val="20"/>
                <w:szCs w:val="20"/>
                <w:color w:val="auto"/>
              </w:rPr>
            </w:pPr>
            <w:r>
              <w:rPr>
                <w:rFonts w:ascii="Courier New" w:cs="Courier New" w:eastAsia="Courier New" w:hAnsi="Courier New"/>
                <w:sz w:val="16"/>
                <w:szCs w:val="16"/>
                <w:color w:val="auto"/>
              </w:rPr>
              <w:t>None</w:t>
            </w:r>
          </w:p>
        </w:tc>
        <w:tc>
          <w:tcPr>
            <w:tcW w:w="1500" w:type="dxa"/>
            <w:vAlign w:val="bottom"/>
          </w:tcPr>
          <w:p>
            <w:pPr>
              <w:jc w:val="right"/>
              <w:ind w:right="579"/>
              <w:spacing w:after="0"/>
              <w:rPr>
                <w:sz w:val="20"/>
                <w:szCs w:val="20"/>
                <w:color w:val="auto"/>
              </w:rPr>
            </w:pPr>
            <w:r>
              <w:rPr>
                <w:rFonts w:ascii="Courier New" w:cs="Courier New" w:eastAsia="Courier New" w:hAnsi="Courier New"/>
                <w:sz w:val="16"/>
                <w:szCs w:val="16"/>
                <w:color w:val="auto"/>
              </w:rPr>
              <w:t>-</w:t>
            </w:r>
          </w:p>
        </w:tc>
      </w:tr>
      <w:tr>
        <w:trPr>
          <w:trHeight w:val="186"/>
        </w:trPr>
        <w:tc>
          <w:tcPr>
            <w:tcW w:w="3740" w:type="dxa"/>
            <w:vAlign w:val="bottom"/>
          </w:tcPr>
          <w:p>
            <w:pPr>
              <w:spacing w:after="0"/>
              <w:rPr>
                <w:sz w:val="20"/>
                <w:szCs w:val="20"/>
                <w:color w:val="auto"/>
              </w:rPr>
            </w:pPr>
            <w:r>
              <w:rPr>
                <w:rFonts w:ascii="Courier New" w:cs="Courier New" w:eastAsia="Courier New" w:hAnsi="Courier New"/>
                <w:sz w:val="16"/>
                <w:szCs w:val="16"/>
                <w:color w:val="auto"/>
              </w:rPr>
              <w:t>Relay 11 Holdings Co.(11)</w:t>
            </w:r>
          </w:p>
        </w:tc>
        <w:tc>
          <w:tcPr>
            <w:tcW w:w="15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80,000</w:t>
            </w:r>
          </w:p>
        </w:tc>
        <w:tc>
          <w:tcPr>
            <w:tcW w:w="168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7,512</w:t>
            </w:r>
          </w:p>
        </w:tc>
        <w:tc>
          <w:tcPr>
            <w:tcW w:w="1540" w:type="dxa"/>
            <w:vAlign w:val="bottom"/>
          </w:tcPr>
          <w:p>
            <w:pPr>
              <w:ind w:left="540"/>
              <w:spacing w:after="0"/>
              <w:rPr>
                <w:sz w:val="20"/>
                <w:szCs w:val="20"/>
                <w:color w:val="auto"/>
              </w:rPr>
            </w:pPr>
            <w:r>
              <w:rPr>
                <w:rFonts w:ascii="Courier New" w:cs="Courier New" w:eastAsia="Courier New" w:hAnsi="Courier New"/>
                <w:sz w:val="16"/>
                <w:szCs w:val="16"/>
                <w:color w:val="auto"/>
              </w:rPr>
              <w:t>None</w:t>
            </w:r>
          </w:p>
        </w:tc>
        <w:tc>
          <w:tcPr>
            <w:tcW w:w="1500" w:type="dxa"/>
            <w:vAlign w:val="bottom"/>
          </w:tcPr>
          <w:p>
            <w:pPr>
              <w:jc w:val="right"/>
              <w:ind w:right="579"/>
              <w:spacing w:after="0"/>
              <w:rPr>
                <w:sz w:val="20"/>
                <w:szCs w:val="20"/>
                <w:color w:val="auto"/>
              </w:rPr>
            </w:pPr>
            <w:r>
              <w:rPr>
                <w:rFonts w:ascii="Courier New" w:cs="Courier New" w:eastAsia="Courier New" w:hAnsi="Courier New"/>
                <w:sz w:val="16"/>
                <w:szCs w:val="16"/>
                <w:color w:val="auto"/>
              </w:rPr>
              <w:t>-</w:t>
            </w:r>
          </w:p>
        </w:tc>
      </w:tr>
      <w:tr>
        <w:trPr>
          <w:trHeight w:val="186"/>
        </w:trPr>
        <w:tc>
          <w:tcPr>
            <w:tcW w:w="3740" w:type="dxa"/>
            <w:vAlign w:val="bottom"/>
          </w:tcPr>
          <w:p>
            <w:pPr>
              <w:spacing w:after="0"/>
              <w:rPr>
                <w:sz w:val="20"/>
                <w:szCs w:val="20"/>
                <w:color w:val="auto"/>
              </w:rPr>
            </w:pPr>
            <w:r>
              <w:rPr>
                <w:rFonts w:ascii="Courier New" w:cs="Courier New" w:eastAsia="Courier New" w:hAnsi="Courier New"/>
                <w:sz w:val="16"/>
                <w:szCs w:val="16"/>
                <w:color w:val="auto"/>
              </w:rPr>
              <w:t>Sphinx Convertible Arbitrage SPC(12)</w:t>
            </w:r>
          </w:p>
        </w:tc>
        <w:tc>
          <w:tcPr>
            <w:tcW w:w="15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176,000</w:t>
            </w:r>
          </w:p>
        </w:tc>
        <w:tc>
          <w:tcPr>
            <w:tcW w:w="168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16,526</w:t>
            </w:r>
          </w:p>
        </w:tc>
        <w:tc>
          <w:tcPr>
            <w:tcW w:w="1540" w:type="dxa"/>
            <w:vAlign w:val="bottom"/>
          </w:tcPr>
          <w:p>
            <w:pPr>
              <w:ind w:left="540"/>
              <w:spacing w:after="0"/>
              <w:rPr>
                <w:sz w:val="20"/>
                <w:szCs w:val="20"/>
                <w:color w:val="auto"/>
              </w:rPr>
            </w:pPr>
            <w:r>
              <w:rPr>
                <w:rFonts w:ascii="Courier New" w:cs="Courier New" w:eastAsia="Courier New" w:hAnsi="Courier New"/>
                <w:sz w:val="16"/>
                <w:szCs w:val="16"/>
                <w:color w:val="auto"/>
              </w:rPr>
              <w:t>None</w:t>
            </w:r>
          </w:p>
        </w:tc>
        <w:tc>
          <w:tcPr>
            <w:tcW w:w="1500" w:type="dxa"/>
            <w:vAlign w:val="bottom"/>
          </w:tcPr>
          <w:p>
            <w:pPr>
              <w:jc w:val="right"/>
              <w:ind w:right="579"/>
              <w:spacing w:after="0"/>
              <w:rPr>
                <w:sz w:val="20"/>
                <w:szCs w:val="20"/>
                <w:color w:val="auto"/>
              </w:rPr>
            </w:pPr>
            <w:r>
              <w:rPr>
                <w:rFonts w:ascii="Courier New" w:cs="Courier New" w:eastAsia="Courier New" w:hAnsi="Courier New"/>
                <w:sz w:val="16"/>
                <w:szCs w:val="16"/>
                <w:color w:val="auto"/>
              </w:rPr>
              <w:t>-</w:t>
            </w:r>
          </w:p>
        </w:tc>
      </w:tr>
      <w:tr>
        <w:trPr>
          <w:trHeight w:val="559"/>
        </w:trPr>
        <w:tc>
          <w:tcPr>
            <w:tcW w:w="37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5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spacing w:after="0" w:line="4" w:lineRule="exact"/>
        <w:rPr>
          <w:sz w:val="20"/>
          <w:szCs w:val="20"/>
          <w:color w:val="auto"/>
        </w:rPr>
      </w:pPr>
    </w:p>
    <w:p>
      <w:pPr>
        <w:jc w:val="both"/>
        <w:ind w:left="1" w:right="4160" w:hanging="1"/>
        <w:spacing w:after="0" w:line="247" w:lineRule="auto"/>
        <w:tabs>
          <w:tab w:leader="none" w:pos="388"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Forest Investment Management is the investment advisor to HFR RVA Select Performance Master Trust with respect to the securities listed on the table. Forest Investment Management is wholly owned by Forest Partners II, the sole General Partner of which is Michael A. Boyd Inc. Michael A. Boyd is the sole owner of Michael A. Boyd Inc.</w:t>
      </w:r>
    </w:p>
    <w:p>
      <w:pPr>
        <w:spacing w:after="0" w:line="185" w:lineRule="exact"/>
        <w:rPr>
          <w:rFonts w:ascii="Courier New" w:cs="Courier New" w:eastAsia="Courier New" w:hAnsi="Courier New"/>
          <w:sz w:val="16"/>
          <w:szCs w:val="16"/>
          <w:color w:val="auto"/>
        </w:rPr>
      </w:pPr>
    </w:p>
    <w:p>
      <w:pPr>
        <w:ind w:left="1" w:right="4160" w:hanging="1"/>
        <w:spacing w:after="0" w:line="247" w:lineRule="auto"/>
        <w:tabs>
          <w:tab w:leader="none" w:pos="388"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Forest Investment Management is the investment advisor to HFR CA Global Opportunity Master Trust with respect to the securities listed on the table. Forest Investment Management is wholly owned by Forest Partners II, the sole General Partner of which is Michael A. Boyd Inc. Michael A. Boyd is the sole owner of Michael A. Boyd Inc.</w:t>
      </w:r>
    </w:p>
    <w:p>
      <w:pPr>
        <w:spacing w:after="0" w:line="185" w:lineRule="exact"/>
        <w:rPr>
          <w:rFonts w:ascii="Courier New" w:cs="Courier New" w:eastAsia="Courier New" w:hAnsi="Courier New"/>
          <w:sz w:val="16"/>
          <w:szCs w:val="16"/>
          <w:color w:val="auto"/>
        </w:rPr>
      </w:pPr>
    </w:p>
    <w:p>
      <w:pPr>
        <w:ind w:left="1" w:right="4060" w:hanging="1"/>
        <w:spacing w:after="0" w:line="247" w:lineRule="auto"/>
        <w:tabs>
          <w:tab w:leader="none" w:pos="388"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Inflective Portfolio Management, LLC is the General Partner of Inflective Convertible Opportunity Fund I, L.P. Thomas J. Roy, President and Chief Financial Officer of Inflective Asset Management LLC exercises voting and dispositive power over the securites on behalf of Inflective Portfolio Management, LLC.</w:t>
      </w:r>
    </w:p>
    <w:p>
      <w:pPr>
        <w:spacing w:after="0" w:line="185" w:lineRule="exact"/>
        <w:rPr>
          <w:rFonts w:ascii="Courier New" w:cs="Courier New" w:eastAsia="Courier New" w:hAnsi="Courier New"/>
          <w:sz w:val="16"/>
          <w:szCs w:val="16"/>
          <w:color w:val="auto"/>
        </w:rPr>
      </w:pPr>
    </w:p>
    <w:p>
      <w:pPr>
        <w:ind w:left="381" w:hanging="381"/>
        <w:spacing w:after="0"/>
        <w:tabs>
          <w:tab w:leader="none" w:pos="38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Forest Investment Management is the investment advisor to LLT LTD with</w:t>
      </w:r>
    </w:p>
    <w:p>
      <w:pPr>
        <w:spacing w:after="0" w:line="5" w:lineRule="exact"/>
        <w:rPr>
          <w:rFonts w:ascii="Courier New" w:cs="Courier New" w:eastAsia="Courier New" w:hAnsi="Courier New"/>
          <w:sz w:val="16"/>
          <w:szCs w:val="16"/>
          <w:color w:val="auto"/>
        </w:rPr>
      </w:pPr>
    </w:p>
    <w:p>
      <w:pPr>
        <w:ind w:left="1" w:right="3760"/>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respect to the securities listed on the table. Forest Investment Management is wholly owned by Forest Partners II, the sole General Partner of which is Michael A. Boyd Inc. Michael A. Boyd is the sole owner of Michael A. Boyd Inc.</w:t>
      </w:r>
    </w:p>
    <w:p>
      <w:pPr>
        <w:spacing w:after="0" w:line="185" w:lineRule="exact"/>
        <w:rPr>
          <w:rFonts w:ascii="Courier New" w:cs="Courier New" w:eastAsia="Courier New" w:hAnsi="Courier New"/>
          <w:sz w:val="16"/>
          <w:szCs w:val="16"/>
          <w:color w:val="auto"/>
        </w:rPr>
      </w:pPr>
    </w:p>
    <w:p>
      <w:pPr>
        <w:ind w:left="1" w:right="3760" w:hanging="1"/>
        <w:spacing w:after="0" w:line="247" w:lineRule="auto"/>
        <w:tabs>
          <w:tab w:leader="none" w:pos="485"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Forest Investment Management is the investment advisor to Lyxor/Forest Fund Limited with respect to the securities listed on the table. Forest Investment Management is wholly owned by Forest Partners II, the sole General Partner of which is Michael A. Boyd Inc. Michael A. Boyd is the sole owner of Michael A. Boyd Inc.</w:t>
      </w:r>
    </w:p>
    <w:p>
      <w:pPr>
        <w:spacing w:after="0" w:line="185" w:lineRule="exact"/>
        <w:rPr>
          <w:rFonts w:ascii="Courier New" w:cs="Courier New" w:eastAsia="Courier New" w:hAnsi="Courier New"/>
          <w:sz w:val="16"/>
          <w:szCs w:val="16"/>
          <w:color w:val="auto"/>
        </w:rPr>
      </w:pPr>
    </w:p>
    <w:p>
      <w:pPr>
        <w:ind w:left="1" w:right="3760" w:hanging="1"/>
        <w:spacing w:after="0" w:line="247" w:lineRule="auto"/>
        <w:tabs>
          <w:tab w:leader="none" w:pos="485"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Forest Investment Management is the investment advisor to Relay 11 Holdings Co. with respect to the securities listed on the table. Forest Investment Management is wholly owned by Forest Partners II, the sole General Partner of which is Michael A. Boyd Inc. Michael A. Boyd is the sole owner of Michael A. Boyd Inc.</w:t>
      </w:r>
    </w:p>
    <w:p>
      <w:pPr>
        <w:spacing w:after="0" w:line="185" w:lineRule="exact"/>
        <w:rPr>
          <w:rFonts w:ascii="Courier New" w:cs="Courier New" w:eastAsia="Courier New" w:hAnsi="Courier New"/>
          <w:sz w:val="16"/>
          <w:szCs w:val="16"/>
          <w:color w:val="auto"/>
        </w:rPr>
      </w:pPr>
    </w:p>
    <w:p>
      <w:pPr>
        <w:ind w:left="1" w:right="4060" w:hanging="1"/>
        <w:spacing w:after="0" w:line="247" w:lineRule="auto"/>
        <w:tabs>
          <w:tab w:leader="none" w:pos="485"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Forest Investment Management is the investment advisor to Sphinx Convertible Arbitrage SPC with respect to the securities listed on the table. Forest Investment Management is wholly owned by Forest Partners II, the sole General Partner of which is Michael A. Boyd Inc. Michael A. Boyd is the sole owner of Michael A. Boyd Inc.</w:t>
      </w:r>
    </w:p>
    <w:p>
      <w:pPr>
        <w:spacing w:after="0" w:line="372"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1521"/>
          </w:cols>
          <w:pgMar w:left="239" w:top="1049" w:right="139" w:bottom="1440" w:gutter="0" w:footer="0" w:header="0"/>
        </w:sectPr>
      </w:pPr>
    </w:p>
    <w:bookmarkStart w:id="3" w:name="page4"/>
    <w:bookmarkEnd w:id="3"/>
    <w:tbl>
      <w:tblPr>
        <w:tblLayout w:type="fixed"/>
        <w:tblInd w:w="1" w:type="dxa"/>
        <w:tblCellMar>
          <w:top w:w="0" w:type="dxa"/>
          <w:left w:w="0" w:type="dxa"/>
          <w:bottom w:w="0" w:type="dxa"/>
          <w:right w:w="0" w:type="dxa"/>
        </w:tblCellMar>
      </w:tblPr>
      <w:tr>
        <w:trPr>
          <w:trHeight w:val="183"/>
        </w:trPr>
        <w:tc>
          <w:tcPr>
            <w:tcW w:w="218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560" w:type="dxa"/>
            <w:vAlign w:val="bottom"/>
          </w:tcPr>
          <w:p>
            <w:pPr>
              <w:ind w:left="140"/>
              <w:spacing w:after="0"/>
              <w:rPr>
                <w:sz w:val="20"/>
                <w:szCs w:val="20"/>
                <w:color w:val="auto"/>
              </w:rPr>
            </w:pPr>
            <w:r>
              <w:rPr>
                <w:rFonts w:ascii="Courier New" w:cs="Courier New" w:eastAsia="Courier New" w:hAnsi="Courier New"/>
                <w:sz w:val="16"/>
                <w:szCs w:val="16"/>
                <w:color w:val="auto"/>
              </w:rPr>
              <w:t>Other Shares</w:t>
            </w:r>
          </w:p>
        </w:tc>
        <w:tc>
          <w:tcPr>
            <w:tcW w:w="1400" w:type="dxa"/>
            <w:vAlign w:val="bottom"/>
          </w:tcPr>
          <w:p>
            <w:pPr>
              <w:spacing w:after="0"/>
              <w:rPr>
                <w:sz w:val="15"/>
                <w:szCs w:val="15"/>
                <w:color w:val="auto"/>
              </w:rPr>
            </w:pPr>
          </w:p>
        </w:tc>
      </w:tr>
      <w:tr>
        <w:trPr>
          <w:trHeight w:val="186"/>
        </w:trPr>
        <w:tc>
          <w:tcPr>
            <w:tcW w:w="218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560" w:type="dxa"/>
            <w:vAlign w:val="bottom"/>
          </w:tcPr>
          <w:p>
            <w:pPr>
              <w:ind w:left="140"/>
              <w:spacing w:after="0"/>
              <w:rPr>
                <w:sz w:val="20"/>
                <w:szCs w:val="20"/>
                <w:color w:val="auto"/>
              </w:rPr>
            </w:pPr>
            <w:r>
              <w:rPr>
                <w:rFonts w:ascii="Courier New" w:cs="Courier New" w:eastAsia="Courier New" w:hAnsi="Courier New"/>
                <w:sz w:val="16"/>
                <w:szCs w:val="16"/>
                <w:color w:val="auto"/>
              </w:rPr>
              <w:t>of Common</w:t>
            </w:r>
          </w:p>
        </w:tc>
        <w:tc>
          <w:tcPr>
            <w:tcW w:w="1400" w:type="dxa"/>
            <w:vAlign w:val="bottom"/>
          </w:tcPr>
          <w:p>
            <w:pPr>
              <w:spacing w:after="0"/>
              <w:rPr>
                <w:sz w:val="16"/>
                <w:szCs w:val="16"/>
                <w:color w:val="auto"/>
              </w:rPr>
            </w:pPr>
          </w:p>
        </w:tc>
      </w:tr>
      <w:tr>
        <w:trPr>
          <w:trHeight w:val="186"/>
        </w:trPr>
        <w:tc>
          <w:tcPr>
            <w:tcW w:w="218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560" w:type="dxa"/>
            <w:vAlign w:val="bottom"/>
          </w:tcPr>
          <w:p>
            <w:pPr>
              <w:ind w:left="140"/>
              <w:spacing w:after="0"/>
              <w:rPr>
                <w:sz w:val="20"/>
                <w:szCs w:val="20"/>
                <w:color w:val="auto"/>
              </w:rPr>
            </w:pPr>
            <w:r>
              <w:rPr>
                <w:rFonts w:ascii="Courier New" w:cs="Courier New" w:eastAsia="Courier New" w:hAnsi="Courier New"/>
                <w:sz w:val="16"/>
                <w:szCs w:val="16"/>
                <w:color w:val="auto"/>
              </w:rPr>
              <w:t>Stock</w:t>
            </w:r>
          </w:p>
        </w:tc>
        <w:tc>
          <w:tcPr>
            <w:tcW w:w="1400" w:type="dxa"/>
            <w:vAlign w:val="bottom"/>
          </w:tcPr>
          <w:p>
            <w:pPr>
              <w:spacing w:after="0"/>
              <w:rPr>
                <w:sz w:val="16"/>
                <w:szCs w:val="16"/>
                <w:color w:val="auto"/>
              </w:rPr>
            </w:pPr>
          </w:p>
        </w:tc>
      </w:tr>
      <w:tr>
        <w:trPr>
          <w:trHeight w:val="186"/>
        </w:trPr>
        <w:tc>
          <w:tcPr>
            <w:tcW w:w="218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560" w:type="dxa"/>
            <w:vAlign w:val="bottom"/>
          </w:tcPr>
          <w:p>
            <w:pPr>
              <w:ind w:left="140"/>
              <w:spacing w:after="0"/>
              <w:rPr>
                <w:sz w:val="20"/>
                <w:szCs w:val="20"/>
                <w:color w:val="auto"/>
              </w:rPr>
            </w:pPr>
            <w:r>
              <w:rPr>
                <w:rFonts w:ascii="Courier New" w:cs="Courier New" w:eastAsia="Courier New" w:hAnsi="Courier New"/>
                <w:sz w:val="16"/>
                <w:szCs w:val="16"/>
                <w:color w:val="auto"/>
              </w:rPr>
              <w:t>Beneficially</w:t>
            </w:r>
          </w:p>
        </w:tc>
        <w:tc>
          <w:tcPr>
            <w:tcW w:w="1400" w:type="dxa"/>
            <w:vAlign w:val="bottom"/>
          </w:tcPr>
          <w:p>
            <w:pPr>
              <w:spacing w:after="0"/>
              <w:rPr>
                <w:sz w:val="16"/>
                <w:szCs w:val="16"/>
                <w:color w:val="auto"/>
              </w:rPr>
            </w:pPr>
          </w:p>
        </w:tc>
      </w:tr>
      <w:tr>
        <w:trPr>
          <w:trHeight w:val="186"/>
        </w:trPr>
        <w:tc>
          <w:tcPr>
            <w:tcW w:w="2180" w:type="dxa"/>
            <w:vAlign w:val="bottom"/>
          </w:tcPr>
          <w:p>
            <w:pPr>
              <w:spacing w:after="0"/>
              <w:rPr>
                <w:sz w:val="16"/>
                <w:szCs w:val="16"/>
                <w:color w:val="auto"/>
              </w:rPr>
            </w:pPr>
          </w:p>
        </w:tc>
        <w:tc>
          <w:tcPr>
            <w:tcW w:w="3000" w:type="dxa"/>
            <w:vAlign w:val="bottom"/>
          </w:tcPr>
          <w:p>
            <w:pPr>
              <w:ind w:left="1700"/>
              <w:spacing w:after="0"/>
              <w:rPr>
                <w:sz w:val="20"/>
                <w:szCs w:val="20"/>
                <w:color w:val="auto"/>
              </w:rPr>
            </w:pPr>
            <w:r>
              <w:rPr>
                <w:rFonts w:ascii="Courier New" w:cs="Courier New" w:eastAsia="Courier New" w:hAnsi="Courier New"/>
                <w:sz w:val="16"/>
                <w:szCs w:val="16"/>
                <w:color w:val="auto"/>
              </w:rPr>
              <w:t>Aggregate</w:t>
            </w:r>
          </w:p>
        </w:tc>
        <w:tc>
          <w:tcPr>
            <w:tcW w:w="1660" w:type="dxa"/>
            <w:vAlign w:val="bottom"/>
          </w:tcPr>
          <w:p>
            <w:pPr>
              <w:spacing w:after="0"/>
              <w:rPr>
                <w:sz w:val="16"/>
                <w:szCs w:val="16"/>
                <w:color w:val="auto"/>
              </w:rPr>
            </w:pPr>
          </w:p>
        </w:tc>
        <w:tc>
          <w:tcPr>
            <w:tcW w:w="1540" w:type="dxa"/>
            <w:vAlign w:val="bottom"/>
          </w:tcPr>
          <w:p>
            <w:pPr>
              <w:ind w:left="240"/>
              <w:spacing w:after="0"/>
              <w:rPr>
                <w:sz w:val="20"/>
                <w:szCs w:val="20"/>
                <w:color w:val="auto"/>
              </w:rPr>
            </w:pPr>
            <w:r>
              <w:rPr>
                <w:rFonts w:ascii="Courier New" w:cs="Courier New" w:eastAsia="Courier New" w:hAnsi="Courier New"/>
                <w:sz w:val="16"/>
                <w:szCs w:val="16"/>
                <w:color w:val="auto"/>
              </w:rPr>
              <w:t>Shares of</w:t>
            </w:r>
          </w:p>
        </w:tc>
        <w:tc>
          <w:tcPr>
            <w:tcW w:w="1560" w:type="dxa"/>
            <w:vAlign w:val="bottom"/>
          </w:tcPr>
          <w:p>
            <w:pPr>
              <w:ind w:left="140"/>
              <w:spacing w:after="0"/>
              <w:rPr>
                <w:sz w:val="20"/>
                <w:szCs w:val="20"/>
                <w:color w:val="auto"/>
              </w:rPr>
            </w:pPr>
            <w:r>
              <w:rPr>
                <w:rFonts w:ascii="Courier New" w:cs="Courier New" w:eastAsia="Courier New" w:hAnsi="Courier New"/>
                <w:sz w:val="16"/>
                <w:szCs w:val="16"/>
                <w:color w:val="auto"/>
              </w:rPr>
              <w:t>Owned Before</w:t>
            </w:r>
          </w:p>
        </w:tc>
        <w:tc>
          <w:tcPr>
            <w:tcW w:w="1400" w:type="dxa"/>
            <w:vAlign w:val="bottom"/>
          </w:tcPr>
          <w:p>
            <w:pPr>
              <w:spacing w:after="0"/>
              <w:rPr>
                <w:sz w:val="16"/>
                <w:szCs w:val="16"/>
                <w:color w:val="auto"/>
              </w:rPr>
            </w:pPr>
          </w:p>
        </w:tc>
      </w:tr>
      <w:tr>
        <w:trPr>
          <w:trHeight w:val="186"/>
        </w:trPr>
        <w:tc>
          <w:tcPr>
            <w:tcW w:w="2180" w:type="dxa"/>
            <w:vAlign w:val="bottom"/>
          </w:tcPr>
          <w:p>
            <w:pPr>
              <w:spacing w:after="0"/>
              <w:rPr>
                <w:sz w:val="16"/>
                <w:szCs w:val="16"/>
                <w:color w:val="auto"/>
              </w:rPr>
            </w:pPr>
          </w:p>
        </w:tc>
        <w:tc>
          <w:tcPr>
            <w:tcW w:w="3000" w:type="dxa"/>
            <w:vAlign w:val="bottom"/>
          </w:tcPr>
          <w:p>
            <w:pPr>
              <w:ind w:left="1700"/>
              <w:spacing w:after="0"/>
              <w:rPr>
                <w:sz w:val="20"/>
                <w:szCs w:val="20"/>
                <w:color w:val="auto"/>
              </w:rPr>
            </w:pPr>
            <w:r>
              <w:rPr>
                <w:rFonts w:ascii="Courier New" w:cs="Courier New" w:eastAsia="Courier New" w:hAnsi="Courier New"/>
                <w:sz w:val="16"/>
                <w:szCs w:val="16"/>
                <w:color w:val="auto"/>
              </w:rPr>
              <w:t>Principal</w:t>
            </w:r>
          </w:p>
        </w:tc>
        <w:tc>
          <w:tcPr>
            <w:tcW w:w="1660" w:type="dxa"/>
            <w:vAlign w:val="bottom"/>
          </w:tcPr>
          <w:p>
            <w:pPr>
              <w:spacing w:after="0"/>
              <w:rPr>
                <w:sz w:val="16"/>
                <w:szCs w:val="16"/>
                <w:color w:val="auto"/>
              </w:rPr>
            </w:pPr>
          </w:p>
        </w:tc>
        <w:tc>
          <w:tcPr>
            <w:tcW w:w="1540" w:type="dxa"/>
            <w:vAlign w:val="bottom"/>
          </w:tcPr>
          <w:p>
            <w:pPr>
              <w:ind w:left="240"/>
              <w:spacing w:after="0"/>
              <w:rPr>
                <w:sz w:val="20"/>
                <w:szCs w:val="20"/>
                <w:color w:val="auto"/>
              </w:rPr>
            </w:pPr>
            <w:r>
              <w:rPr>
                <w:rFonts w:ascii="Courier New" w:cs="Courier New" w:eastAsia="Courier New" w:hAnsi="Courier New"/>
                <w:sz w:val="16"/>
                <w:szCs w:val="16"/>
                <w:color w:val="auto"/>
              </w:rPr>
              <w:t>Common Stock</w:t>
            </w:r>
          </w:p>
        </w:tc>
        <w:tc>
          <w:tcPr>
            <w:tcW w:w="1560" w:type="dxa"/>
            <w:vAlign w:val="bottom"/>
          </w:tcPr>
          <w:p>
            <w:pPr>
              <w:ind w:left="140"/>
              <w:spacing w:after="0"/>
              <w:rPr>
                <w:sz w:val="20"/>
                <w:szCs w:val="20"/>
                <w:color w:val="auto"/>
              </w:rPr>
            </w:pPr>
            <w:r>
              <w:rPr>
                <w:rFonts w:ascii="Courier New" w:cs="Courier New" w:eastAsia="Courier New" w:hAnsi="Courier New"/>
                <w:sz w:val="16"/>
                <w:szCs w:val="16"/>
                <w:color w:val="auto"/>
              </w:rPr>
              <w:t>the Offering</w:t>
            </w:r>
          </w:p>
        </w:tc>
        <w:tc>
          <w:tcPr>
            <w:tcW w:w="1400" w:type="dxa"/>
            <w:vAlign w:val="bottom"/>
          </w:tcPr>
          <w:p>
            <w:pPr>
              <w:spacing w:after="0"/>
              <w:rPr>
                <w:sz w:val="16"/>
                <w:szCs w:val="16"/>
                <w:color w:val="auto"/>
              </w:rPr>
            </w:pPr>
          </w:p>
        </w:tc>
      </w:tr>
      <w:tr>
        <w:trPr>
          <w:trHeight w:val="186"/>
        </w:trPr>
        <w:tc>
          <w:tcPr>
            <w:tcW w:w="2180" w:type="dxa"/>
            <w:vAlign w:val="bottom"/>
          </w:tcPr>
          <w:p>
            <w:pPr>
              <w:spacing w:after="0"/>
              <w:rPr>
                <w:sz w:val="16"/>
                <w:szCs w:val="16"/>
                <w:color w:val="auto"/>
              </w:rPr>
            </w:pPr>
          </w:p>
        </w:tc>
        <w:tc>
          <w:tcPr>
            <w:tcW w:w="3000" w:type="dxa"/>
            <w:vAlign w:val="bottom"/>
          </w:tcPr>
          <w:p>
            <w:pPr>
              <w:ind w:left="1700"/>
              <w:spacing w:after="0"/>
              <w:rPr>
                <w:sz w:val="20"/>
                <w:szCs w:val="20"/>
                <w:color w:val="auto"/>
              </w:rPr>
            </w:pPr>
            <w:r>
              <w:rPr>
                <w:rFonts w:ascii="Courier New" w:cs="Courier New" w:eastAsia="Courier New" w:hAnsi="Courier New"/>
                <w:sz w:val="16"/>
                <w:szCs w:val="16"/>
                <w:color w:val="auto"/>
              </w:rPr>
              <w:t>Amount of</w:t>
            </w:r>
          </w:p>
        </w:tc>
        <w:tc>
          <w:tcPr>
            <w:tcW w:w="1660" w:type="dxa"/>
            <w:vAlign w:val="bottom"/>
          </w:tcPr>
          <w:p>
            <w:pPr>
              <w:spacing w:after="0"/>
              <w:rPr>
                <w:sz w:val="16"/>
                <w:szCs w:val="16"/>
                <w:color w:val="auto"/>
              </w:rPr>
            </w:pPr>
          </w:p>
        </w:tc>
        <w:tc>
          <w:tcPr>
            <w:tcW w:w="1540" w:type="dxa"/>
            <w:vAlign w:val="bottom"/>
          </w:tcPr>
          <w:p>
            <w:pPr>
              <w:ind w:left="240"/>
              <w:spacing w:after="0"/>
              <w:rPr>
                <w:sz w:val="20"/>
                <w:szCs w:val="20"/>
                <w:color w:val="auto"/>
              </w:rPr>
            </w:pPr>
            <w:r>
              <w:rPr>
                <w:rFonts w:ascii="Courier New" w:cs="Courier New" w:eastAsia="Courier New" w:hAnsi="Courier New"/>
                <w:sz w:val="16"/>
                <w:szCs w:val="16"/>
                <w:color w:val="auto"/>
              </w:rPr>
              <w:t>Issuable</w:t>
            </w:r>
          </w:p>
        </w:tc>
        <w:tc>
          <w:tcPr>
            <w:tcW w:w="1560" w:type="dxa"/>
            <w:vAlign w:val="bottom"/>
          </w:tcPr>
          <w:p>
            <w:pPr>
              <w:ind w:left="140"/>
              <w:spacing w:after="0"/>
              <w:rPr>
                <w:sz w:val="20"/>
                <w:szCs w:val="20"/>
                <w:color w:val="auto"/>
              </w:rPr>
            </w:pPr>
            <w:r>
              <w:rPr>
                <w:rFonts w:ascii="Courier New" w:cs="Courier New" w:eastAsia="Courier New" w:hAnsi="Courier New"/>
                <w:sz w:val="16"/>
                <w:szCs w:val="16"/>
                <w:color w:val="auto"/>
              </w:rPr>
              <w:t>and Assumed</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Percentage of</w:t>
            </w:r>
          </w:p>
        </w:tc>
      </w:tr>
      <w:tr>
        <w:trPr>
          <w:trHeight w:val="186"/>
        </w:trPr>
        <w:tc>
          <w:tcPr>
            <w:tcW w:w="2180" w:type="dxa"/>
            <w:vAlign w:val="bottom"/>
          </w:tcPr>
          <w:p>
            <w:pPr>
              <w:spacing w:after="0"/>
              <w:rPr>
                <w:sz w:val="16"/>
                <w:szCs w:val="16"/>
                <w:color w:val="auto"/>
              </w:rPr>
            </w:pPr>
          </w:p>
        </w:tc>
        <w:tc>
          <w:tcPr>
            <w:tcW w:w="3000" w:type="dxa"/>
            <w:vAlign w:val="bottom"/>
          </w:tcPr>
          <w:p>
            <w:pPr>
              <w:ind w:left="1700"/>
              <w:spacing w:after="0"/>
              <w:rPr>
                <w:sz w:val="20"/>
                <w:szCs w:val="20"/>
                <w:color w:val="auto"/>
              </w:rPr>
            </w:pPr>
            <w:r>
              <w:rPr>
                <w:rFonts w:ascii="Courier New" w:cs="Courier New" w:eastAsia="Courier New" w:hAnsi="Courier New"/>
                <w:sz w:val="16"/>
                <w:szCs w:val="16"/>
                <w:color w:val="auto"/>
              </w:rPr>
              <w:t>Notes</w:t>
            </w:r>
          </w:p>
        </w:tc>
        <w:tc>
          <w:tcPr>
            <w:tcW w:w="1660" w:type="dxa"/>
            <w:vAlign w:val="bottom"/>
          </w:tcPr>
          <w:p>
            <w:pPr>
              <w:ind w:left="140"/>
              <w:spacing w:after="0"/>
              <w:rPr>
                <w:sz w:val="20"/>
                <w:szCs w:val="20"/>
                <w:color w:val="auto"/>
              </w:rPr>
            </w:pPr>
            <w:r>
              <w:rPr>
                <w:rFonts w:ascii="Courier New" w:cs="Courier New" w:eastAsia="Courier New" w:hAnsi="Courier New"/>
                <w:sz w:val="16"/>
                <w:szCs w:val="16"/>
                <w:color w:val="auto"/>
              </w:rPr>
              <w:t>Percentage of</w:t>
            </w:r>
          </w:p>
        </w:tc>
        <w:tc>
          <w:tcPr>
            <w:tcW w:w="1540" w:type="dxa"/>
            <w:vAlign w:val="bottom"/>
          </w:tcPr>
          <w:p>
            <w:pPr>
              <w:ind w:left="240"/>
              <w:spacing w:after="0"/>
              <w:rPr>
                <w:sz w:val="20"/>
                <w:szCs w:val="20"/>
                <w:color w:val="auto"/>
              </w:rPr>
            </w:pPr>
            <w:r>
              <w:rPr>
                <w:rFonts w:ascii="Courier New" w:cs="Courier New" w:eastAsia="Courier New" w:hAnsi="Courier New"/>
                <w:sz w:val="16"/>
                <w:szCs w:val="16"/>
                <w:color w:val="auto"/>
              </w:rPr>
              <w:t>Upon</w:t>
            </w:r>
          </w:p>
        </w:tc>
        <w:tc>
          <w:tcPr>
            <w:tcW w:w="1560" w:type="dxa"/>
            <w:vAlign w:val="bottom"/>
          </w:tcPr>
          <w:p>
            <w:pPr>
              <w:ind w:left="140"/>
              <w:spacing w:after="0"/>
              <w:rPr>
                <w:sz w:val="20"/>
                <w:szCs w:val="20"/>
                <w:color w:val="auto"/>
              </w:rPr>
            </w:pPr>
            <w:r>
              <w:rPr>
                <w:rFonts w:ascii="Courier New" w:cs="Courier New" w:eastAsia="Courier New" w:hAnsi="Courier New"/>
                <w:sz w:val="16"/>
                <w:szCs w:val="16"/>
                <w:color w:val="auto"/>
              </w:rPr>
              <w:t>to be Owned</w:t>
            </w:r>
          </w:p>
        </w:tc>
        <w:tc>
          <w:tcPr>
            <w:tcW w:w="14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Common Stock</w:t>
            </w:r>
          </w:p>
        </w:tc>
      </w:tr>
      <w:tr>
        <w:trPr>
          <w:trHeight w:val="186"/>
        </w:trPr>
        <w:tc>
          <w:tcPr>
            <w:tcW w:w="2180" w:type="dxa"/>
            <w:vAlign w:val="bottom"/>
          </w:tcPr>
          <w:p>
            <w:pPr>
              <w:spacing w:after="0"/>
              <w:rPr>
                <w:sz w:val="16"/>
                <w:szCs w:val="16"/>
                <w:color w:val="auto"/>
              </w:rPr>
            </w:pPr>
          </w:p>
        </w:tc>
        <w:tc>
          <w:tcPr>
            <w:tcW w:w="3000" w:type="dxa"/>
            <w:vAlign w:val="bottom"/>
          </w:tcPr>
          <w:p>
            <w:pPr>
              <w:ind w:left="1700"/>
              <w:spacing w:after="0"/>
              <w:rPr>
                <w:sz w:val="20"/>
                <w:szCs w:val="20"/>
                <w:color w:val="auto"/>
              </w:rPr>
            </w:pPr>
            <w:r>
              <w:rPr>
                <w:rFonts w:ascii="Courier New" w:cs="Courier New" w:eastAsia="Courier New" w:hAnsi="Courier New"/>
                <w:sz w:val="16"/>
                <w:szCs w:val="16"/>
                <w:color w:val="auto"/>
              </w:rPr>
              <w:t>Beneficially</w:t>
            </w:r>
          </w:p>
        </w:tc>
        <w:tc>
          <w:tcPr>
            <w:tcW w:w="1660" w:type="dxa"/>
            <w:vAlign w:val="bottom"/>
          </w:tcPr>
          <w:p>
            <w:pPr>
              <w:ind w:left="140"/>
              <w:spacing w:after="0"/>
              <w:rPr>
                <w:sz w:val="20"/>
                <w:szCs w:val="20"/>
                <w:color w:val="auto"/>
              </w:rPr>
            </w:pPr>
            <w:r>
              <w:rPr>
                <w:rFonts w:ascii="Courier New" w:cs="Courier New" w:eastAsia="Courier New" w:hAnsi="Courier New"/>
                <w:sz w:val="16"/>
                <w:szCs w:val="16"/>
                <w:color w:val="auto"/>
              </w:rPr>
              <w:t>Notes</w:t>
            </w:r>
          </w:p>
        </w:tc>
        <w:tc>
          <w:tcPr>
            <w:tcW w:w="1540" w:type="dxa"/>
            <w:vAlign w:val="bottom"/>
          </w:tcPr>
          <w:p>
            <w:pPr>
              <w:ind w:left="240"/>
              <w:spacing w:after="0"/>
              <w:rPr>
                <w:sz w:val="20"/>
                <w:szCs w:val="20"/>
                <w:color w:val="auto"/>
              </w:rPr>
            </w:pPr>
            <w:r>
              <w:rPr>
                <w:rFonts w:ascii="Courier New" w:cs="Courier New" w:eastAsia="Courier New" w:hAnsi="Courier New"/>
                <w:sz w:val="16"/>
                <w:szCs w:val="16"/>
                <w:color w:val="auto"/>
              </w:rPr>
              <w:t>Conversion</w:t>
            </w:r>
          </w:p>
        </w:tc>
        <w:tc>
          <w:tcPr>
            <w:tcW w:w="1560" w:type="dxa"/>
            <w:vAlign w:val="bottom"/>
          </w:tcPr>
          <w:p>
            <w:pPr>
              <w:ind w:left="140"/>
              <w:spacing w:after="0"/>
              <w:rPr>
                <w:sz w:val="20"/>
                <w:szCs w:val="20"/>
                <w:color w:val="auto"/>
              </w:rPr>
            </w:pPr>
            <w:r>
              <w:rPr>
                <w:rFonts w:ascii="Courier New" w:cs="Courier New" w:eastAsia="Courier New" w:hAnsi="Courier New"/>
                <w:sz w:val="16"/>
                <w:szCs w:val="16"/>
                <w:color w:val="auto"/>
              </w:rPr>
              <w:t>Following the</w:t>
            </w:r>
          </w:p>
        </w:tc>
        <w:tc>
          <w:tcPr>
            <w:tcW w:w="14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Outstanding</w:t>
            </w:r>
          </w:p>
        </w:tc>
      </w:tr>
      <w:tr>
        <w:trPr>
          <w:trHeight w:val="186"/>
        </w:trPr>
        <w:tc>
          <w:tcPr>
            <w:tcW w:w="2180" w:type="dxa"/>
            <w:vAlign w:val="bottom"/>
          </w:tcPr>
          <w:p>
            <w:pPr>
              <w:spacing w:after="0"/>
              <w:rPr>
                <w:sz w:val="16"/>
                <w:szCs w:val="16"/>
                <w:color w:val="auto"/>
              </w:rPr>
            </w:pPr>
          </w:p>
        </w:tc>
        <w:tc>
          <w:tcPr>
            <w:tcW w:w="3000" w:type="dxa"/>
            <w:vAlign w:val="bottom"/>
          </w:tcPr>
          <w:p>
            <w:pPr>
              <w:ind w:left="1700"/>
              <w:spacing w:after="0"/>
              <w:rPr>
                <w:sz w:val="20"/>
                <w:szCs w:val="20"/>
                <w:color w:val="auto"/>
              </w:rPr>
            </w:pPr>
            <w:r>
              <w:rPr>
                <w:rFonts w:ascii="Courier New" w:cs="Courier New" w:eastAsia="Courier New" w:hAnsi="Courier New"/>
                <w:sz w:val="16"/>
                <w:szCs w:val="16"/>
                <w:color w:val="auto"/>
              </w:rPr>
              <w:t>Owned and</w:t>
            </w:r>
          </w:p>
        </w:tc>
        <w:tc>
          <w:tcPr>
            <w:tcW w:w="1660" w:type="dxa"/>
            <w:vAlign w:val="bottom"/>
          </w:tcPr>
          <w:p>
            <w:pPr>
              <w:ind w:left="140"/>
              <w:spacing w:after="0"/>
              <w:rPr>
                <w:sz w:val="20"/>
                <w:szCs w:val="20"/>
                <w:color w:val="auto"/>
              </w:rPr>
            </w:pPr>
            <w:r>
              <w:rPr>
                <w:rFonts w:ascii="Courier New" w:cs="Courier New" w:eastAsia="Courier New" w:hAnsi="Courier New"/>
                <w:sz w:val="16"/>
                <w:szCs w:val="16"/>
                <w:color w:val="auto"/>
              </w:rPr>
              <w:t>Outstanding</w:t>
            </w:r>
          </w:p>
        </w:tc>
        <w:tc>
          <w:tcPr>
            <w:tcW w:w="1540" w:type="dxa"/>
            <w:vAlign w:val="bottom"/>
          </w:tcPr>
          <w:p>
            <w:pPr>
              <w:ind w:left="240"/>
              <w:spacing w:after="0"/>
              <w:rPr>
                <w:sz w:val="20"/>
                <w:szCs w:val="20"/>
                <w:color w:val="auto"/>
              </w:rPr>
            </w:pPr>
            <w:r>
              <w:rPr>
                <w:rFonts w:ascii="Courier New" w:cs="Courier New" w:eastAsia="Courier New" w:hAnsi="Courier New"/>
                <w:sz w:val="16"/>
                <w:szCs w:val="16"/>
                <w:color w:val="auto"/>
              </w:rPr>
              <w:t>of the Notes</w:t>
            </w:r>
          </w:p>
        </w:tc>
        <w:tc>
          <w:tcPr>
            <w:tcW w:w="1560" w:type="dxa"/>
            <w:vAlign w:val="bottom"/>
          </w:tcPr>
          <w:p>
            <w:pPr>
              <w:ind w:left="140"/>
              <w:spacing w:after="0"/>
              <w:rPr>
                <w:sz w:val="20"/>
                <w:szCs w:val="20"/>
                <w:color w:val="auto"/>
              </w:rPr>
            </w:pPr>
            <w:r>
              <w:rPr>
                <w:rFonts w:ascii="Courier New" w:cs="Courier New" w:eastAsia="Courier New" w:hAnsi="Courier New"/>
                <w:sz w:val="16"/>
                <w:szCs w:val="16"/>
                <w:color w:val="auto"/>
              </w:rPr>
              <w:t>Offering</w:t>
            </w:r>
          </w:p>
        </w:tc>
        <w:tc>
          <w:tcPr>
            <w:tcW w:w="14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r>
      <w:tr>
        <w:trPr>
          <w:trHeight w:val="186"/>
        </w:trPr>
        <w:tc>
          <w:tcPr>
            <w:tcW w:w="218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3000" w:type="dxa"/>
            <w:vAlign w:val="bottom"/>
          </w:tcPr>
          <w:p>
            <w:pPr>
              <w:ind w:left="1700"/>
              <w:spacing w:after="0"/>
              <w:rPr>
                <w:sz w:val="20"/>
                <w:szCs w:val="20"/>
                <w:color w:val="auto"/>
              </w:rPr>
            </w:pPr>
            <w:r>
              <w:rPr>
                <w:rFonts w:ascii="Courier New" w:cs="Courier New" w:eastAsia="Courier New" w:hAnsi="Courier New"/>
                <w:sz w:val="16"/>
                <w:szCs w:val="16"/>
                <w:color w:val="auto"/>
              </w:rPr>
              <w:t>Offered</w:t>
            </w:r>
          </w:p>
        </w:tc>
        <w:tc>
          <w:tcPr>
            <w:tcW w:w="1660" w:type="dxa"/>
            <w:vAlign w:val="bottom"/>
          </w:tcPr>
          <w:p>
            <w:pPr>
              <w:jc w:val="right"/>
              <w:ind w:right="759"/>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spacing w:after="0"/>
              <w:rPr>
                <w:sz w:val="16"/>
                <w:szCs w:val="16"/>
                <w:color w:val="auto"/>
              </w:rPr>
            </w:pPr>
          </w:p>
        </w:tc>
        <w:tc>
          <w:tcPr>
            <w:tcW w:w="1400" w:type="dxa"/>
            <w:vAlign w:val="bottom"/>
          </w:tcPr>
          <w:p>
            <w:pPr>
              <w:spacing w:after="0"/>
              <w:rPr>
                <w:sz w:val="16"/>
                <w:szCs w:val="16"/>
                <w:color w:val="auto"/>
              </w:rPr>
            </w:pPr>
          </w:p>
        </w:tc>
      </w:tr>
    </w:tbl>
    <w:p>
      <w:pPr>
        <w:spacing w:after="0" w:line="4"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38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44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3880" w:type="dxa"/>
            <w:vAlign w:val="bottom"/>
          </w:tcPr>
          <w:p>
            <w:pPr>
              <w:spacing w:after="0"/>
              <w:rPr>
                <w:sz w:val="20"/>
                <w:szCs w:val="20"/>
                <w:color w:val="auto"/>
              </w:rPr>
            </w:pPr>
            <w:r>
              <w:rPr>
                <w:rFonts w:ascii="Courier New" w:cs="Courier New" w:eastAsia="Courier New" w:hAnsi="Courier New"/>
                <w:sz w:val="16"/>
                <w:szCs w:val="16"/>
                <w:color w:val="auto"/>
              </w:rPr>
              <w:t>Xavex Convertible Arbitrage 4 Fund(13)</w:t>
            </w:r>
          </w:p>
        </w:tc>
        <w:tc>
          <w:tcPr>
            <w:tcW w:w="14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33,000</w:t>
            </w:r>
          </w:p>
        </w:tc>
        <w:tc>
          <w:tcPr>
            <w:tcW w:w="170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3,099</w:t>
            </w:r>
          </w:p>
        </w:tc>
        <w:tc>
          <w:tcPr>
            <w:tcW w:w="1540" w:type="dxa"/>
            <w:vAlign w:val="bottom"/>
          </w:tcPr>
          <w:p>
            <w:pPr>
              <w:ind w:left="440"/>
              <w:spacing w:after="0"/>
              <w:rPr>
                <w:sz w:val="20"/>
                <w:szCs w:val="20"/>
                <w:color w:val="auto"/>
              </w:rPr>
            </w:pPr>
            <w:r>
              <w:rPr>
                <w:rFonts w:ascii="Courier New" w:cs="Courier New" w:eastAsia="Courier New" w:hAnsi="Courier New"/>
                <w:sz w:val="16"/>
                <w:szCs w:val="16"/>
                <w:color w:val="auto"/>
              </w:rPr>
              <w:t>None</w:t>
            </w:r>
          </w:p>
        </w:tc>
        <w:tc>
          <w:tcPr>
            <w:tcW w:w="1400" w:type="dxa"/>
            <w:vAlign w:val="bottom"/>
          </w:tcPr>
          <w:p>
            <w:pPr>
              <w:jc w:val="right"/>
              <w:ind w:right="579"/>
              <w:spacing w:after="0"/>
              <w:rPr>
                <w:sz w:val="20"/>
                <w:szCs w:val="20"/>
                <w:color w:val="auto"/>
              </w:rPr>
            </w:pPr>
            <w:r>
              <w:rPr>
                <w:rFonts w:ascii="Courier New" w:cs="Courier New" w:eastAsia="Courier New" w:hAnsi="Courier New"/>
                <w:sz w:val="16"/>
                <w:szCs w:val="16"/>
                <w:color w:val="auto"/>
              </w:rPr>
              <w:t>-</w:t>
            </w:r>
          </w:p>
        </w:tc>
      </w:tr>
      <w:tr>
        <w:trPr>
          <w:trHeight w:val="186"/>
        </w:trPr>
        <w:tc>
          <w:tcPr>
            <w:tcW w:w="3880" w:type="dxa"/>
            <w:vAlign w:val="bottom"/>
          </w:tcPr>
          <w:p>
            <w:pPr>
              <w:spacing w:after="0"/>
              <w:rPr>
                <w:sz w:val="20"/>
                <w:szCs w:val="20"/>
                <w:color w:val="auto"/>
              </w:rPr>
            </w:pPr>
            <w:r>
              <w:rPr>
                <w:rFonts w:ascii="Courier New" w:cs="Courier New" w:eastAsia="Courier New" w:hAnsi="Courier New"/>
                <w:sz w:val="16"/>
                <w:szCs w:val="16"/>
                <w:color w:val="auto"/>
              </w:rPr>
              <w:t>Zurich Institutional Benchmarks</w:t>
            </w:r>
          </w:p>
        </w:tc>
        <w:tc>
          <w:tcPr>
            <w:tcW w:w="14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6"/>
        </w:trPr>
        <w:tc>
          <w:tcPr>
            <w:tcW w:w="3880" w:type="dxa"/>
            <w:vAlign w:val="bottom"/>
          </w:tcPr>
          <w:p>
            <w:pPr>
              <w:spacing w:after="0"/>
              <w:rPr>
                <w:sz w:val="20"/>
                <w:szCs w:val="20"/>
                <w:color w:val="auto"/>
              </w:rPr>
            </w:pPr>
            <w:r>
              <w:rPr>
                <w:rFonts w:ascii="Courier New" w:cs="Courier New" w:eastAsia="Courier New" w:hAnsi="Courier New"/>
                <w:sz w:val="16"/>
                <w:szCs w:val="16"/>
                <w:color w:val="auto"/>
              </w:rPr>
              <w:t>Master Fund, LTD.(14)</w:t>
            </w:r>
          </w:p>
        </w:tc>
        <w:tc>
          <w:tcPr>
            <w:tcW w:w="14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292,000</w:t>
            </w:r>
          </w:p>
        </w:tc>
        <w:tc>
          <w:tcPr>
            <w:tcW w:w="170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27,419</w:t>
            </w:r>
          </w:p>
        </w:tc>
        <w:tc>
          <w:tcPr>
            <w:tcW w:w="1540" w:type="dxa"/>
            <w:vAlign w:val="bottom"/>
          </w:tcPr>
          <w:p>
            <w:pPr>
              <w:ind w:left="440"/>
              <w:spacing w:after="0"/>
              <w:rPr>
                <w:sz w:val="20"/>
                <w:szCs w:val="20"/>
                <w:color w:val="auto"/>
              </w:rPr>
            </w:pPr>
            <w:r>
              <w:rPr>
                <w:rFonts w:ascii="Courier New" w:cs="Courier New" w:eastAsia="Courier New" w:hAnsi="Courier New"/>
                <w:sz w:val="16"/>
                <w:szCs w:val="16"/>
                <w:color w:val="auto"/>
              </w:rPr>
              <w:t>None</w:t>
            </w:r>
          </w:p>
        </w:tc>
        <w:tc>
          <w:tcPr>
            <w:tcW w:w="1400" w:type="dxa"/>
            <w:vAlign w:val="bottom"/>
          </w:tcPr>
          <w:p>
            <w:pPr>
              <w:jc w:val="right"/>
              <w:ind w:right="579"/>
              <w:spacing w:after="0"/>
              <w:rPr>
                <w:sz w:val="20"/>
                <w:szCs w:val="20"/>
                <w:color w:val="auto"/>
              </w:rPr>
            </w:pPr>
            <w:r>
              <w:rPr>
                <w:rFonts w:ascii="Courier New" w:cs="Courier New" w:eastAsia="Courier New" w:hAnsi="Courier New"/>
                <w:sz w:val="16"/>
                <w:szCs w:val="16"/>
                <w:color w:val="auto"/>
              </w:rPr>
              <w:t>-</w:t>
            </w:r>
          </w:p>
        </w:tc>
      </w:tr>
      <w:tr>
        <w:trPr>
          <w:trHeight w:val="186"/>
        </w:trPr>
        <w:tc>
          <w:tcPr>
            <w:tcW w:w="3880" w:type="dxa"/>
            <w:vAlign w:val="bottom"/>
          </w:tcPr>
          <w:p>
            <w:pPr>
              <w:spacing w:after="0"/>
              <w:rPr>
                <w:sz w:val="20"/>
                <w:szCs w:val="20"/>
                <w:color w:val="auto"/>
              </w:rPr>
            </w:pPr>
            <w:r>
              <w:rPr>
                <w:rFonts w:ascii="Courier New" w:cs="Courier New" w:eastAsia="Courier New" w:hAnsi="Courier New"/>
                <w:sz w:val="16"/>
                <w:szCs w:val="16"/>
                <w:color w:val="auto"/>
              </w:rPr>
              <w:t>Any other holder of Notes or future</w:t>
            </w:r>
          </w:p>
        </w:tc>
        <w:tc>
          <w:tcPr>
            <w:tcW w:w="14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6"/>
        </w:trPr>
        <w:tc>
          <w:tcPr>
            <w:tcW w:w="3880" w:type="dxa"/>
            <w:vAlign w:val="bottom"/>
          </w:tcPr>
          <w:p>
            <w:pPr>
              <w:spacing w:after="0"/>
              <w:rPr>
                <w:sz w:val="20"/>
                <w:szCs w:val="20"/>
                <w:color w:val="auto"/>
              </w:rPr>
            </w:pPr>
            <w:r>
              <w:rPr>
                <w:rFonts w:ascii="Courier New" w:cs="Courier New" w:eastAsia="Courier New" w:hAnsi="Courier New"/>
                <w:sz w:val="16"/>
                <w:szCs w:val="16"/>
                <w:color w:val="auto"/>
              </w:rPr>
              <w:t>transferee, pledgee, donee or</w:t>
            </w:r>
          </w:p>
        </w:tc>
        <w:tc>
          <w:tcPr>
            <w:tcW w:w="14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6"/>
        </w:trPr>
        <w:tc>
          <w:tcPr>
            <w:tcW w:w="3880" w:type="dxa"/>
            <w:vAlign w:val="bottom"/>
          </w:tcPr>
          <w:p>
            <w:pPr>
              <w:spacing w:after="0"/>
              <w:rPr>
                <w:sz w:val="20"/>
                <w:szCs w:val="20"/>
                <w:color w:val="auto"/>
              </w:rPr>
            </w:pPr>
            <w:r>
              <w:rPr>
                <w:rFonts w:ascii="Courier New" w:cs="Courier New" w:eastAsia="Courier New" w:hAnsi="Courier New"/>
                <w:sz w:val="16"/>
                <w:szCs w:val="16"/>
                <w:color w:val="auto"/>
              </w:rPr>
              <w:t>successor of any holder*****</w:t>
            </w:r>
          </w:p>
        </w:tc>
        <w:tc>
          <w:tcPr>
            <w:tcW w:w="14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66,000</w:t>
            </w:r>
          </w:p>
        </w:tc>
        <w:tc>
          <w:tcPr>
            <w:tcW w:w="170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6,197</w:t>
            </w:r>
          </w:p>
        </w:tc>
        <w:tc>
          <w:tcPr>
            <w:tcW w:w="1540" w:type="dxa"/>
            <w:vAlign w:val="bottom"/>
          </w:tcPr>
          <w:p>
            <w:pPr>
              <w:jc w:val="right"/>
              <w:ind w:right="83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579"/>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1" w:right="3760" w:hanging="1"/>
        <w:spacing w:after="0" w:line="247" w:lineRule="auto"/>
        <w:tabs>
          <w:tab w:leader="none" w:pos="485"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Forest Investment Management is the investment advisor to Xavex Convertible Arbitrage 4 Fund with respect to the securities listed on the table. Forest Investment Management is wholly owned by Forest Partners II, the sole General Partner of which is Michael A. Boyd Inc. Michael A. Boyd is the sole owner of Michael A. Boyd Inc.</w:t>
      </w:r>
    </w:p>
    <w:p>
      <w:pPr>
        <w:spacing w:after="0" w:line="185" w:lineRule="exact"/>
        <w:rPr>
          <w:rFonts w:ascii="Courier New" w:cs="Courier New" w:eastAsia="Courier New" w:hAnsi="Courier New"/>
          <w:sz w:val="16"/>
          <w:szCs w:val="16"/>
          <w:color w:val="auto"/>
        </w:rPr>
      </w:pPr>
    </w:p>
    <w:p>
      <w:pPr>
        <w:ind w:left="1" w:right="3760" w:hanging="1"/>
        <w:spacing w:after="0" w:line="246" w:lineRule="auto"/>
        <w:tabs>
          <w:tab w:leader="none" w:pos="485"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TQA Investors, L.L.C. is the investment advisor for Zurich Institutional Benchmarks Master Fund, LTD. with respect to 150,000 of principal amount of the securities listed on the table. Robert Butman, Managing Member of TQA Investors, L.L.C., exercises voting and investment power over such securities. However, Zazove Associates, LLC is the investment advisor to Zurich Institutional Benchmarks Master Fund, LTD. with respect to 2,050,000 of principal amount of the securities listed on the table. Gene T. Prelti exercises investment and voting control on behalf of Zazove Associates, LLC.</w:t>
      </w:r>
    </w:p>
    <w:p>
      <w:pPr>
        <w:spacing w:after="0" w:line="200" w:lineRule="exact"/>
        <w:rPr>
          <w:sz w:val="20"/>
          <w:szCs w:val="20"/>
          <w:color w:val="auto"/>
        </w:rPr>
      </w:pPr>
    </w:p>
    <w:p>
      <w:pPr>
        <w:spacing w:after="0" w:line="364" w:lineRule="exact"/>
        <w:rPr>
          <w:sz w:val="20"/>
          <w:szCs w:val="20"/>
          <w:color w:val="auto"/>
        </w:rPr>
      </w:pPr>
    </w:p>
    <w:p>
      <w:pPr>
        <w:ind w:left="581" w:right="3760" w:hanging="581"/>
        <w:spacing w:after="0" w:line="247" w:lineRule="auto"/>
        <w:tabs>
          <w:tab w:leader="none" w:pos="58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Assumes that any other holders of Notes, or any future transferees, pledgees, donees or successors of or from any such other holders of Notes, do not beneficially own any common stock other than the common stock issuable upon conversion of the Notes at the initial conversion rate.</w:t>
      </w:r>
    </w:p>
    <w:p>
      <w:pPr>
        <w:spacing w:after="0" w:line="200" w:lineRule="exact"/>
        <w:rPr>
          <w:sz w:val="20"/>
          <w:szCs w:val="20"/>
          <w:color w:val="auto"/>
        </w:rPr>
      </w:pPr>
    </w:p>
    <w:p>
      <w:pPr>
        <w:spacing w:after="0" w:line="358"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5</w:t>
      </w:r>
    </w:p>
    <w:sectPr>
      <w:pgSz w:w="11900" w:h="16838" w:orient="portrait"/>
      <w:cols w:equalWidth="0" w:num="1">
        <w:col w:w="11521"/>
      </w:cols>
      <w:pgMar w:left="239" w:top="1049"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6"/>
    </w:lvl>
  </w:abstractNum>
  <w:abstractNum w:abstractNumId="2">
    <w:nsid w:val="2AE8944A"/>
    <w:multiLevelType w:val="hybridMultilevel"/>
    <w:lvl w:ilvl="0">
      <w:lvlJc w:val="left"/>
      <w:lvlText w:val="(%1)"/>
      <w:numFmt w:val="decimal"/>
      <w:start w:val="13"/>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2019-12-11T21:06:24Z</dcterms:created>
  <dcterms:modified xsi:type="dcterms:W3CDTF">2019-12-11T21:06:24Z</dcterms:modified>
</cp:coreProperties>
</file>