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18)*</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OCTOBER 29, 1999</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479" w:hanging="852"/>
        <w:spacing w:after="0" w:line="34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1" w:lineRule="exact"/>
        <w:rPr>
          <w:rFonts w:ascii="Courier New" w:cs="Courier New" w:eastAsia="Courier New" w:hAnsi="Courier New"/>
          <w:sz w:val="18"/>
          <w:szCs w:val="18"/>
          <w:color w:val="auto"/>
        </w:rPr>
      </w:pPr>
    </w:p>
    <w:p>
      <w:pPr>
        <w:ind w:left="860" w:right="673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7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p>
      <w:pPr>
        <w:ind w:right="1879" w:firstLine="843"/>
        <w:spacing w:after="0" w:line="246" w:lineRule="auto"/>
        <w:rPr>
          <w:sz w:val="20"/>
          <w:szCs w:val="20"/>
          <w:color w:val="auto"/>
        </w:rPr>
      </w:pPr>
      <w:r>
        <w:rPr>
          <w:rFonts w:ascii="Courier New" w:cs="Courier New" w:eastAsia="Courier New" w:hAnsi="Courier New"/>
          <w:sz w:val="18"/>
          <w:szCs w:val="18"/>
          <w:color w:val="auto"/>
        </w:rPr>
        <w:t>Designs is retaining Jewelcor Management, Inc. ("JMI") to assist the Company in the development and implementation of a strategic plan for the Company, as well as other related consulting services, as may be agreed upon, on terms consistent with those prevailing in the market as confirmed by independent consultants and ratified by the Board of Directors. JMI has agreed to accept a portion of its compensation for its consulting services in the form of options to purchase Common Stock, up to a maximum of 400,000 shares, at a price equal to the closing market price of the Common Stock on October 28, 1999 which options shall be exercisable at any time, or from time to time, beginning on the day after the Company's Shareholder Rights Agreement is terminated and through the last day of the thirtieth month from and after the date of the grant. The compensation otherwise to be paid to JMI for its consulting services to the Company shall be reduced by the fair market value of the options so received by JMI. The terms of JMI's consulting services to the Company shall be reflected in a definitive agreement.</w:t>
      </w:r>
    </w:p>
    <w:p>
      <w:pPr>
        <w:spacing w:after="0" w:line="106" w:lineRule="exact"/>
        <w:rPr>
          <w:sz w:val="20"/>
          <w:szCs w:val="20"/>
          <w:color w:val="auto"/>
        </w:rPr>
      </w:pPr>
    </w:p>
    <w:p>
      <w:pPr>
        <w:ind w:right="1879" w:firstLine="737"/>
        <w:spacing w:after="0" w:line="274" w:lineRule="auto"/>
        <w:rPr>
          <w:sz w:val="20"/>
          <w:szCs w:val="20"/>
          <w:color w:val="auto"/>
        </w:rPr>
      </w:pPr>
      <w:r>
        <w:rPr>
          <w:rFonts w:ascii="Courier New" w:cs="Courier New" w:eastAsia="Courier New" w:hAnsi="Courier New"/>
          <w:sz w:val="18"/>
          <w:szCs w:val="18"/>
          <w:color w:val="auto"/>
        </w:rPr>
        <w:t>JMI has agreed to accept $400,000 of expense reimbursement in connection with JMI's recent proxy solicitation in the form of shares of Common Stock, valued at the closing price on October 28, 1999 and payable after the termination of the Company's Shareholders Rights Agreement.</w:t>
      </w:r>
    </w:p>
    <w:p>
      <w:pPr>
        <w:spacing w:after="0" w:line="82" w:lineRule="exact"/>
        <w:rPr>
          <w:sz w:val="20"/>
          <w:szCs w:val="20"/>
          <w:color w:val="auto"/>
        </w:rPr>
      </w:pPr>
    </w:p>
    <w:p>
      <w:pPr>
        <w:ind w:right="1879" w:firstLine="843"/>
        <w:spacing w:after="0" w:line="344" w:lineRule="auto"/>
        <w:rPr>
          <w:sz w:val="20"/>
          <w:szCs w:val="20"/>
          <w:color w:val="auto"/>
        </w:rPr>
      </w:pPr>
      <w:r>
        <w:rPr>
          <w:rFonts w:ascii="Courier New" w:cs="Courier New" w:eastAsia="Courier New" w:hAnsi="Courier New"/>
          <w:sz w:val="16"/>
          <w:szCs w:val="16"/>
          <w:color w:val="auto"/>
        </w:rPr>
        <w:t>Also, JMI has been authorized by the Company to receive all information provided to the Board of Directors and to have its representative, Seymour Holtzman, attend all meetings of the Board of Directors.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October 29,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2019-12-20T13:41:55Z</dcterms:created>
  <dcterms:modified xsi:type="dcterms:W3CDTF">2019-12-20T13:41:55Z</dcterms:modified>
</cp:coreProperties>
</file>