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20,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3"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3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Casual Male Retail Group,</w:t>
      </w:r>
    </w:p>
    <w:p>
      <w:pPr>
        <w:ind w:left="2540"/>
        <w:spacing w:after="0" w:line="238" w:lineRule="auto"/>
        <w:rPr>
          <w:sz w:val="20"/>
          <w:szCs w:val="20"/>
          <w:color w:val="auto"/>
        </w:rPr>
      </w:pPr>
      <w:r>
        <w:rPr>
          <w:rFonts w:ascii="Courier New" w:cs="Courier New" w:eastAsia="Courier New" w:hAnsi="Courier New"/>
          <w:sz w:val="18"/>
          <w:szCs w:val="18"/>
          <w:color w:val="auto"/>
        </w:rPr>
        <w:t>Inc.'s First Quarter Fiscal 2004 Results and CMRG's</w:t>
      </w:r>
    </w:p>
    <w:p>
      <w:pPr>
        <w:ind w:left="3380"/>
        <w:spacing w:after="0"/>
        <w:rPr>
          <w:sz w:val="20"/>
          <w:szCs w:val="20"/>
          <w:color w:val="auto"/>
        </w:rPr>
      </w:pPr>
      <w:r>
        <w:rPr>
          <w:rFonts w:ascii="Courier New" w:cs="Courier New" w:eastAsia="Courier New" w:hAnsi="Courier New"/>
          <w:sz w:val="18"/>
          <w:szCs w:val="18"/>
          <w:color w:val="auto"/>
        </w:rPr>
        <w:t>announcement of the sale of its interest in Ecko</w:t>
      </w:r>
    </w:p>
    <w:p>
      <w:pPr>
        <w:ind w:left="3380"/>
        <w:spacing w:after="0" w:line="237" w:lineRule="auto"/>
        <w:rPr>
          <w:sz w:val="20"/>
          <w:szCs w:val="20"/>
          <w:color w:val="auto"/>
        </w:rPr>
      </w:pPr>
      <w:r>
        <w:rPr>
          <w:rFonts w:ascii="Courier New" w:cs="Courier New" w:eastAsia="Courier New" w:hAnsi="Courier New"/>
          <w:sz w:val="18"/>
          <w:szCs w:val="18"/>
          <w:color w:val="auto"/>
        </w:rPr>
        <w:t>retail stores.</w:t>
      </w:r>
    </w:p>
    <w:p>
      <w:pPr>
        <w:spacing w:after="0" w:line="202"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May 20, 2004, Casual Male Retail Group, Inc. (the "Company") issued</w:t>
      </w:r>
    </w:p>
    <w:p>
      <w:pPr>
        <w:spacing w:after="0" w:line="4"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 press release announcing operating results for the first quarter of fiscal 2004, which ended on May 1, 2004. In addition, the Company announced that on May 19, 2004, the Company signed a sale agreement with Ecko.Complex, LLC to sell its 50.5% joint venture interest in the Ecko Unltd. (r) outlet and full-price stores to Ecko. Complex, LLC.</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press release is attached hereto as Exhibit 99.1 and is incorporated by reference herein.</w:t>
      </w:r>
    </w:p>
    <w:p>
      <w:pPr>
        <w:sectPr>
          <w:pgSz w:w="11900" w:h="16853" w:orient="portrait"/>
          <w:cols w:equalWidth="0" w:num="1">
            <w:col w:w="10219"/>
          </w:cols>
          <w:pgMar w:left="240" w:top="447"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20, 2004</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CASUAL MALE RETAIL GROUP INC. ANNOUNCES FIRST QUARTER</w:t>
      </w:r>
    </w:p>
    <w:p>
      <w:pPr>
        <w:ind w:left="2440"/>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2" w:lineRule="exact"/>
        <w:rPr>
          <w:sz w:val="20"/>
          <w:szCs w:val="20"/>
          <w:color w:val="auto"/>
        </w:rPr>
      </w:pPr>
    </w:p>
    <w:p>
      <w:pPr>
        <w:jc w:val="center"/>
        <w:ind w:right="2399"/>
        <w:spacing w:after="0"/>
        <w:tabs>
          <w:tab w:leader="none" w:pos="200" w:val="left"/>
        </w:tabs>
        <w:rPr>
          <w:sz w:val="20"/>
          <w:szCs w:val="20"/>
          <w:color w:val="auto"/>
        </w:rPr>
      </w:pPr>
      <w:r>
        <w:rPr>
          <w:rFonts w:ascii="Courier New" w:cs="Courier New" w:eastAsia="Courier New" w:hAnsi="Courier New"/>
          <w:sz w:val="18"/>
          <w:szCs w:val="18"/>
          <w:color w:val="auto"/>
        </w:rPr>
        <w:t>~ CMRG sells its interest in the Ecko Unltd.(r)</w:t>
      </w:r>
      <w:r>
        <w:rPr>
          <w:sz w:val="20"/>
          <w:szCs w:val="20"/>
          <w:color w:val="auto"/>
        </w:rPr>
        <w:tab/>
      </w:r>
      <w:r>
        <w:rPr>
          <w:rFonts w:ascii="Courier New" w:cs="Courier New" w:eastAsia="Courier New" w:hAnsi="Courier New"/>
          <w:sz w:val="16"/>
          <w:szCs w:val="16"/>
          <w:color w:val="auto"/>
        </w:rPr>
        <w:t>retail stores ~</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CANTON, MA (May 20, 2004) -- Casual Male Retail Group, Inc. (NASDAQ/NMS: "CMRG"), retail brand operator of Casual Male Big &amp; Tall, and the exclusive retailer of the Comfort Zone by George Foreman(tm), GF Sport by George Foreman(tm) and Signature Collection by George Foreman(tm), today announced its operating results for the first quarter of fiscal 2004 of a net loss of $5.1 million, or $0.15 per share, compared to a net loss of $2.8 million, or $0.08 per share, for the first quarter of 2003, as more fully described below.</w:t>
      </w:r>
    </w:p>
    <w:p>
      <w:pPr>
        <w:spacing w:after="0" w:line="212"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For the first quarter of fiscal 2004, the Company reported a loss from continuing operations of $4.1 million, or $0.12 per share, compared to a loss from continuing operations of $2.6 million, or $0.07 per share. Assuming a normalized tax rate of 37% for fiscal 2004, the adjusted loss from continuing operations for the first quarter of 2004 was $0.07 per share as compared to an adjusted loss from continuing operations of $0.05 per share last year. Casual Male Big &amp; Tall sales for the first quarter of fiscal 2004 were approximately $78.1 million compared to the prior year's first quarter of $72.8 million. Casual Male Big &amp; Tall comparable store sales for the first quarter of fiscal 2004 increased 9.2%. The Company's loss widened during the quarter primarily due to the approximately $3.4 million of marketing expenses spent on the national advertising launch of its George Foreman line of clothing.</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Also during the first quarter of 2004, the Company recorded a loss from discontinued operations of approximately $1.0 million, or $0.03 per share, related to the acceleration of plans to close and the closing of several Levi's(r)/Dockers(r) outlet stores. The Company anticipates that at the end of 2004, the Levi's(r)/Dockers(r) business will generate sufficient operating income, together with previously established reserves to fund the planned closings of approximately 25-30 Levi's(r)/Dockers(r) stores.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first quarter of 2004 represents a very significant milestone as comparable store sales achieved levels which have never been accomplished at Casual Male in the past decade. Key improvements in Casual Male's merchandise assortments as part of our overall key merchandising initiatives, as well as the successful national launch of the Comfort Zone by George Foreman(tm) line of clothing produced a dramatic turnaround in Casual Male's sales trends," stated David A. Levin, President and Chief Executive Officer of CMRG. We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aggressively expanding all three George Foreman lines of clothing for</w:t>
      </w:r>
    </w:p>
    <w:p>
      <w:pPr>
        <w:spacing w:after="0" w:line="238" w:lineRule="auto"/>
        <w:rPr>
          <w:sz w:val="20"/>
          <w:szCs w:val="20"/>
          <w:color w:val="auto"/>
        </w:rPr>
      </w:pPr>
      <w:r>
        <w:rPr>
          <w:rFonts w:ascii="Courier New" w:cs="Courier New" w:eastAsia="Courier New" w:hAnsi="Courier New"/>
          <w:sz w:val="18"/>
          <w:szCs w:val="18"/>
          <w:color w:val="auto"/>
        </w:rPr>
        <w:t>Fall 2004 and we are confident that Casual Male comparable store sales will</w:t>
      </w:r>
    </w:p>
    <w:p>
      <w:pPr>
        <w:spacing w:after="0"/>
        <w:rPr>
          <w:sz w:val="20"/>
          <w:szCs w:val="20"/>
          <w:color w:val="auto"/>
        </w:rPr>
      </w:pPr>
      <w:r>
        <w:rPr>
          <w:rFonts w:ascii="Courier New" w:cs="Courier New" w:eastAsia="Courier New" w:hAnsi="Courier New"/>
          <w:sz w:val="18"/>
          <w:szCs w:val="18"/>
          <w:color w:val="auto"/>
        </w:rPr>
        <w:t>continue to perform at strong single digit levels for the balance of 2004."</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incremental marketing expenditure in the first quarter represents a critical strategic investment for the Company's long term goal of increasing its market share and brand awareness in the men's big and tall market and is not a departure from the Company's keen focus on cost controls. Due to the investment in the Casual Male and George Foreman brands made in the first quarter, the Company's incremental increase in SG&amp;A of 17% in the first quarter over last year includes approximately 70% of this year's anticipated increase in marketing expenditures and while the Company anticipates an overall 5-7% increase in SG&amp;A for 2004, the first quarter results of an adjusted loss from continuing operations of $0.07 per share versus an adjusted loss from continuing operations of $0.05 per share a year ago reflects this marketing investment," added Dennis R. Hernreich, Executive Vice President and COO/CFO of CMRG. "In addition, Casual Male's gross margin for 2004 is expected to improve from the prior year by between 100-150 basis points for the year in spite of the 80 basis point drop in the first quarter. Gross margins are strong in most of Casual Male's merchandise assortments, particularly the George Foreman lines, and only markdowns taken in young men's and active wear seasonal categories resulted in lower gross margins during the first quarter."</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also announced the sale of its 50.5% joint venture interest in the Ecko Unltd.(r) outlet and full price retail stores, to its 49.5% partner Ecko.Complex, LLC. In connection with the sale, the Company shall receive a cash payment totaling $8 million, an amount which approximates twice its investment in the joint venture. The sale agreement was entered into on May 19, 2004 and is expected to close prior to the end of the second quarter of fiscal 2004. "The sale of our interests in the Ecko Unltd.(r) retail stores will allow</w:t>
      </w:r>
    </w:p>
    <w:p>
      <w:pPr>
        <w:sectPr>
          <w:pgSz w:w="11900" w:h="16838" w:orient="portrait"/>
          <w:cols w:equalWidth="0" w:num="1">
            <w:col w:w="10219"/>
          </w:cols>
          <w:pgMar w:left="240" w:top="136" w:right="1440" w:bottom="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the Company to devote its resources towards its primary Casual Male business. We will continue to offer the Ecko Unltd.(r), the largest urban lifestyle brand In the country, merchandise assortments in our Casual Male Big &amp; Tall stores as a staple of our young men's lifestyle," stated Mr. Levin.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following table reflects operating results by segment for the Company's first quarter of fiscal 2004 and for the prior first quarter of fiscal 2003. These segment results have been prepared on a basis consistent with the presentation in the Company's recent Form 10-K and Form 10-Q filings.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For the three months ended:</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May 1,</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2004</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8"/>
                <w:szCs w:val="18"/>
                <w:color w:val="auto"/>
                <w:w w:val="97"/>
              </w:rPr>
              <w:t>May 3, 2003</w:t>
            </w:r>
          </w:p>
        </w:tc>
        <w:tc>
          <w:tcPr>
            <w:tcW w:w="10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10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Casual</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Branded</w:t>
            </w:r>
          </w:p>
        </w:tc>
        <w:tc>
          <w:tcPr>
            <w:tcW w:w="1120" w:type="dxa"/>
            <w:vAlign w:val="bottom"/>
          </w:tcPr>
          <w:p>
            <w:pPr>
              <w:spacing w:after="0"/>
              <w:rPr>
                <w:sz w:val="17"/>
                <w:szCs w:val="17"/>
                <w:color w:val="auto"/>
              </w:rPr>
            </w:pP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Casual</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Branded</w:t>
            </w:r>
          </w:p>
        </w:tc>
        <w:tc>
          <w:tcPr>
            <w:tcW w:w="10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Male</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Apparel</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Combined</w:t>
            </w:r>
          </w:p>
        </w:tc>
        <w:tc>
          <w:tcPr>
            <w:tcW w:w="3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Male</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Apparel</w:t>
            </w:r>
          </w:p>
        </w:tc>
        <w:tc>
          <w:tcPr>
            <w:tcW w:w="1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Business</w:t>
            </w:r>
          </w:p>
        </w:tc>
        <w:tc>
          <w:tcPr>
            <w:tcW w:w="1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78.1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25.7</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  103.8</w:t>
            </w:r>
          </w:p>
        </w:tc>
        <w:tc>
          <w:tcPr>
            <w:tcW w:w="360" w:type="dxa"/>
            <w:vAlign w:val="bottom"/>
          </w:tcPr>
          <w:p>
            <w:pPr>
              <w:ind w:left="14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72.8</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19.5</w:t>
            </w: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$ 92.3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net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occupancy</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37.3</w:t>
            </w:r>
          </w:p>
        </w:tc>
        <w:tc>
          <w:tcPr>
            <w:tcW w:w="3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rate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37.0</w:t>
            </w:r>
          </w:p>
        </w:tc>
        <w:tc>
          <w:tcPr>
            <w:tcW w:w="3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w:t>
            </w:r>
          </w:p>
        </w:tc>
        <w:tc>
          <w:tcPr>
            <w:tcW w:w="3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(2.2)</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0.2</w:t>
            </w:r>
          </w:p>
        </w:tc>
      </w:tr>
      <w:tr>
        <w:trPr>
          <w:trHeight w:val="203"/>
        </w:trPr>
        <w:tc>
          <w:tcPr>
            <w:tcW w:w="190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which is a non-GAAP measure. Normalized tax basis reflects a 37% effective tax rate on the pre-tax loss. The Company believes that the inclusion of such non-GAAP measure helps investors to gain a better understanding of the Company's performance, especially when comparing such results to previous periods or forecasts. However, the non-GAAP financial measures included in this press release are not meant to be considered superior to or as a substitute for results of operations prepared in accordance with GAAP. The following table shows the reconciliation of the loss from continuing operations on a GAAP basis effected for the adjustment for normalized taxes: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320" w:type="dxa"/>
            <w:vAlign w:val="bottom"/>
          </w:tcPr>
          <w:p>
            <w:pPr>
              <w:spacing w:after="0"/>
              <w:rPr>
                <w:sz w:val="17"/>
                <w:szCs w:val="17"/>
                <w:color w:val="auto"/>
              </w:rPr>
            </w:pPr>
          </w:p>
        </w:tc>
        <w:tc>
          <w:tcPr>
            <w:tcW w:w="22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May 1, 2004</w:t>
            </w:r>
          </w:p>
        </w:tc>
        <w:tc>
          <w:tcPr>
            <w:tcW w:w="780" w:type="dxa"/>
            <w:vAlign w:val="bottom"/>
          </w:tcPr>
          <w:p>
            <w:pPr>
              <w:spacing w:after="0"/>
              <w:rPr>
                <w:sz w:val="17"/>
                <w:szCs w:val="17"/>
                <w:color w:val="auto"/>
              </w:rPr>
            </w:pPr>
          </w:p>
        </w:tc>
        <w:tc>
          <w:tcPr>
            <w:tcW w:w="20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May 3, 2003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 except</w:t>
            </w:r>
          </w:p>
        </w:tc>
        <w:tc>
          <w:tcPr>
            <w:tcW w:w="2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loss per share)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Loss</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Loss</w:t>
            </w:r>
          </w:p>
        </w:tc>
      </w:tr>
      <w:tr>
        <w:trPr>
          <w:trHeight w:val="203"/>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Per</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Share</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2960" w:type="dxa"/>
            <w:vAlign w:val="bottom"/>
          </w:tcPr>
          <w:p>
            <w:pPr>
              <w:spacing w:after="0"/>
              <w:rPr>
                <w:sz w:val="17"/>
                <w:szCs w:val="17"/>
                <w:color w:val="auto"/>
              </w:rPr>
            </w:pPr>
          </w:p>
        </w:tc>
        <w:tc>
          <w:tcPr>
            <w:tcW w:w="2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as reported</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$(0.12)</w:t>
            </w:r>
          </w:p>
        </w:tc>
        <w:tc>
          <w:tcPr>
            <w:tcW w:w="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$(0.07)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assuming normalized tax</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 of 37%</w:t>
            </w:r>
          </w:p>
        </w:tc>
        <w:tc>
          <w:tcPr>
            <w:tcW w:w="320" w:type="dxa"/>
            <w:vAlign w:val="bottom"/>
          </w:tcPr>
          <w:p>
            <w:pPr>
              <w:spacing w:after="0"/>
              <w:rPr>
                <w:sz w:val="17"/>
                <w:szCs w:val="17"/>
                <w:color w:val="auto"/>
              </w:rPr>
            </w:pP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w:t>
            </w:r>
          </w:p>
        </w:tc>
        <w:tc>
          <w:tcPr>
            <w:tcW w:w="14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loss from</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after normalized tax</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$(0.07)</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$(0.05)</w:t>
            </w:r>
          </w:p>
        </w:tc>
      </w:tr>
      <w:tr>
        <w:trPr>
          <w:trHeight w:val="203"/>
        </w:trPr>
        <w:tc>
          <w:tcPr>
            <w:tcW w:w="296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320" w:type="dxa"/>
            <w:vAlign w:val="bottom"/>
          </w:tcPr>
          <w:p>
            <w:pPr>
              <w:spacing w:after="0"/>
              <w:rPr>
                <w:sz w:val="17"/>
                <w:szCs w:val="17"/>
                <w:color w:val="auto"/>
              </w:rPr>
            </w:pP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35.1</w:t>
            </w: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CMRG will conduct a conference call to discuss its first quarter earnings results today at 11:00 a.m. Eastern Time at www.casualmale.com/investor. The call will be archived online within one hour after its completion. Participating in the call will be Seymour Holtzman, Chairman, David Levin, President and Chief Executive Officer and Dennis Hernreich, Executive Vice President, Chief Operating Officer and Chief Financial Officer.</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Commencing in the second quarter of 2004, the Company will provide monthly Casual Male sales and comparable store sales results, and investor conference calls when necessary, so to keep the investor community more promptly informed of the Company's progress.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CMRG, the largest retailer of big and tall men's apparel, operates 487 Casual</w:t>
      </w:r>
    </w:p>
    <w:p>
      <w:pPr>
        <w:sectPr>
          <w:pgSz w:w="11900" w:h="16838" w:orient="portrait"/>
          <w:cols w:equalWidth="0" w:num="1">
            <w:col w:w="10219"/>
          </w:cols>
          <w:pgMar w:left="240" w:top="142" w:right="1440" w:bottom="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Male Big &amp; Tall stores, the Casual Male e-commerce site, Casual Male catalog business, 52 Levi's(r)/Dockers(r) Outlet by Designs stores and 26 Ecko Unltd.(r) outlet and retail stores, pending consummation of the sale discussed above, located throughout the United States and Puerto Rico. The Company is headquartered in Canton, Massachusetts and its common stock is listed on the Nasdaq National Market under the symbol "CMRG."</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2"/>
          </w:tcPr>
          <w:p>
            <w:pPr>
              <w:ind w:left="3160"/>
              <w:spacing w:after="0"/>
              <w:rPr>
                <w:sz w:val="20"/>
                <w:szCs w:val="20"/>
                <w:color w:val="auto"/>
              </w:rPr>
            </w:pPr>
            <w:r>
              <w:rPr>
                <w:rFonts w:ascii="Courier New" w:cs="Courier New" w:eastAsia="Courier New" w:hAnsi="Courier New"/>
                <w:sz w:val="18"/>
                <w:szCs w:val="18"/>
                <w:color w:val="auto"/>
                <w:w w:val="96"/>
              </w:rPr>
              <w:t>(Tables to follow)</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5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CASUAL MALE RETAIL GROUP, INC.</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5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5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For the three months ended</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May 1, 2004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3, 2003</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5"/>
              </w:rPr>
              <w:t>103,812</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92,343</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Cost of goods sold including occupancy</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66,465</w:t>
            </w:r>
          </w:p>
        </w:tc>
        <w:tc>
          <w:tcPr>
            <w:tcW w:w="90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58,256</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3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37,347</w:t>
            </w:r>
          </w:p>
        </w:tc>
        <w:tc>
          <w:tcPr>
            <w:tcW w:w="9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34,087</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3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37,071</w:t>
            </w:r>
          </w:p>
        </w:tc>
        <w:tc>
          <w:tcPr>
            <w:tcW w:w="9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31,884</w:t>
            </w: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2,569</w:t>
            </w:r>
          </w:p>
        </w:tc>
        <w:tc>
          <w:tcPr>
            <w:tcW w:w="9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1,985</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39,640</w:t>
            </w:r>
          </w:p>
        </w:tc>
        <w:tc>
          <w:tcPr>
            <w:tcW w:w="9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33,869</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3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(2,293)</w:t>
            </w:r>
          </w:p>
        </w:tc>
        <w:tc>
          <w:tcPr>
            <w:tcW w:w="9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360" w:type="dxa"/>
            <w:vAlign w:val="bottom"/>
          </w:tcPr>
          <w:p>
            <w:pPr>
              <w:spacing w:after="0"/>
              <w:rPr>
                <w:sz w:val="24"/>
                <w:szCs w:val="24"/>
                <w:color w:val="auto"/>
              </w:rPr>
            </w:pPr>
          </w:p>
        </w:tc>
        <w:tc>
          <w:tcPr>
            <w:tcW w:w="14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2,179</w:t>
            </w:r>
          </w:p>
        </w:tc>
        <w:tc>
          <w:tcPr>
            <w:tcW w:w="90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2,885</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minority interest and income taxes</w:t>
            </w:r>
          </w:p>
        </w:tc>
        <w:tc>
          <w:tcPr>
            <w:tcW w:w="3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(4,472)</w:t>
            </w:r>
          </w:p>
        </w:tc>
        <w:tc>
          <w:tcPr>
            <w:tcW w:w="90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(2,667)</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36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(347)</w:t>
            </w:r>
          </w:p>
        </w:tc>
        <w:tc>
          <w:tcPr>
            <w:tcW w:w="9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360" w:type="dxa"/>
            <w:vAlign w:val="bottom"/>
          </w:tcPr>
          <w:p>
            <w:pPr>
              <w:spacing w:after="0"/>
              <w:rPr>
                <w:sz w:val="24"/>
                <w:szCs w:val="24"/>
                <w:color w:val="auto"/>
              </w:rPr>
            </w:pPr>
          </w:p>
        </w:tc>
        <w:tc>
          <w:tcPr>
            <w:tcW w:w="14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Loss from discontinued operations</w:t>
            </w:r>
          </w:p>
        </w:tc>
        <w:tc>
          <w:tcPr>
            <w:tcW w:w="36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(969)</w:t>
            </w:r>
          </w:p>
        </w:tc>
        <w:tc>
          <w:tcPr>
            <w:tcW w:w="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(160)</w:t>
            </w:r>
          </w:p>
        </w:tc>
      </w:tr>
      <w:tr>
        <w:trPr>
          <w:trHeight w:val="203"/>
        </w:trPr>
        <w:tc>
          <w:tcPr>
            <w:tcW w:w="470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(2,755)</w:t>
            </w:r>
          </w:p>
        </w:tc>
      </w:tr>
      <w:tr>
        <w:trPr>
          <w:trHeight w:val="203"/>
        </w:trPr>
        <w:tc>
          <w:tcPr>
            <w:tcW w:w="4700" w:type="dxa"/>
            <w:vAlign w:val="bottom"/>
          </w:tcPr>
          <w:p>
            <w:pPr>
              <w:spacing w:after="0"/>
              <w:rPr>
                <w:sz w:val="17"/>
                <w:szCs w:val="17"/>
                <w:color w:val="auto"/>
              </w:rPr>
            </w:pP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loss per share - basic and diluted</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3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($0.12)</w:t>
            </w:r>
          </w:p>
        </w:tc>
        <w:tc>
          <w:tcPr>
            <w:tcW w:w="9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3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($0.03)</w:t>
            </w:r>
          </w:p>
        </w:tc>
        <w:tc>
          <w:tcPr>
            <w:tcW w:w="9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3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($0.15)</w:t>
            </w:r>
          </w:p>
        </w:tc>
        <w:tc>
          <w:tcPr>
            <w:tcW w:w="9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Weighted-average number of common shares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36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35,126</w:t>
            </w:r>
          </w:p>
        </w:tc>
        <w:tc>
          <w:tcPr>
            <w:tcW w:w="9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35,754</w:t>
            </w:r>
          </w:p>
        </w:tc>
      </w:tr>
      <w:tr>
        <w:trPr>
          <w:trHeight w:val="608"/>
        </w:trPr>
        <w:tc>
          <w:tcPr>
            <w:tcW w:w="5060" w:type="dxa"/>
            <w:vAlign w:val="bottom"/>
            <w:gridSpan w:val="2"/>
          </w:tcPr>
          <w:p>
            <w:pPr>
              <w:ind w:left="2440"/>
              <w:spacing w:after="0"/>
              <w:rPr>
                <w:sz w:val="20"/>
                <w:szCs w:val="20"/>
                <w:color w:val="auto"/>
              </w:rPr>
            </w:pPr>
            <w:r>
              <w:rPr>
                <w:rFonts w:ascii="Courier New" w:cs="Courier New" w:eastAsia="Courier New" w:hAnsi="Courier New"/>
                <w:sz w:val="18"/>
                <w:szCs w:val="18"/>
                <w:color w:val="auto"/>
                <w:w w:val="96"/>
              </w:rPr>
              <w:t>CASUAL MALE RETAIL GROUP,</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54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5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May 1, 2004 and January 31, 2004</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7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May 1,</w:t>
            </w:r>
          </w:p>
        </w:tc>
        <w:tc>
          <w:tcPr>
            <w:tcW w:w="1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2004</w:t>
            </w:r>
          </w:p>
        </w:tc>
        <w:tc>
          <w:tcPr>
            <w:tcW w:w="900" w:type="dxa"/>
            <w:vAlign w:val="bottom"/>
          </w:tcPr>
          <w:p>
            <w:pPr>
              <w:spacing w:after="0"/>
              <w:rPr>
                <w:sz w:val="17"/>
                <w:szCs w:val="17"/>
                <w:color w:val="auto"/>
              </w:rPr>
            </w:pPr>
          </w:p>
        </w:tc>
        <w:tc>
          <w:tcPr>
            <w:tcW w:w="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8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2,181</w:t>
            </w:r>
          </w:p>
        </w:tc>
        <w:tc>
          <w:tcPr>
            <w:tcW w:w="78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4,179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109,822</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98,673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15,565</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10,831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69,933</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68,345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81,281</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81,306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9,565</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9,408</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$ 288,347</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$ 272,742</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66,553</w:t>
            </w:r>
          </w:p>
        </w:tc>
        <w:tc>
          <w:tcPr>
            <w:tcW w:w="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59,155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15,797</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reserves</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2,945</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122,190</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122,374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4,451</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76,411</w:t>
            </w:r>
          </w:p>
        </w:tc>
        <w:tc>
          <w:tcPr>
            <w:tcW w:w="7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80,841</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$ 288,347</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$ 272,742</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2019-12-11T21:01:15Z</dcterms:created>
  <dcterms:modified xsi:type="dcterms:W3CDTF">2019-12-11T21:01:15Z</dcterms:modified>
</cp:coreProperties>
</file>