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10/01/2013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1720" w:type="dxa"/>
            <w:vAlign w:val="bottom"/>
            <w:gridSpan w:val="3"/>
          </w:tcPr>
          <w:p>
            <w:pPr>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4"/>
              </w:rPr>
              <w:t>Common Stock, $0.01 par value</w:t>
            </w:r>
          </w:p>
        </w:tc>
        <w:tc>
          <w:tcPr>
            <w:tcW w:w="12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10/01/2013</w:t>
            </w: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8"/>
              </w:rPr>
              <w:t>33,333</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6.653</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4"/>
          </w:tcPr>
          <w:p>
            <w:pPr>
              <w:jc w:val="right"/>
              <w:ind w:right="279"/>
              <w:spacing w:after="0"/>
              <w:rPr>
                <w:sz w:val="20"/>
                <w:szCs w:val="20"/>
                <w:color w:val="auto"/>
              </w:rPr>
            </w:pPr>
            <w:r>
              <w:rPr>
                <w:rFonts w:ascii="Arial" w:cs="Arial" w:eastAsia="Arial" w:hAnsi="Arial"/>
                <w:sz w:val="18"/>
                <w:szCs w:val="18"/>
                <w:color w:val="0000FF"/>
              </w:rPr>
              <w:t>623,269</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0000FF"/>
              </w:rPr>
              <w:t>Reporting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0000FF"/>
              </w:rPr>
              <w:t>shares 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4"/>
              </w:rPr>
              <w:t>Common Stock, $0.01 par value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4"/>
            <w:vMerge w:val="restart"/>
          </w:tcPr>
          <w:p>
            <w:pPr>
              <w:jc w:val="right"/>
              <w:ind w:right="319"/>
              <w:spacing w:after="0"/>
              <w:rPr>
                <w:sz w:val="20"/>
                <w:szCs w:val="20"/>
                <w:color w:val="auto"/>
              </w:rPr>
            </w:pPr>
            <w:r>
              <w:rPr>
                <w:rFonts w:ascii="Arial" w:cs="Arial" w:eastAsia="Arial" w:hAnsi="Arial"/>
                <w:sz w:val="18"/>
                <w:szCs w:val="18"/>
                <w:color w:val="0000FF"/>
              </w:rPr>
              <w:t>14,489</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720" w:type="dxa"/>
            <w:vAlign w:val="bottom"/>
            <w:gridSpan w:val="3"/>
          </w:tcPr>
          <w:p>
            <w:pPr>
              <w:spacing w:after="0"/>
              <w:rPr>
                <w:sz w:val="20"/>
                <w:szCs w:val="20"/>
                <w:color w:val="auto"/>
              </w:rPr>
            </w:pPr>
            <w:r>
              <w:rPr>
                <w:rFonts w:ascii="Arial" w:cs="Arial" w:eastAsia="Arial" w:hAnsi="Arial"/>
                <w:sz w:val="18"/>
                <w:szCs w:val="18"/>
                <w:color w:val="0000FF"/>
                <w:w w:val="91"/>
              </w:rPr>
              <w:t>Companys's401(k)Plan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3"/>
            <w:vMerge w:val="restart"/>
          </w:tcPr>
          <w:p>
            <w:pPr>
              <w:spacing w:after="0"/>
              <w:rPr>
                <w:sz w:val="20"/>
                <w:szCs w:val="20"/>
                <w:color w:val="auto"/>
              </w:rPr>
            </w:pPr>
            <w:r>
              <w:rPr>
                <w:rFonts w:ascii="Arial" w:cs="Arial" w:eastAsia="Arial" w:hAnsi="Arial"/>
                <w:sz w:val="18"/>
                <w:szCs w:val="18"/>
                <w:color w:val="0000FF"/>
              </w:rPr>
              <w:t>as stated in Plan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0000FF"/>
              </w:rPr>
              <w:t>Statement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10/1/13</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gridSpan w:val="2"/>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gridSpan w:val="11"/>
          </w:tcPr>
          <w:p>
            <w:pPr>
              <w:ind w:left="7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2660" w:type="dxa"/>
            <w:vAlign w:val="bottom"/>
            <w:gridSpan w:val="6"/>
          </w:tcPr>
          <w:p>
            <w:pPr>
              <w:spacing w:after="0"/>
              <w:rPr>
                <w:sz w:val="20"/>
                <w:szCs w:val="20"/>
                <w:color w:val="auto"/>
              </w:rPr>
            </w:pPr>
            <w:r>
              <w:rPr>
                <w:rFonts w:ascii="Arial" w:cs="Arial" w:eastAsia="Arial" w:hAnsi="Arial"/>
                <w:sz w:val="12"/>
                <w:szCs w:val="12"/>
                <w:b w:val="1"/>
                <w:bCs w:val="1"/>
                <w:color w:val="auto"/>
              </w:rPr>
              <w:t>6. Date Exercisable and   7. Title and</w:t>
            </w:r>
          </w:p>
        </w:tc>
        <w:tc>
          <w:tcPr>
            <w:tcW w:w="580" w:type="dxa"/>
            <w:vAlign w:val="bottom"/>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Amount of</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24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Underlying</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Security (Instr. 3</w:t>
            </w:r>
          </w:p>
        </w:tc>
        <w:tc>
          <w:tcPr>
            <w:tcW w:w="58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3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26, 2013.</w:t>
      </w:r>
    </w:p>
    <w:p>
      <w:pPr>
        <w:spacing w:after="0" w:line="41"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transaction was executed in multiple trades ranging from $6.50 to $6.69.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460" w:type="dxa"/>
            <w:vAlign w:val="bottom"/>
          </w:tcPr>
          <w:p>
            <w:pPr>
              <w:spacing w:after="0" w:line="199" w:lineRule="exact"/>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10/03/2013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2019-12-16T05:21:37Z</dcterms:created>
  <dcterms:modified xsi:type="dcterms:W3CDTF">2019-12-16T05:21:37Z</dcterms:modified>
</cp:coreProperties>
</file>