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615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15886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404"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Cooney John F</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0000FF"/>
              </w:rPr>
              <w:t>SVP, Chief Accounting Officer</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40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2"/>
                <w:szCs w:val="12"/>
                <w:color w:val="auto"/>
              </w:rPr>
            </w:pPr>
          </w:p>
        </w:tc>
        <w:tc>
          <w:tcPr>
            <w:tcW w:w="19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right"/>
              <w:ind w:righ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jc w:val="center"/>
              <w:ind w:left="798"/>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Pr>
          <w:p>
            <w:pPr>
              <w:spacing w:after="0"/>
              <w:rPr>
                <w:sz w:val="21"/>
                <w:szCs w:val="21"/>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1,731</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74,073</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Pr>
          <w:p>
            <w:pPr>
              <w:spacing w:after="0"/>
              <w:rPr>
                <w:sz w:val="21"/>
                <w:szCs w:val="21"/>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1,979</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76,052</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Pr>
          <w:p>
            <w:pPr>
              <w:spacing w:after="0"/>
              <w:rPr>
                <w:sz w:val="21"/>
                <w:szCs w:val="21"/>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2,447</w:t>
            </w: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78,499</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1,731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1,731</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1,730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1,979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1,979</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3,957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2,447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2,447</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7,341</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23,801</w:t>
            </w:r>
            <w:r>
              <w:rPr>
                <w:rFonts w:ascii="Times New Roman" w:cs="Times New Roman" w:eastAsia="Times New Roman" w:hAnsi="Times New Roman"/>
                <w:sz w:val="20"/>
                <w:szCs w:val="20"/>
                <w:color w:val="008000"/>
                <w:w w:val="97"/>
                <w:vertAlign w:val="superscript"/>
              </w:rPr>
              <w:t>(1)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23,801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23,801</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jc w:val="right"/>
              <w:ind w:right="11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(6)</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25,861</w:t>
            </w:r>
            <w:r>
              <w:rPr>
                <w:rFonts w:ascii="Times New Roman" w:cs="Times New Roman" w:eastAsia="Times New Roman" w:hAnsi="Times New Roman"/>
                <w:sz w:val="20"/>
                <w:szCs w:val="20"/>
                <w:color w:val="008000"/>
                <w:w w:val="97"/>
                <w:vertAlign w:val="superscript"/>
              </w:rPr>
              <w:t>(1)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25,861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25,861</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jc w:val="right"/>
              <w:ind w:right="11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-2987675</wp:posOffset>
            </wp:positionV>
            <wp:extent cx="28575" cy="299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9933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as defined in the Company's 2016 Incentive Compensation Plan, represents a contingent right to receive one share of DXLG common stock</w:t>
      </w:r>
    </w:p>
    <w:p>
      <w:pPr>
        <w:spacing w:after="0" w:line="48" w:lineRule="exact"/>
        <w:rPr>
          <w:rFonts w:ascii="Times New Roman" w:cs="Times New Roman" w:eastAsia="Times New Roman" w:hAnsi="Times New Roman"/>
          <w:sz w:val="12"/>
          <w:szCs w:val="12"/>
          <w:color w:val="008000"/>
        </w:rPr>
      </w:pPr>
    </w:p>
    <w:p>
      <w:pPr>
        <w:ind w:left="40" w:right="3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for time-based compensation granted to the Reporting Person on April 9, 2022 under the 2022-2024 Long-Term Incentive Plan. The remaining RSUs vest and become exercisable on April 1, 2026.</w:t>
      </w:r>
    </w:p>
    <w:p>
      <w:pPr>
        <w:ind w:left="40" w:right="1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May 1, 2023. The remaining RSUs vest and become exercisable on April 1, 2026 and April 1, 2027.</w:t>
      </w:r>
    </w:p>
    <w:p>
      <w:pPr>
        <w:ind w:left="40" w:right="2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performance-based compensation to the Reporting Person on April 1, 2025 based on the Company's performance over the applicable performance period under the 2022-2024 Long-Term Incentive Plan. The RSUs vest and become exercisable on August 31, 2025.</w:t>
      </w:r>
    </w:p>
    <w:p>
      <w:pPr>
        <w:ind w:left="40" w:right="22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remaining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John F. Cooney</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4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413"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2025-04-03T16:35:47Z</dcterms:created>
  <dcterms:modified xsi:type="dcterms:W3CDTF">2025-04-03T16:35:47Z</dcterms:modified>
</cp:coreProperties>
</file>