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148711104</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business group of UBS AG (see Item 7)</w:t>
      </w:r>
    </w:p>
    <w:p>
      <w:pPr>
        <w:spacing w:after="0" w:line="170"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2,148,048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2,528,671</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2,528,671</w:t>
      </w:r>
      <w:r>
        <w:rPr>
          <w:sz w:val="20"/>
          <w:szCs w:val="20"/>
          <w:color w:val="auto"/>
        </w:rPr>
        <w:tab/>
      </w:r>
      <w:r>
        <w:rPr>
          <w:rFonts w:ascii="Courier New" w:cs="Courier New" w:eastAsia="Courier New" w:hAnsi="Courier New"/>
          <w:sz w:val="16"/>
          <w:szCs w:val="16"/>
          <w:color w:val="auto"/>
        </w:rPr>
        <w:t>shares*</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319"/>
        <w:spacing w:after="0" w:line="271" w:lineRule="auto"/>
        <w:rPr>
          <w:sz w:val="20"/>
          <w:szCs w:val="20"/>
          <w:color w:val="auto"/>
        </w:rPr>
      </w:pPr>
      <w:r>
        <w:rPr>
          <w:rFonts w:ascii="Courier New" w:cs="Courier New" w:eastAsia="Courier New" w:hAnsi="Courier New"/>
          <w:sz w:val="16"/>
          <w:szCs w:val="16"/>
          <w:color w:val="auto"/>
        </w:rPr>
        <w:t>UBS AG disclaims beneficial ownership of such securities pursuant to Rule 13d-4 under the Securities Exchange Act of 1934. In accordance with SEC Release No. 34-39538 (January 12, 1998), this filing reflects the securities beneficially owned by the UBS Global Asset Management business group of UBS AG and its subsidiaries and affiliates on behalf of its clients. This filing does not reflect securities, if any, beneficially owned by any other division or business group of UBS AG.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spacing w:after="0" w:line="201"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2,133,948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2,514,571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2,514,571 shares*</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6.1%</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4319"/>
        <w:spacing w:after="0" w:line="271" w:lineRule="auto"/>
        <w:rPr>
          <w:sz w:val="20"/>
          <w:szCs w:val="20"/>
          <w:color w:val="auto"/>
        </w:rPr>
      </w:pPr>
      <w:r>
        <w:rPr>
          <w:rFonts w:ascii="Courier New" w:cs="Courier New" w:eastAsia="Courier New" w:hAnsi="Courier New"/>
          <w:sz w:val="16"/>
          <w:szCs w:val="16"/>
          <w:color w:val="auto"/>
        </w:rPr>
        <w:t>UBS Americas Inc. disclaims beneficial ownership of such securities pursuant to Rule 13d-4 under the Securities Exchange Act of 1934. In accordance with SEC Release No. 34-39538 (January 12, 1998), this filing reflects the securities beneficially owned by the UBS Global Asset Management business group of UBS AG and its subsidiaries and affiliates on behalf of its clients.</w:t>
      </w:r>
    </w:p>
    <w:p>
      <w:pPr>
        <w:sectPr>
          <w:pgSz w:w="11900" w:h="16838" w:orient="portrait"/>
          <w:cols w:equalWidth="0" w:num="1">
            <w:col w:w="10219"/>
          </w:cols>
          <w:pgMar w:left="240" w:top="142" w:right="1440" w:bottom="0" w:gutter="0" w:footer="0" w:header="0"/>
        </w:sectPr>
      </w:pPr>
    </w:p>
    <w:bookmarkStart w:id="2" w:name="page3"/>
    <w:bookmarkEnd w:id="2"/>
    <w:p>
      <w:pPr>
        <w:ind w:right="4739"/>
        <w:spacing w:after="0" w:line="236" w:lineRule="auto"/>
        <w:rPr>
          <w:sz w:val="20"/>
          <w:szCs w:val="20"/>
          <w:color w:val="auto"/>
        </w:rPr>
      </w:pPr>
      <w:r>
        <w:rPr>
          <w:rFonts w:ascii="Courier New" w:cs="Courier New" w:eastAsia="Courier New" w:hAnsi="Courier New"/>
          <w:sz w:val="18"/>
          <w:szCs w:val="18"/>
          <w:color w:val="auto"/>
        </w:rPr>
        <w:t>This filing does not reflect securities, if any, beneficially owned by any other division or business group of UBS AG.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Asset Management (Americas) Inc.</w:t>
      </w:r>
    </w:p>
    <w:p>
      <w:pPr>
        <w:spacing w:after="0" w:line="238" w:lineRule="auto"/>
        <w:rPr>
          <w:sz w:val="20"/>
          <w:szCs w:val="20"/>
          <w:color w:val="auto"/>
        </w:rPr>
      </w:pPr>
      <w:r>
        <w:rPr>
          <w:rFonts w:ascii="Courier New" w:cs="Courier New" w:eastAsia="Courier New" w:hAnsi="Courier New"/>
          <w:sz w:val="18"/>
          <w:szCs w:val="18"/>
          <w:color w:val="auto"/>
        </w:rPr>
        <w:t>36-3664388</w:t>
      </w:r>
    </w:p>
    <w:p>
      <w:pPr>
        <w:spacing w:after="0" w:line="5"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spacing w:after="0" w:line="4" w:lineRule="exact"/>
        <w:rPr>
          <w:rFonts w:ascii="Courier New" w:cs="Courier New" w:eastAsia="Courier New" w:hAnsi="Courier New"/>
          <w:sz w:val="16"/>
          <w:szCs w:val="16"/>
          <w:color w:val="auto"/>
        </w:rPr>
      </w:pPr>
    </w:p>
    <w:p>
      <w:pPr>
        <w:ind w:right="4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 See Item 8 of attached schedule.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 - Delaware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2,043,648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2,424,271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2,424,271</w:t>
      </w:r>
      <w:r>
        <w:rPr>
          <w:sz w:val="20"/>
          <w:szCs w:val="20"/>
          <w:color w:val="auto"/>
        </w:rPr>
        <w:tab/>
      </w:r>
      <w:r>
        <w:rPr>
          <w:rFonts w:ascii="Courier New" w:cs="Courier New" w:eastAsia="Courier New" w:hAnsi="Courier New"/>
          <w:sz w:val="16"/>
          <w:szCs w:val="16"/>
          <w:color w:val="auto"/>
        </w:rPr>
        <w:t>Shares*</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p>
    <w:p>
      <w:pPr>
        <w:spacing w:after="0" w:line="4"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4619"/>
        <w:spacing w:after="0" w:line="268" w:lineRule="auto"/>
        <w:rPr>
          <w:sz w:val="20"/>
          <w:szCs w:val="20"/>
          <w:color w:val="auto"/>
        </w:rPr>
      </w:pPr>
      <w:r>
        <w:rPr>
          <w:rFonts w:ascii="Courier New" w:cs="Courier New" w:eastAsia="Courier New" w:hAnsi="Courier New"/>
          <w:sz w:val="16"/>
          <w:szCs w:val="16"/>
          <w:color w:val="auto"/>
        </w:rPr>
        <w:t>UBS Global Asset Management (Americas) Inc. disclaims beneficial ownership of such securities pursuant to Rule 13d-4 under the Securities Exchange Act</w:t>
      </w:r>
    </w:p>
    <w:p>
      <w:pPr>
        <w:spacing w:after="0"/>
        <w:tabs>
          <w:tab w:leader="none" w:pos="1040" w:val="left"/>
        </w:tabs>
        <w:rPr>
          <w:sz w:val="20"/>
          <w:szCs w:val="20"/>
          <w:color w:val="auto"/>
        </w:rPr>
      </w:pPr>
      <w:r>
        <w:rPr>
          <w:rFonts w:ascii="Courier New" w:cs="Courier New" w:eastAsia="Courier New" w:hAnsi="Courier New"/>
          <w:sz w:val="18"/>
          <w:szCs w:val="18"/>
          <w:color w:val="auto"/>
        </w:rPr>
        <w:t>of 1934.</w:t>
      </w:r>
      <w:r>
        <w:rPr>
          <w:sz w:val="20"/>
          <w:szCs w:val="20"/>
          <w:color w:val="auto"/>
        </w:rPr>
        <w:tab/>
      </w:r>
      <w:r>
        <w:rPr>
          <w:rFonts w:ascii="Courier New" w:cs="Courier New" w:eastAsia="Courier New" w:hAnsi="Courier New"/>
          <w:sz w:val="16"/>
          <w:szCs w:val="16"/>
          <w:color w:val="auto"/>
        </w:rPr>
        <w:t>In accordance with SEC Release No. 34-39538</w:t>
      </w:r>
    </w:p>
    <w:p>
      <w:pPr>
        <w:spacing w:after="0"/>
        <w:rPr>
          <w:sz w:val="20"/>
          <w:szCs w:val="20"/>
          <w:color w:val="auto"/>
        </w:rPr>
      </w:pPr>
      <w:r>
        <w:rPr>
          <w:rFonts w:ascii="Courier New" w:cs="Courier New" w:eastAsia="Courier New" w:hAnsi="Courier New"/>
          <w:sz w:val="18"/>
          <w:szCs w:val="18"/>
          <w:color w:val="auto"/>
        </w:rPr>
        <w:t>(January 12, 1998), this filing reflects the securities</w:t>
      </w:r>
    </w:p>
    <w:p>
      <w:pPr>
        <w:spacing w:after="0" w:line="237" w:lineRule="auto"/>
        <w:rPr>
          <w:sz w:val="20"/>
          <w:szCs w:val="20"/>
          <w:color w:val="auto"/>
        </w:rPr>
      </w:pPr>
      <w:r>
        <w:rPr>
          <w:rFonts w:ascii="Courier New" w:cs="Courier New" w:eastAsia="Courier New" w:hAnsi="Courier New"/>
          <w:sz w:val="18"/>
          <w:szCs w:val="18"/>
          <w:color w:val="auto"/>
        </w:rPr>
        <w:t>beneficially owned by the UBS Global Asset Management</w:t>
      </w:r>
    </w:p>
    <w:p>
      <w:pPr>
        <w:spacing w:after="0"/>
        <w:rPr>
          <w:sz w:val="20"/>
          <w:szCs w:val="20"/>
          <w:color w:val="auto"/>
        </w:rPr>
      </w:pPr>
      <w:r>
        <w:rPr>
          <w:rFonts w:ascii="Courier New" w:cs="Courier New" w:eastAsia="Courier New" w:hAnsi="Courier New"/>
          <w:sz w:val="18"/>
          <w:szCs w:val="18"/>
          <w:color w:val="auto"/>
        </w:rPr>
        <w:t>business group of UBS AG and its subsidiaries and</w:t>
      </w:r>
    </w:p>
    <w:p>
      <w:pPr>
        <w:spacing w:after="0"/>
        <w:tabs>
          <w:tab w:leader="none" w:pos="4000" w:val="left"/>
        </w:tabs>
        <w:rPr>
          <w:sz w:val="20"/>
          <w:szCs w:val="20"/>
          <w:color w:val="auto"/>
        </w:rPr>
      </w:pPr>
      <w:r>
        <w:rPr>
          <w:rFonts w:ascii="Courier New" w:cs="Courier New" w:eastAsia="Courier New" w:hAnsi="Courier New"/>
          <w:sz w:val="18"/>
          <w:szCs w:val="18"/>
          <w:color w:val="auto"/>
        </w:rPr>
        <w:t>affiliates on behalf of its clients.</w:t>
      </w:r>
      <w:r>
        <w:rPr>
          <w:sz w:val="20"/>
          <w:szCs w:val="20"/>
          <w:color w:val="auto"/>
        </w:rPr>
        <w:tab/>
      </w:r>
      <w:r>
        <w:rPr>
          <w:rFonts w:ascii="Courier New" w:cs="Courier New" w:eastAsia="Courier New" w:hAnsi="Courier New"/>
          <w:sz w:val="16"/>
          <w:szCs w:val="16"/>
          <w:color w:val="auto"/>
        </w:rPr>
        <w:t>This filing</w:t>
      </w:r>
    </w:p>
    <w:p>
      <w:pPr>
        <w:spacing w:after="0"/>
        <w:rPr>
          <w:sz w:val="20"/>
          <w:szCs w:val="20"/>
          <w:color w:val="auto"/>
        </w:rPr>
      </w:pPr>
      <w:r>
        <w:rPr>
          <w:rFonts w:ascii="Courier New" w:cs="Courier New" w:eastAsia="Courier New" w:hAnsi="Courier New"/>
          <w:sz w:val="18"/>
          <w:szCs w:val="18"/>
          <w:color w:val="auto"/>
        </w:rPr>
        <w:t>does not reflect securities, if any, beneficially</w:t>
      </w:r>
    </w:p>
    <w:p>
      <w:pPr>
        <w:spacing w:after="0" w:line="237" w:lineRule="auto"/>
        <w:rPr>
          <w:sz w:val="20"/>
          <w:szCs w:val="20"/>
          <w:color w:val="auto"/>
        </w:rPr>
      </w:pPr>
      <w:r>
        <w:rPr>
          <w:rFonts w:ascii="Courier New" w:cs="Courier New" w:eastAsia="Courier New" w:hAnsi="Courier New"/>
          <w:sz w:val="18"/>
          <w:szCs w:val="18"/>
          <w:color w:val="auto"/>
        </w:rPr>
        <w:t>owned by any other division or business group of 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148711104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02021</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UBS AG, UBS Americas Inc., and UBS Global Asset Management (Americas)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Americas Inc.'s principal business office is:</w:t>
      </w:r>
    </w:p>
    <w:p>
      <w:pPr>
        <w:spacing w:after="0" w:line="238" w:lineRule="auto"/>
        <w:rPr>
          <w:sz w:val="20"/>
          <w:szCs w:val="20"/>
          <w:color w:val="auto"/>
        </w:rPr>
      </w:pPr>
      <w:r>
        <w:rPr>
          <w:rFonts w:ascii="Courier New" w:cs="Courier New" w:eastAsia="Courier New" w:hAnsi="Courier New"/>
          <w:sz w:val="18"/>
          <w:szCs w:val="18"/>
          <w:color w:val="auto"/>
        </w:rPr>
        <w:t>677 Washington Blvd.</w:t>
      </w:r>
    </w:p>
    <w:p>
      <w:pPr>
        <w:spacing w:after="0"/>
        <w:tabs>
          <w:tab w:leader="none" w:pos="1460" w:val="left"/>
        </w:tabs>
        <w:rPr>
          <w:sz w:val="20"/>
          <w:szCs w:val="20"/>
          <w:color w:val="auto"/>
        </w:rPr>
      </w:pPr>
      <w:r>
        <w:rPr>
          <w:rFonts w:ascii="Courier New" w:cs="Courier New" w:eastAsia="Courier New" w:hAnsi="Courier New"/>
          <w:sz w:val="18"/>
          <w:szCs w:val="18"/>
          <w:color w:val="auto"/>
        </w:rPr>
        <w:t>Stamford, CT</w:t>
      </w:r>
      <w:r>
        <w:rPr>
          <w:sz w:val="20"/>
          <w:szCs w:val="20"/>
          <w:color w:val="auto"/>
        </w:rPr>
        <w:tab/>
      </w:r>
      <w:r>
        <w:rPr>
          <w:rFonts w:ascii="Courier New" w:cs="Courier New" w:eastAsia="Courier New" w:hAnsi="Courier New"/>
          <w:sz w:val="16"/>
          <w:szCs w:val="16"/>
          <w:color w:val="auto"/>
        </w:rPr>
        <w:t>06901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Global AM's principal business office is:</w:t>
      </w:r>
    </w:p>
    <w:p>
      <w:pPr>
        <w:spacing w:after="0" w:line="238" w:lineRule="auto"/>
        <w:tabs>
          <w:tab w:leader="none" w:pos="3880" w:val="left"/>
        </w:tabs>
        <w:rPr>
          <w:sz w:val="20"/>
          <w:szCs w:val="20"/>
          <w:color w:val="auto"/>
        </w:rPr>
      </w:pPr>
      <w:r>
        <w:rPr>
          <w:rFonts w:ascii="Courier New" w:cs="Courier New" w:eastAsia="Courier New" w:hAnsi="Courier New"/>
          <w:sz w:val="18"/>
          <w:szCs w:val="18"/>
          <w:color w:val="auto"/>
        </w:rPr>
        <w:t>One North Wacker, Chicago, Illinois</w:t>
        <w:tab/>
        <w:t>60606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148711104</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UBS AG is classified as a Bank as defined in section 3(a)(6) of the Act pursuant to no action relief granted by the staff of the Securities and Exchange Commission. UBS Americas Inc. is the parent holding company of UBS Global Asset Management (Americas) Inc. UBS Global Asset Management (Americas) Inc. is an Investment Adviser registered under section 203 of the Investment Advisers Act of 1940.</w:t>
      </w:r>
    </w:p>
    <w:p>
      <w:pPr>
        <w:spacing w:after="0" w:line="1"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Incorporated by reference to Items 5-11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148711104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Accounts managed on a discretionary basis by UBS Global Asset Management business group of UBS AG (UBS Global AM) have the right to receive or the power to direct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receipt of dividends from, or the proceeds from the sale of, the Common Stock. To the best of our knowledge, no account holds more than 5 percent of the outstanding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4319"/>
        <w:spacing w:after="0" w:line="273" w:lineRule="auto"/>
        <w:rPr>
          <w:sz w:val="20"/>
          <w:szCs w:val="20"/>
          <w:color w:val="auto"/>
        </w:rPr>
      </w:pPr>
      <w:r>
        <w:rPr>
          <w:rFonts w:ascii="Courier New" w:cs="Courier New" w:eastAsia="Courier New" w:hAnsi="Courier New"/>
          <w:sz w:val="16"/>
          <w:szCs w:val="16"/>
          <w:color w:val="auto"/>
        </w:rPr>
        <w:t>In addition to UBS AG, the following UBS Global AM affiliates and subsidiaries are part of the UBS Global Asset Management business group included in this filing: UBS Global Asset Management (Americas) Inc., UBS Global Asset Management Trust Company, UBS Global Asset</w:t>
      </w:r>
    </w:p>
    <w:p>
      <w:pPr>
        <w:sectPr>
          <w:pgSz w:w="11900" w:h="16838" w:orient="portrait"/>
          <w:cols w:equalWidth="0" w:num="1">
            <w:col w:w="10219"/>
          </w:cols>
          <w:pgMar w:left="240" w:top="136" w:right="1440" w:bottom="0" w:gutter="0" w:footer="0" w:header="0"/>
        </w:sectPr>
      </w:pPr>
    </w:p>
    <w:bookmarkStart w:id="4" w:name="page5"/>
    <w:bookmarkEnd w:id="4"/>
    <w:p>
      <w:pPr>
        <w:ind w:right="4739"/>
        <w:spacing w:after="0" w:line="268" w:lineRule="auto"/>
        <w:rPr>
          <w:sz w:val="20"/>
          <w:szCs w:val="20"/>
          <w:color w:val="auto"/>
        </w:rPr>
      </w:pPr>
      <w:r>
        <w:rPr>
          <w:rFonts w:ascii="Courier New" w:cs="Courier New" w:eastAsia="Courier New" w:hAnsi="Courier New"/>
          <w:sz w:val="16"/>
          <w:szCs w:val="16"/>
          <w:color w:val="auto"/>
        </w:rPr>
        <w:t>Management (Canada) Co., UBS Global Asset Management (Australia) Ltd., UBS Global Asset Management</w:t>
      </w:r>
    </w:p>
    <w:p>
      <w:pPr>
        <w:ind w:right="3899"/>
        <w:spacing w:after="0" w:line="237" w:lineRule="auto"/>
        <w:rPr>
          <w:sz w:val="20"/>
          <w:szCs w:val="20"/>
          <w:color w:val="auto"/>
        </w:rPr>
      </w:pPr>
      <w:r>
        <w:rPr>
          <w:rFonts w:ascii="Courier New" w:cs="Courier New" w:eastAsia="Courier New" w:hAnsi="Courier New"/>
          <w:sz w:val="18"/>
          <w:szCs w:val="18"/>
          <w:color w:val="auto"/>
        </w:rPr>
        <w:t>(Hong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Espana S.A., UBS Global Asset management (UK) Ltd.</w:t>
      </w:r>
    </w:p>
    <w:p>
      <w:pPr>
        <w:spacing w:after="0" w:line="238" w:lineRule="auto"/>
        <w:rPr>
          <w:sz w:val="20"/>
          <w:szCs w:val="20"/>
          <w:color w:val="auto"/>
        </w:rPr>
      </w:pPr>
      <w:r>
        <w:rPr>
          <w:rFonts w:ascii="Courier New" w:cs="Courier New" w:eastAsia="Courier New" w:hAnsi="Courier New"/>
          <w:sz w:val="18"/>
          <w:szCs w:val="18"/>
          <w:color w:val="auto"/>
        </w:rPr>
        <w:t>and UBS Global Asset Management Life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148711104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20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UBS Global AM is composed of wholly-owned subsidiaries and branches of UBS AG. UBS AG is reporting direct and indirect beneficial ownership of holdings. UBS Americas Inc. is reporting indirect beneficial ownership of holdings by reason of its ownership of UBS Global Asset Management (Americas) Inc. None of the reporting persons affirm the existence of a group within the meaning of Rule 13d-5(b)(1).</w:t>
      </w:r>
    </w:p>
    <w:p>
      <w:pPr>
        <w:spacing w:after="0" w:line="10"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 Sotorp, Member GMB</w:t>
      </w:r>
    </w:p>
    <w:p>
      <w:pPr>
        <w:spacing w:after="0"/>
        <w:rPr>
          <w:sz w:val="20"/>
          <w:szCs w:val="20"/>
          <w:color w:val="auto"/>
        </w:rPr>
      </w:pPr>
      <w:r>
        <w:rPr>
          <w:rFonts w:ascii="Courier New" w:cs="Courier New" w:eastAsia="Courier New" w:hAnsi="Courier New"/>
          <w:sz w:val="18"/>
          <w:szCs w:val="18"/>
          <w:color w:val="auto"/>
        </w:rPr>
        <w:t>Page 7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148711104</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Americas Inc.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Thomas Madsen</w:t>
      </w:r>
    </w:p>
    <w:p>
      <w:pPr>
        <w:sectPr>
          <w:pgSz w:w="11900" w:h="16838" w:orient="portrait"/>
          <w:cols w:equalWidth="0" w:num="1">
            <w:col w:w="10219"/>
          </w:cols>
          <w:pgMar w:left="240" w:top="142" w:right="1440" w:bottom="0" w:gutter="0" w:footer="0" w:header="0"/>
          <w:type w:val="continuous"/>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 Sotorp, Member GMB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148711104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AGREEMENT TO MAKE A JOINT FILING</w:t>
      </w:r>
    </w:p>
    <w:p>
      <w:pPr>
        <w:spacing w:after="0" w:line="20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UBS AG, UBS Americas Inc., and UBS Global Asset Management (Americas) Inc. each agrees that this Schedule 13G (including all amendments hereto) is filed by and on behalf of each such party.</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2008</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 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Americas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Madsen</w:t>
      </w:r>
    </w:p>
    <w:p>
      <w:pPr>
        <w:ind w:left="3160"/>
        <w:spacing w:after="0" w:line="238" w:lineRule="auto"/>
        <w:rPr>
          <w:sz w:val="20"/>
          <w:szCs w:val="20"/>
          <w:color w:val="auto"/>
        </w:rPr>
      </w:pPr>
      <w:r>
        <w:rPr>
          <w:rFonts w:ascii="Courier New" w:cs="Courier New" w:eastAsia="Courier New" w:hAnsi="Courier New"/>
          <w:sz w:val="18"/>
          <w:szCs w:val="18"/>
          <w:color w:val="auto"/>
        </w:rPr>
        <w:t>Thomas Madsen, Member GMB</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Kai R. Sotorp</w:t>
      </w:r>
    </w:p>
    <w:p>
      <w:pPr>
        <w:ind w:left="3160"/>
        <w:spacing w:after="0" w:line="238" w:lineRule="auto"/>
        <w:rPr>
          <w:sz w:val="20"/>
          <w:szCs w:val="20"/>
          <w:color w:val="auto"/>
        </w:rPr>
      </w:pPr>
      <w:r>
        <w:rPr>
          <w:rFonts w:ascii="Courier New" w:cs="Courier New" w:eastAsia="Courier New" w:hAnsi="Courier New"/>
          <w:sz w:val="18"/>
          <w:szCs w:val="18"/>
          <w:color w:val="auto"/>
        </w:rPr>
        <w:t>Kai R. Sotorp, Member GMB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UBS Global Asset Management</w:t>
      </w:r>
    </w:p>
    <w:p>
      <w:pPr>
        <w:ind w:left="3160"/>
        <w:spacing w:after="0" w:line="238" w:lineRule="auto"/>
        <w:rPr>
          <w:sz w:val="20"/>
          <w:szCs w:val="20"/>
          <w:color w:val="auto"/>
        </w:rPr>
      </w:pPr>
      <w:r>
        <w:rPr>
          <w:rFonts w:ascii="Courier New" w:cs="Courier New" w:eastAsia="Courier New" w:hAnsi="Courier New"/>
          <w:sz w:val="18"/>
          <w:szCs w:val="18"/>
          <w:color w:val="auto"/>
        </w:rPr>
        <w:t>(Americas)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/s/Mark F. Kemper</w:t>
      </w:r>
    </w:p>
    <w:p>
      <w:pPr>
        <w:ind w:left="3160"/>
        <w:spacing w:after="0" w:line="238" w:lineRule="auto"/>
        <w:rPr>
          <w:sz w:val="20"/>
          <w:szCs w:val="20"/>
          <w:color w:val="auto"/>
        </w:rPr>
      </w:pPr>
      <w:r>
        <w:rPr>
          <w:rFonts w:ascii="Courier New" w:cs="Courier New" w:eastAsia="Courier New" w:hAnsi="Courier New"/>
          <w:sz w:val="18"/>
          <w:szCs w:val="18"/>
          <w:color w:val="auto"/>
        </w:rPr>
        <w:t>Mark F. Kemper</w:t>
      </w:r>
    </w:p>
    <w:p>
      <w:pPr>
        <w:ind w:left="3160"/>
        <w:spacing w:after="0"/>
        <w:rPr>
          <w:sz w:val="20"/>
          <w:szCs w:val="20"/>
          <w:color w:val="auto"/>
        </w:rPr>
      </w:pPr>
      <w:r>
        <w:rPr>
          <w:rFonts w:ascii="Courier New" w:cs="Courier New" w:eastAsia="Courier New" w:hAnsi="Courier New"/>
          <w:sz w:val="18"/>
          <w:szCs w:val="18"/>
          <w:color w:val="auto"/>
        </w:rPr>
        <w:t>Executive Director</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/s/Michael J. Calhoun</w:t>
      </w:r>
    </w:p>
    <w:p>
      <w:pPr>
        <w:ind w:left="3160"/>
        <w:spacing w:after="0" w:line="238" w:lineRule="auto"/>
        <w:rPr>
          <w:sz w:val="20"/>
          <w:szCs w:val="20"/>
          <w:color w:val="auto"/>
        </w:rPr>
      </w:pPr>
      <w:r>
        <w:rPr>
          <w:rFonts w:ascii="Courier New" w:cs="Courier New" w:eastAsia="Courier New" w:hAnsi="Courier New"/>
          <w:sz w:val="18"/>
          <w:szCs w:val="18"/>
          <w:color w:val="auto"/>
        </w:rPr>
        <w:t>Michael J. Calhoun</w:t>
      </w:r>
    </w:p>
    <w:p>
      <w:pPr>
        <w:ind w:left="3160"/>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9 pages</w:t>
      </w:r>
    </w:p>
    <w:sectPr>
      <w:pgSz w:w="11900" w:h="16838" w:orient="portrait"/>
      <w:cols w:equalWidth="0" w:num="1">
        <w:col w:w="10219"/>
      </w:cols>
      <w:pgMar w:left="240" w:top="136"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a"/>
      <w:numFmt w:val="bullet"/>
      <w:start w:val="1"/>
    </w:lvl>
  </w:abstractNum>
  <w:abstractNum w:abstractNumId="5">
    <w:nsid w:val="25E45D32"/>
    <w:multiLevelType w:val="hybridMultilevel"/>
    <w:lvl w:ilvl="0">
      <w:lvlJc w:val="left"/>
      <w:lvlText w:val="b"/>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a"/>
      <w:numFmt w:val="bullet"/>
      <w:start w:val="1"/>
    </w:lvl>
  </w:abstractNum>
  <w:abstractNum w:abstractNumId="11">
    <w:nsid w:val="62BBD95A"/>
    <w:multiLevelType w:val="hybridMultilevel"/>
    <w:lvl w:ilvl="0">
      <w:lvlJc w:val="left"/>
      <w:lvlText w:val="b"/>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2019-12-19T22:51:27Z</dcterms:created>
  <dcterms:modified xsi:type="dcterms:W3CDTF">2019-12-19T22:51:27Z</dcterms:modified>
</cp:coreProperties>
</file>