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April 29, 2000</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3920" w:space="720"/>
            <w:col w:w="2320" w:space="320"/>
            <w:col w:w="2939"/>
          </w:cols>
          <w:pgMar w:left="240" w:top="852"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4140" w:space="720"/>
            <w:col w:w="5359"/>
          </w:cols>
          <w:pgMar w:left="240" w:top="852" w:right="1440" w:bottom="0" w:gutter="0" w:footer="0" w:header="0"/>
          <w:type w:val="continuous"/>
        </w:sectPr>
      </w:pPr>
    </w:p>
    <w:p>
      <w:pPr>
        <w:spacing w:after="0" w:line="20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180" w:space="720"/>
            <w:col w:w="4319"/>
          </w:cols>
          <w:pgMar w:left="240" w:top="852"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444-7222</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7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06" w:lineRule="exact"/>
        <w:rPr>
          <w:sz w:val="24"/>
          <w:szCs w:val="24"/>
          <w:color w:val="auto"/>
        </w:rPr>
      </w:pPr>
    </w:p>
    <w:p>
      <w:pPr>
        <w:spacing w:after="0"/>
        <w:tabs>
          <w:tab w:leader="none" w:pos="940" w:val="left"/>
          <w:tab w:leader="none" w:pos="22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0" w:lineRule="exact"/>
        <w:rPr>
          <w:sz w:val="24"/>
          <w:szCs w:val="24"/>
          <w:color w:val="auto"/>
        </w:rPr>
      </w:pP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Class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April 29, 2000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16,441,000</w:t>
      </w:r>
    </w:p>
    <w:p>
      <w:pPr>
        <w:spacing w:after="0" w:line="200" w:lineRule="exact"/>
        <w:rPr>
          <w:sz w:val="24"/>
          <w:szCs w:val="24"/>
          <w:color w:val="auto"/>
        </w:rPr>
      </w:pPr>
    </w:p>
    <w:p>
      <w:pPr>
        <w:sectPr>
          <w:pgSz w:w="11900" w:h="16838" w:orient="portrait"/>
          <w:cols w:equalWidth="0" w:num="2">
            <w:col w:w="3920" w:space="720"/>
            <w:col w:w="557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559"/>
        <w:spacing w:after="0"/>
        <w:rPr>
          <w:sz w:val="20"/>
          <w:szCs w:val="20"/>
          <w:color w:val="auto"/>
        </w:rPr>
      </w:pPr>
      <w:r>
        <w:rPr>
          <w:rFonts w:ascii="Courier New" w:cs="Courier New" w:eastAsia="Courier New" w:hAnsi="Courier New"/>
          <w:sz w:val="18"/>
          <w:szCs w:val="18"/>
          <w:color w:val="auto"/>
        </w:rPr>
        <w:t>April 29, 2000, May 1, 1999 and January 29, 2000</w:t>
      </w:r>
    </w:p>
    <w:tbl>
      <w:tblPr>
        <w:tblLayout w:type="fixed"/>
        <w:tblInd w:w="0" w:type="dxa"/>
        <w:tblCellMar>
          <w:top w:w="0" w:type="dxa"/>
          <w:left w:w="0" w:type="dxa"/>
          <w:bottom w:w="0" w:type="dxa"/>
          <w:right w:w="0" w:type="dxa"/>
        </w:tblCellMar>
      </w:tblPr>
      <w:tr>
        <w:trPr>
          <w:trHeight w:val="202"/>
        </w:trPr>
        <w:tc>
          <w:tcPr>
            <w:tcW w:w="612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(In thousands, except share data)</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4440" w:type="dxa"/>
            <w:vAlign w:val="bottom"/>
          </w:tcPr>
          <w:p>
            <w:pPr>
              <w:spacing w:after="0"/>
              <w:rPr>
                <w:sz w:val="24"/>
                <w:szCs w:val="24"/>
                <w:color w:val="auto"/>
              </w:rPr>
            </w:pP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April 29,</w:t>
            </w:r>
          </w:p>
        </w:tc>
        <w:tc>
          <w:tcPr>
            <w:tcW w:w="20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May 1,</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January 29,</w:t>
            </w:r>
          </w:p>
        </w:tc>
      </w:tr>
      <w:tr>
        <w:trPr>
          <w:trHeight w:val="203"/>
        </w:trPr>
        <w:tc>
          <w:tcPr>
            <w:tcW w:w="444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20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2000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(unaudited)(unaudited)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Restricted investment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2,365</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480</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51,672</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52,480</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57,022</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refundable and deferred</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1,920</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802</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1,920</w:t>
            </w: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1,153</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3,031</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1,042</w:t>
            </w:r>
          </w:p>
        </w:tc>
      </w:tr>
      <w:tr>
        <w:trPr>
          <w:trHeight w:val="203"/>
        </w:trPr>
        <w:tc>
          <w:tcPr>
            <w:tcW w:w="4440" w:type="dxa"/>
            <w:vAlign w:val="bottom"/>
          </w:tcPr>
          <w:p>
            <w:pPr>
              <w:spacing w:after="0"/>
              <w:rPr>
                <w:sz w:val="17"/>
                <w:szCs w:val="17"/>
                <w:color w:val="auto"/>
              </w:rPr>
            </w:pP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ind w:left="120"/>
              <w:spacing w:after="0"/>
              <w:rPr>
                <w:sz w:val="20"/>
                <w:szCs w:val="20"/>
                <w:color w:val="auto"/>
              </w:rPr>
            </w:pPr>
            <w:r>
              <w:rPr>
                <w:rFonts w:ascii="Courier New" w:cs="Courier New" w:eastAsia="Courier New" w:hAnsi="Courier New"/>
                <w:sz w:val="18"/>
                <w:szCs w:val="18"/>
                <w:color w:val="auto"/>
              </w:rPr>
              <w:t>Total current assets</w:t>
            </w:r>
          </w:p>
        </w:tc>
        <w:tc>
          <w:tcPr>
            <w:tcW w:w="10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54,772</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56,793</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62,432</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17,008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17,142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16,737</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15,403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18,456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15,215</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0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2,549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693</w:t>
            </w:r>
          </w:p>
        </w:tc>
      </w:tr>
      <w:tr>
        <w:trPr>
          <w:trHeight w:val="203"/>
        </w:trPr>
        <w:tc>
          <w:tcPr>
            <w:tcW w:w="516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$ 87,653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$ 95,817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$ 95,077</w:t>
            </w:r>
          </w:p>
        </w:tc>
      </w:tr>
      <w:tr>
        <w:trPr>
          <w:trHeight w:val="203"/>
        </w:trPr>
        <w:tc>
          <w:tcPr>
            <w:tcW w:w="516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$ 5,702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7,926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$ 6,801</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10,596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6,278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8,324</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2,253</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3,598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3,228</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12,829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22,202</w:t>
            </w:r>
          </w:p>
        </w:tc>
      </w:tr>
      <w:tr>
        <w:trPr>
          <w:trHeight w:val="203"/>
        </w:trPr>
        <w:tc>
          <w:tcPr>
            <w:tcW w:w="516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35,792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32,621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42,808</w:t>
            </w:r>
          </w:p>
        </w:tc>
      </w:tr>
      <w:tr>
        <w:trPr>
          <w:trHeight w:val="203"/>
        </w:trPr>
        <w:tc>
          <w:tcPr>
            <w:tcW w:w="516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 1,000,000</w:t>
            </w: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authorized, none issued</w:t>
            </w: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Common Stock, $0.01 par value, 50,000,000 shares</w:t>
            </w: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authorized, 16,441,251, 16,217,000 and 16,389,490</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issued at April 29, 2000, May 1, 1999</w:t>
            </w: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January 29, 2000, respectively</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167</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54,637</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53,996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54,571</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 (deficit)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10,990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 286,650 shares</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51,861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63,196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52,269</w:t>
            </w:r>
          </w:p>
        </w:tc>
      </w:tr>
      <w:tr>
        <w:trPr>
          <w:trHeight w:val="203"/>
        </w:trPr>
        <w:tc>
          <w:tcPr>
            <w:tcW w:w="51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$ 87,653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$ 95,817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$ 95,077</w:t>
            </w:r>
          </w:p>
        </w:tc>
      </w:tr>
      <w:tr>
        <w:trPr>
          <w:trHeight w:val="203"/>
        </w:trPr>
        <w:tc>
          <w:tcPr>
            <w:tcW w:w="51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DESIGNS, INC.</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ind w:left="370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4600" w:type="dxa"/>
            <w:vAlign w:val="bottom"/>
          </w:tcPr>
          <w:p>
            <w:pPr>
              <w:spacing w:after="0"/>
              <w:rPr>
                <w:sz w:val="17"/>
                <w:szCs w:val="17"/>
                <w:color w:val="auto"/>
              </w:rPr>
            </w:pPr>
          </w:p>
        </w:tc>
        <w:tc>
          <w:tcPr>
            <w:tcW w:w="36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21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April 29,</w:t>
            </w:r>
          </w:p>
        </w:tc>
        <w:tc>
          <w:tcPr>
            <w:tcW w:w="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May 1,</w:t>
            </w:r>
          </w:p>
        </w:tc>
      </w:tr>
      <w:tr>
        <w:trPr>
          <w:trHeight w:val="203"/>
        </w:trPr>
        <w:tc>
          <w:tcPr>
            <w:tcW w:w="4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44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600" w:type="dxa"/>
            <w:vAlign w:val="bottom"/>
          </w:tcPr>
          <w:p>
            <w:pPr>
              <w:spacing w:after="0"/>
              <w:rPr>
                <w:sz w:val="17"/>
                <w:szCs w:val="17"/>
                <w:color w:val="auto"/>
              </w:rPr>
            </w:pPr>
          </w:p>
        </w:tc>
        <w:tc>
          <w:tcPr>
            <w:tcW w:w="36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200" w:type="dxa"/>
            <w:vAlign w:val="bottom"/>
          </w:tcPr>
          <w:p>
            <w:pPr>
              <w:ind w:left="88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39,379</w:t>
            </w:r>
          </w:p>
        </w:tc>
        <w:tc>
          <w:tcPr>
            <w:tcW w:w="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39,835</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1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28,727</w:t>
            </w:r>
          </w:p>
        </w:tc>
        <w:tc>
          <w:tcPr>
            <w:tcW w:w="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29,618</w:t>
            </w:r>
          </w:p>
        </w:tc>
      </w:tr>
      <w:tr>
        <w:trPr>
          <w:trHeight w:val="203"/>
        </w:trPr>
        <w:tc>
          <w:tcPr>
            <w:tcW w:w="4600" w:type="dxa"/>
            <w:vAlign w:val="bottom"/>
          </w:tcPr>
          <w:p>
            <w:pPr>
              <w:spacing w:after="0"/>
              <w:rPr>
                <w:sz w:val="17"/>
                <w:szCs w:val="17"/>
                <w:color w:val="auto"/>
              </w:rPr>
            </w:pPr>
          </w:p>
        </w:tc>
        <w:tc>
          <w:tcPr>
            <w:tcW w:w="36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10,652</w:t>
            </w:r>
          </w:p>
        </w:tc>
        <w:tc>
          <w:tcPr>
            <w:tcW w:w="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10,217</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9,745</w:t>
            </w:r>
          </w:p>
        </w:tc>
        <w:tc>
          <w:tcPr>
            <w:tcW w:w="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9,593</w:t>
            </w:r>
          </w:p>
        </w:tc>
      </w:tr>
      <w:tr>
        <w:trPr>
          <w:trHeight w:val="203"/>
        </w:trPr>
        <w:tc>
          <w:tcPr>
            <w:tcW w:w="4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1,269</w:t>
            </w:r>
          </w:p>
        </w:tc>
        <w:tc>
          <w:tcPr>
            <w:tcW w:w="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1,726</w:t>
            </w:r>
          </w:p>
        </w:tc>
      </w:tr>
      <w:tr>
        <w:trPr>
          <w:trHeight w:val="203"/>
        </w:trPr>
        <w:tc>
          <w:tcPr>
            <w:tcW w:w="4600" w:type="dxa"/>
            <w:vAlign w:val="bottom"/>
          </w:tcPr>
          <w:p>
            <w:pPr>
              <w:spacing w:after="0"/>
              <w:rPr>
                <w:sz w:val="17"/>
                <w:szCs w:val="17"/>
                <w:color w:val="auto"/>
              </w:rPr>
            </w:pPr>
          </w:p>
        </w:tc>
        <w:tc>
          <w:tcPr>
            <w:tcW w:w="3620" w:type="dxa"/>
            <w:vAlign w:val="bottom"/>
            <w:gridSpan w:val="4"/>
          </w:tcPr>
          <w:p>
            <w:pPr>
              <w:ind w:left="8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11,014</w:t>
            </w:r>
          </w:p>
        </w:tc>
        <w:tc>
          <w:tcPr>
            <w:tcW w:w="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11,319</w:t>
            </w:r>
          </w:p>
        </w:tc>
      </w:tr>
      <w:tr>
        <w:trPr>
          <w:trHeight w:val="203"/>
        </w:trPr>
        <w:tc>
          <w:tcPr>
            <w:tcW w:w="4600" w:type="dxa"/>
            <w:vAlign w:val="bottom"/>
          </w:tcPr>
          <w:p>
            <w:pPr>
              <w:spacing w:after="0"/>
              <w:rPr>
                <w:sz w:val="17"/>
                <w:szCs w:val="17"/>
                <w:color w:val="auto"/>
              </w:rPr>
            </w:pPr>
          </w:p>
        </w:tc>
        <w:tc>
          <w:tcPr>
            <w:tcW w:w="3620" w:type="dxa"/>
            <w:vAlign w:val="bottom"/>
            <w:gridSpan w:val="4"/>
          </w:tcPr>
          <w:p>
            <w:pPr>
              <w:ind w:left="8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w:t>
            </w:r>
          </w:p>
        </w:tc>
        <w:tc>
          <w:tcPr>
            <w:tcW w:w="12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w:t>
            </w:r>
          </w:p>
        </w:tc>
        <w:tc>
          <w:tcPr>
            <w:tcW w:w="4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(1,102)</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415</w:t>
            </w:r>
          </w:p>
        </w:tc>
        <w:tc>
          <w:tcPr>
            <w:tcW w:w="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319</w:t>
            </w:r>
          </w:p>
        </w:tc>
      </w:tr>
      <w:tr>
        <w:trPr>
          <w:trHeight w:val="203"/>
        </w:trPr>
        <w:tc>
          <w:tcPr>
            <w:tcW w:w="4600" w:type="dxa"/>
            <w:vAlign w:val="bottom"/>
          </w:tcPr>
          <w:p>
            <w:pPr>
              <w:spacing w:after="0"/>
              <w:rPr>
                <w:sz w:val="17"/>
                <w:szCs w:val="17"/>
                <w:color w:val="auto"/>
              </w:rPr>
            </w:pPr>
          </w:p>
        </w:tc>
        <w:tc>
          <w:tcPr>
            <w:tcW w:w="3620" w:type="dxa"/>
            <w:vAlign w:val="bottom"/>
            <w:gridSpan w:val="4"/>
          </w:tcPr>
          <w:p>
            <w:pPr>
              <w:ind w:left="8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before income taxes</w:t>
            </w:r>
          </w:p>
        </w:tc>
        <w:tc>
          <w:tcPr>
            <w:tcW w:w="12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(777)</w:t>
            </w:r>
          </w:p>
        </w:tc>
        <w:tc>
          <w:tcPr>
            <w:tcW w:w="44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(1,421)</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for income taxes</w:t>
            </w:r>
          </w:p>
        </w:tc>
        <w:tc>
          <w:tcPr>
            <w:tcW w:w="12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w:t>
            </w:r>
          </w:p>
        </w:tc>
        <w:tc>
          <w:tcPr>
            <w:tcW w:w="4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(558)</w:t>
            </w:r>
          </w:p>
        </w:tc>
      </w:tr>
      <w:tr>
        <w:trPr>
          <w:trHeight w:val="203"/>
        </w:trPr>
        <w:tc>
          <w:tcPr>
            <w:tcW w:w="4600" w:type="dxa"/>
            <w:vAlign w:val="bottom"/>
          </w:tcPr>
          <w:p>
            <w:pPr>
              <w:spacing w:after="0"/>
              <w:rPr>
                <w:sz w:val="17"/>
                <w:szCs w:val="17"/>
                <w:color w:val="auto"/>
              </w:rPr>
            </w:pPr>
          </w:p>
        </w:tc>
        <w:tc>
          <w:tcPr>
            <w:tcW w:w="3620" w:type="dxa"/>
            <w:vAlign w:val="bottom"/>
            <w:gridSpan w:val="4"/>
          </w:tcPr>
          <w:p>
            <w:pPr>
              <w:ind w:left="8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(474)</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(863)</w:t>
            </w:r>
          </w:p>
        </w:tc>
      </w:tr>
      <w:tr>
        <w:trPr>
          <w:trHeight w:val="203"/>
        </w:trPr>
        <w:tc>
          <w:tcPr>
            <w:tcW w:w="4600" w:type="dxa"/>
            <w:vAlign w:val="bottom"/>
          </w:tcPr>
          <w:p>
            <w:pPr>
              <w:spacing w:after="0"/>
              <w:rPr>
                <w:sz w:val="17"/>
                <w:szCs w:val="17"/>
                <w:color w:val="auto"/>
              </w:rPr>
            </w:pPr>
          </w:p>
        </w:tc>
        <w:tc>
          <w:tcPr>
            <w:tcW w:w="3620" w:type="dxa"/>
            <w:vAlign w:val="bottom"/>
            <w:gridSpan w:val="4"/>
          </w:tcPr>
          <w:p>
            <w:pPr>
              <w:ind w:left="8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810"/>
        </w:trPr>
        <w:tc>
          <w:tcPr>
            <w:tcW w:w="4600" w:type="dxa"/>
            <w:vAlign w:val="bottom"/>
          </w:tcPr>
          <w:p>
            <w:pPr>
              <w:spacing w:after="0"/>
              <w:rPr>
                <w:sz w:val="20"/>
                <w:szCs w:val="20"/>
                <w:color w:val="auto"/>
              </w:rPr>
            </w:pPr>
            <w:r>
              <w:rPr>
                <w:rFonts w:ascii="Courier New" w:cs="Courier New" w:eastAsia="Courier New" w:hAnsi="Courier New"/>
                <w:sz w:val="18"/>
                <w:szCs w:val="18"/>
                <w:color w:val="auto"/>
              </w:rPr>
              <w:t>Loss per share- Basic and Diluted</w:t>
            </w:r>
          </w:p>
        </w:tc>
        <w:tc>
          <w:tcPr>
            <w:tcW w:w="1200" w:type="dxa"/>
            <w:vAlign w:val="bottom"/>
          </w:tcPr>
          <w:p>
            <w:pPr>
              <w:ind w:left="1100"/>
              <w:spacing w:after="0"/>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(0.03)</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(0.05)</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number of common shares outstanding:</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16,441</w:t>
            </w:r>
          </w:p>
        </w:tc>
        <w:tc>
          <w:tcPr>
            <w:tcW w:w="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15,889</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16,441</w:t>
            </w:r>
          </w:p>
        </w:tc>
        <w:tc>
          <w:tcPr>
            <w:tcW w:w="4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15,889</w:t>
            </w:r>
          </w:p>
        </w:tc>
      </w:tr>
    </w:tbl>
    <w:p>
      <w:pPr>
        <w:spacing w:after="0" w:line="200" w:lineRule="exact"/>
        <w:rPr>
          <w:sz w:val="20"/>
          <w:szCs w:val="20"/>
          <w:color w:val="auto"/>
        </w:rPr>
      </w:pPr>
    </w:p>
    <w:p>
      <w:pPr>
        <w:spacing w:after="0" w:line="209" w:lineRule="exact"/>
        <w:rPr>
          <w:sz w:val="20"/>
          <w:szCs w:val="20"/>
          <w:color w:val="auto"/>
        </w:rPr>
      </w:pPr>
    </w:p>
    <w:p>
      <w:pPr>
        <w:ind w:left="3060" w:right="3479" w:hanging="294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DESIGNS,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779"/>
        <w:spacing w:after="0"/>
        <w:rPr>
          <w:sz w:val="20"/>
          <w:szCs w:val="20"/>
          <w:color w:val="auto"/>
        </w:rPr>
      </w:pPr>
      <w:r>
        <w:rPr>
          <w:rFonts w:ascii="Courier New" w:cs="Courier New" w:eastAsia="Courier New" w:hAnsi="Courier New"/>
          <w:sz w:val="18"/>
          <w:szCs w:val="18"/>
          <w:color w:val="auto"/>
        </w:rPr>
        <w:t>(In thousands)</w:t>
      </w:r>
    </w:p>
    <w:tbl>
      <w:tblPr>
        <w:tblLayout w:type="fixed"/>
        <w:tblInd w:w="0" w:type="dxa"/>
        <w:tblCellMar>
          <w:top w:w="0" w:type="dxa"/>
          <w:left w:w="0" w:type="dxa"/>
          <w:bottom w:w="0" w:type="dxa"/>
          <w:right w:w="0" w:type="dxa"/>
        </w:tblCellMar>
      </w:tblPr>
      <w:tr>
        <w:trPr>
          <w:trHeight w:val="202"/>
        </w:trPr>
        <w:tc>
          <w:tcPr>
            <w:tcW w:w="5700" w:type="dxa"/>
            <w:vAlign w:val="bottom"/>
          </w:tcPr>
          <w:p>
            <w:pPr>
              <w:ind w:left="3700"/>
              <w:spacing w:after="0" w:line="202"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April 29,</w:t>
            </w:r>
          </w:p>
        </w:tc>
        <w:tc>
          <w:tcPr>
            <w:tcW w:w="2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May 1,</w:t>
            </w:r>
          </w:p>
        </w:tc>
      </w:tr>
      <w:tr>
        <w:trPr>
          <w:trHeight w:val="203"/>
        </w:trPr>
        <w:tc>
          <w:tcPr>
            <w:tcW w:w="5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(863)</w:t>
            </w: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 loss to net cash</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1,269</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1,726</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(187)</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common stock to Board of Directors</w:t>
            </w: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66</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from disposal of property</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equipment</w:t>
            </w:r>
          </w:p>
        </w:tc>
        <w:tc>
          <w:tcPr>
            <w:tcW w:w="320" w:type="dxa"/>
            <w:vAlign w:val="bottom"/>
          </w:tcPr>
          <w:p>
            <w:pPr>
              <w:spacing w:after="0"/>
              <w:rPr>
                <w:sz w:val="17"/>
                <w:szCs w:val="17"/>
                <w:color w:val="auto"/>
              </w:rPr>
            </w:pPr>
          </w:p>
        </w:tc>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w:t>
            </w:r>
          </w:p>
        </w:tc>
      </w:tr>
      <w:tr>
        <w:trPr>
          <w:trHeight w:val="405"/>
        </w:trPr>
        <w:tc>
          <w:tcPr>
            <w:tcW w:w="5700" w:type="dxa"/>
            <w:vAlign w:val="bottom"/>
          </w:tcPr>
          <w:p>
            <w:pPr>
              <w:ind w:left="1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56</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5,350</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5,445</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(111)</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(2,120)</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171</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3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(1,056)</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(774)</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(594)</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(530)</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(1,099)</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(3,273)</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2,866</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2,327</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7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6,326</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1,901</w:t>
            </w:r>
          </w:p>
        </w:tc>
      </w:tr>
      <w:tr>
        <w:trPr>
          <w:trHeight w:val="203"/>
        </w:trPr>
        <w:tc>
          <w:tcPr>
            <w:tcW w:w="57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3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(1,489)</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(1,131)</w:t>
            </w: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terminated trust  (Note 6)</w:t>
            </w: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2,365</w:t>
            </w:r>
          </w:p>
        </w:tc>
        <w:tc>
          <w:tcPr>
            <w:tcW w:w="26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disposal of property and equipment</w:t>
            </w:r>
          </w:p>
        </w:tc>
        <w:tc>
          <w:tcPr>
            <w:tcW w:w="320" w:type="dxa"/>
            <w:vAlign w:val="bottom"/>
          </w:tcPr>
          <w:p>
            <w:pPr>
              <w:spacing w:after="0"/>
              <w:rPr>
                <w:sz w:val="17"/>
                <w:szCs w:val="17"/>
                <w:color w:val="auto"/>
              </w:rPr>
            </w:pPr>
          </w:p>
        </w:tc>
        <w:tc>
          <w:tcPr>
            <w:tcW w:w="1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57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Net cash provided by (used for) investing activities</w:t>
            </w:r>
          </w:p>
        </w:tc>
        <w:tc>
          <w:tcPr>
            <w:tcW w:w="3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876</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(1,058)</w:t>
            </w:r>
          </w:p>
        </w:tc>
      </w:tr>
      <w:tr>
        <w:trPr>
          <w:trHeight w:val="203"/>
        </w:trPr>
        <w:tc>
          <w:tcPr>
            <w:tcW w:w="57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(repayments) under credit facility</w:t>
            </w:r>
          </w:p>
        </w:tc>
        <w:tc>
          <w:tcPr>
            <w:tcW w:w="3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(7,202)</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(996)</w:t>
            </w:r>
          </w:p>
        </w:tc>
      </w:tr>
      <w:tr>
        <w:trPr>
          <w:trHeight w:val="203"/>
        </w:trPr>
        <w:tc>
          <w:tcPr>
            <w:tcW w:w="57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3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(7,202)</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(996)</w:t>
            </w:r>
          </w:p>
        </w:tc>
      </w:tr>
      <w:tr>
        <w:trPr>
          <w:trHeight w:val="203"/>
        </w:trPr>
        <w:tc>
          <w:tcPr>
            <w:tcW w:w="57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320" w:type="dxa"/>
            <w:vAlign w:val="bottom"/>
          </w:tcPr>
          <w:p>
            <w:pPr>
              <w:spacing w:after="0"/>
              <w:rPr>
                <w:sz w:val="17"/>
                <w:szCs w:val="17"/>
                <w:color w:val="auto"/>
              </w:rPr>
            </w:pPr>
          </w:p>
        </w:tc>
        <w:tc>
          <w:tcPr>
            <w:tcW w:w="1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320" w:type="dxa"/>
            <w:vAlign w:val="bottom"/>
          </w:tcPr>
          <w:p>
            <w:pPr>
              <w:spacing w:after="0"/>
              <w:rPr>
                <w:sz w:val="17"/>
                <w:szCs w:val="17"/>
                <w:color w:val="auto"/>
              </w:rPr>
            </w:pPr>
          </w:p>
        </w:tc>
        <w:tc>
          <w:tcPr>
            <w:tcW w:w="1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57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700" w:type="dxa"/>
            <w:vAlign w:val="bottom"/>
          </w:tcPr>
          <w:p>
            <w:pPr>
              <w:spacing w:after="0"/>
              <w:rPr>
                <w:sz w:val="17"/>
                <w:szCs w:val="17"/>
                <w:color w:val="auto"/>
              </w:rPr>
            </w:pPr>
          </w:p>
        </w:tc>
        <w:tc>
          <w:tcPr>
            <w:tcW w:w="1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3060" w:right="3479" w:hanging="294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122"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January 29, 2000 (filed on Form 10-K, as amended, with the Securities and Exchange Commission). 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204"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 for Store Closings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fourth quarter of fiscal 2000, the Company recorded a pre-tax charge of $15.2 million, or $0.59 per share after tax, related to inventory markdowns, the abandonment of the Company's Boston Traders(R) and related trademarks, severance, and the closure of the Company's five Buffalo Jeans (R) Factory Stores and its five remaining Designs stores. This pre-tax charge of $15.2 million included cash costs of approximately $3.6 million related to lease terminations and corporate and store severance, and approximately $11.6 million of non-cash costs related to inventory markdowns and the impairment of trademarks and store assets. At April 29, 2000, the remaining reserve balance related to this $15.2 million charge was $2.5 million, which primarily related to landlord settlements and severance.</w:t>
      </w:r>
    </w:p>
    <w:p>
      <w:pPr>
        <w:spacing w:after="0" w:line="210"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Litigation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original principal amount of $1 million (the "Purchase Note") payable in two equal annual installments through May 2, 1997. In the first quarter of fiscal 1996, the Company asserted rights of indemnification under the Asset Purchase Agreement. In accordance with that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due on the Purchase Note on May 2, 1996 and May 2, 1997. Nevertheless, the Company continued to pay interest on the original principal amount of the Purchase Note through May 2, 1996 and continued to pay interest thereafter through November 2, 1997 on $500,000 of principal. In January 1998, Atlantic Harbor, Inc. (formerly known as "Boston Trading Ltd., Inc.") filed a lawsuit against the Company for refusing to pay the purportedly outstanding principal amount of the Purchase Note. Thereafter, the Company filed claims against Atlantic Harbor, Inc. and its stockholders alleging that the Company was damaged in excess of $1 million because of the breach of certain representations and warranties concerning, among other things, the existence and condition of certain foreign trademark registrations and license agreements. Barring unforeseen circumstances, management of the Company does not believe that the result of this litigation will have a material adverse impact on the Company's business or financial condition.</w:t>
      </w:r>
    </w:p>
    <w:p>
      <w:pPr>
        <w:spacing w:after="0" w:line="207"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June 4, 1998 the Company entered into an Amended and Restated Loan and Security Agreement with BankBoston Retail Finance, Inc. (now known as Fleet Retail Finance, Inc.), as agent for the lenders named therein (the "Credit Agreement"). The Credit Agreement, which terminates on June 4, 2001, consists of a revolving line of credit permitting the Company to borrow up to $50 million. Under this credit facility, the Company has the ability to cause the lenders to issue documentary and standby letters of credit up to $5 million. The Company's</w:t>
      </w:r>
    </w:p>
    <w:p>
      <w:pPr>
        <w:sectPr>
          <w:pgSz w:w="11900" w:h="16838" w:orient="portrait"/>
          <w:cols w:equalWidth="0" w:num="1">
            <w:col w:w="10219"/>
          </w:cols>
          <w:pgMar w:left="240" w:top="919" w:right="1440" w:bottom="0" w:gutter="0" w:footer="0" w:header="0"/>
        </w:sectPr>
      </w:pPr>
    </w:p>
    <w:bookmarkStart w:id="5" w:name="page6"/>
    <w:bookmarkEnd w:id="5"/>
    <w:p>
      <w:pPr>
        <w:ind w:right="1779"/>
        <w:spacing w:after="0" w:line="238" w:lineRule="auto"/>
        <w:rPr>
          <w:sz w:val="20"/>
          <w:szCs w:val="20"/>
          <w:color w:val="auto"/>
        </w:rPr>
      </w:pPr>
      <w:r>
        <w:rPr>
          <w:rFonts w:ascii="Courier New" w:cs="Courier New" w:eastAsia="Courier New" w:hAnsi="Courier New"/>
          <w:sz w:val="18"/>
          <w:szCs w:val="18"/>
          <w:color w:val="auto"/>
        </w:rPr>
        <w:t>obligations under the Credit Agreement are secured by a lien on all of the Company's assets.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FleetBoston, N.A.'s (formerly known as BankBoston, N.A.) prime rate or at LIBOR-based fixed rates. These interest rates at April 29, 2000 were 9.00% for prime and 8.46% for LIBOR. The Credit Agreement contains certain covenants and events of default customary for credit facilities of this nature, including change of control provisions and limitations on payment of dividends by the Company. The Company is subject to a prepayment penalty of $250,000 if the Credit Agreement terminates prior to May 4, 2001.</w:t>
      </w:r>
    </w:p>
    <w:p>
      <w:pPr>
        <w:spacing w:after="0" w:line="20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the third quarter of fiscal 1999, the Credit Agreement was amended to, among other things, permit and acknowledge the Company's acquisition of the 25 outlet stores from Levi's Only Stores, Inc. and the transactions associated with the agreement to dissolve and wind up the OLS Partnership. These amendments include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its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3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On October 14, 1999, the Company was notified that, by virtue of the recent change in the members of the Company's Board of Directors, a "Change in Control" occurred within the meaning of the Credit Agreement, giving rise to an event of default. On October 29, 1999, the lenders, the former BankBoston Retail Finance, Inc. and the Company entered into an amendment to the Credit Agreement. This amendment waives the event of default arising because of the "Change in Control," and includes new events of default for material adverse changes in the Company's financial condition or its business relationship with Levi Strauss &amp; Co. compared to the Company's financial condition and its relationship with Levi Strauss &amp; Co., respectively, as of October 8, 1999. On March 28, 2000, the Credit Agreement was amended to, among other things, exclude certain non-recurring charges and tax valuation reserves from the Company's financial covenants, effective for the fiscal year ending January 29, 2000.</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April 29, 2000, the Company had borrowings of approximately $14.0 million outstanding under this facility and had five outstanding standby letters of credit totaling approximately $4.0 million. Average borrowings outstanding under this credit facility for the first quarter of fiscal 2001 were approximately $17.9 million. The Company was in compliance with all debt covenants under the Credit Agreement at April 29, 2000.</w:t>
      </w:r>
    </w:p>
    <w:p>
      <w:pPr>
        <w:spacing w:after="0" w:line="204"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Loss Per Share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Statement of Financial Accounting Standards No. 128, "Earnings Per Share" requires the computation of basic and diluted earnings per share. Basic earnings per share is computed by dividing net income (loss) by the weighted average number of shares of common stock outstanding during the year. Diluted earnings per share is determined by giving effect to the exercise of stock options using the treasury stock method. The following table provides a reconciliation of the number of shares outstanding for basic and diluted earnings per share.</w:t>
      </w:r>
    </w:p>
    <w:p>
      <w:pPr>
        <w:spacing w:after="0" w:line="182"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For the</w:t>
      </w:r>
    </w:p>
    <w:p>
      <w:pPr>
        <w:ind w:left="5600"/>
        <w:spacing w:after="0" w:line="238" w:lineRule="auto"/>
        <w:rPr>
          <w:sz w:val="20"/>
          <w:szCs w:val="20"/>
          <w:color w:val="auto"/>
        </w:rPr>
      </w:pPr>
      <w:r>
        <w:rPr>
          <w:rFonts w:ascii="Courier New" w:cs="Courier New" w:eastAsia="Courier New" w:hAnsi="Courier New"/>
          <w:sz w:val="18"/>
          <w:szCs w:val="18"/>
          <w:color w:val="auto"/>
        </w:rPr>
        <w:t>three months ended</w:t>
      </w:r>
    </w:p>
    <w:p>
      <w:pPr>
        <w:spacing w:after="0"/>
        <w:tabs>
          <w:tab w:leader="none" w:pos="5040" w:val="left"/>
          <w:tab w:leader="none" w:pos="716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April 29, 2000</w:t>
      </w:r>
      <w:r>
        <w:rPr>
          <w:sz w:val="20"/>
          <w:szCs w:val="20"/>
          <w:color w:val="auto"/>
        </w:rPr>
        <w:tab/>
      </w:r>
      <w:r>
        <w:rPr>
          <w:rFonts w:ascii="Courier New" w:cs="Courier New" w:eastAsia="Courier New" w:hAnsi="Courier New"/>
          <w:sz w:val="16"/>
          <w:szCs w:val="16"/>
          <w:color w:val="auto"/>
        </w:rPr>
        <w:t>May 1, 1999</w:t>
      </w:r>
    </w:p>
    <w:p>
      <w:pPr>
        <w:spacing w:after="0" w:line="3"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weighted average common</w:t>
      </w:r>
    </w:p>
    <w:p>
      <w:pPr>
        <w:ind w:left="220"/>
        <w:spacing w:after="0"/>
        <w:tabs>
          <w:tab w:leader="none" w:pos="5260" w:val="left"/>
          <w:tab w:leader="none" w:pos="7360" w:val="left"/>
        </w:tabs>
        <w:rPr>
          <w:sz w:val="20"/>
          <w:szCs w:val="20"/>
          <w:color w:val="auto"/>
        </w:rPr>
      </w:pPr>
      <w:r>
        <w:rPr>
          <w:rFonts w:ascii="Courier New" w:cs="Courier New" w:eastAsia="Courier New" w:hAnsi="Courier New"/>
          <w:sz w:val="18"/>
          <w:szCs w:val="18"/>
          <w:color w:val="auto"/>
        </w:rPr>
        <w:t>shares outstanding</w:t>
      </w:r>
      <w:r>
        <w:rPr>
          <w:sz w:val="20"/>
          <w:szCs w:val="20"/>
          <w:color w:val="auto"/>
        </w:rPr>
        <w:tab/>
      </w:r>
      <w:r>
        <w:rPr>
          <w:rFonts w:ascii="Courier New" w:cs="Courier New" w:eastAsia="Courier New" w:hAnsi="Courier New"/>
          <w:sz w:val="18"/>
          <w:szCs w:val="18"/>
          <w:color w:val="auto"/>
        </w:rPr>
        <w:t>16,441</w:t>
      </w:r>
      <w:r>
        <w:rPr>
          <w:sz w:val="20"/>
          <w:szCs w:val="20"/>
          <w:color w:val="auto"/>
        </w:rPr>
        <w:tab/>
      </w:r>
      <w:r>
        <w:rPr>
          <w:rFonts w:ascii="Courier New" w:cs="Courier New" w:eastAsia="Courier New" w:hAnsi="Courier New"/>
          <w:sz w:val="16"/>
          <w:szCs w:val="16"/>
          <w:color w:val="auto"/>
        </w:rPr>
        <w:t>15,889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 excluding the effect</w:t>
      </w:r>
    </w:p>
    <w:p>
      <w:pPr>
        <w:ind w:left="220"/>
        <w:spacing w:after="0" w:line="238" w:lineRule="auto"/>
        <w:rPr>
          <w:sz w:val="20"/>
          <w:szCs w:val="20"/>
          <w:color w:val="auto"/>
        </w:rPr>
      </w:pPr>
      <w:r>
        <w:rPr>
          <w:rFonts w:ascii="Courier New" w:cs="Courier New" w:eastAsia="Courier New" w:hAnsi="Courier New"/>
          <w:sz w:val="18"/>
          <w:szCs w:val="18"/>
          <w:color w:val="auto"/>
        </w:rPr>
        <w:t>of anti-dilutive options of 29 shares and</w:t>
      </w:r>
    </w:p>
    <w:p>
      <w:pPr>
        <w:ind w:left="220"/>
        <w:spacing w:after="0"/>
        <w:rPr>
          <w:sz w:val="20"/>
          <w:szCs w:val="20"/>
          <w:color w:val="auto"/>
        </w:rPr>
      </w:pPr>
      <w:r>
        <w:rPr>
          <w:rFonts w:ascii="Courier New" w:cs="Courier New" w:eastAsia="Courier New" w:hAnsi="Courier New"/>
          <w:sz w:val="18"/>
          <w:szCs w:val="18"/>
          <w:color w:val="auto"/>
        </w:rPr>
        <w:t>139 shares for April 29, 2000 and May 1, 1999,</w:t>
      </w:r>
    </w:p>
    <w:p>
      <w:pPr>
        <w:sectPr>
          <w:pgSz w:w="11900" w:h="16838" w:orient="portrait"/>
          <w:cols w:equalWidth="0" w:num="1">
            <w:col w:w="10219"/>
          </w:cols>
          <w:pgMar w:left="240" w:top="142" w:right="1440" w:bottom="0" w:gutter="0" w:footer="0" w:header="0"/>
        </w:sectPr>
      </w:pPr>
    </w:p>
    <w:p>
      <w:pPr>
        <w:ind w:left="220"/>
        <w:spacing w:after="0" w:line="237" w:lineRule="auto"/>
        <w:rPr>
          <w:sz w:val="20"/>
          <w:szCs w:val="20"/>
          <w:color w:val="auto"/>
        </w:rPr>
      </w:pPr>
      <w:r>
        <w:rPr>
          <w:rFonts w:ascii="Courier New" w:cs="Courier New" w:eastAsia="Courier New" w:hAnsi="Courier New"/>
          <w:sz w:val="18"/>
          <w:szCs w:val="18"/>
          <w:color w:val="auto"/>
        </w:rPr>
        <w:t>respectively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 weighted average shares outstanding</w:t>
      </w:r>
    </w:p>
    <w:p>
      <w:pPr>
        <w:spacing w:after="0" w:line="20" w:lineRule="exact"/>
        <w:rPr>
          <w:sz w:val="20"/>
          <w:szCs w:val="20"/>
          <w:color w:val="auto"/>
        </w:rPr>
      </w:pPr>
      <w:r>
        <w:rPr>
          <w:sz w:val="20"/>
          <w:szCs w:val="20"/>
          <w:color w:val="auto"/>
        </w:rPr>
        <w:br w:type="column"/>
      </w:r>
    </w:p>
    <w:p>
      <w:pPr>
        <w:ind w:left="4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16,441</w:t>
      </w:r>
    </w:p>
    <w:p>
      <w:pPr>
        <w:spacing w:after="0" w:line="20" w:lineRule="exact"/>
        <w:rPr>
          <w:sz w:val="20"/>
          <w:szCs w:val="20"/>
          <w:color w:val="auto"/>
        </w:rPr>
      </w:pPr>
      <w:r>
        <w:rPr>
          <w:sz w:val="20"/>
          <w:szCs w:val="20"/>
          <w:color w:val="auto"/>
        </w:rPr>
        <w:br w:type="column"/>
      </w:r>
    </w:p>
    <w:p>
      <w:pPr>
        <w:jc w:val="center"/>
        <w:ind w:right="2199"/>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15,889</w:t>
      </w:r>
    </w:p>
    <w:p>
      <w:pPr>
        <w:spacing w:after="0" w:line="200" w:lineRule="exact"/>
        <w:rPr>
          <w:sz w:val="20"/>
          <w:szCs w:val="20"/>
          <w:color w:val="auto"/>
        </w:rPr>
      </w:pPr>
    </w:p>
    <w:p>
      <w:pPr>
        <w:sectPr>
          <w:pgSz w:w="11900" w:h="16838" w:orient="portrait"/>
          <w:cols w:equalWidth="0" w:num="3">
            <w:col w:w="4540" w:space="620"/>
            <w:col w:w="1500" w:space="720"/>
            <w:col w:w="283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 to purchase shares of the Company's Common</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Stock of 348,700 and 1,867,832 for April 29, 2000 and May 1, 1999, respectively, were excluded from the computation of diluted EPS because the exercise price of the options was greater than the average market price per share of Common Stock for the periods reported.</w:t>
      </w:r>
    </w:p>
    <w:p>
      <w:pPr>
        <w:sectPr>
          <w:pgSz w:w="11900" w:h="16838" w:orient="portrait"/>
          <w:cols w:equalWidth="0" w:num="1">
            <w:col w:w="10219"/>
          </w:cols>
          <w:pgMar w:left="240" w:top="142" w:right="1440" w:bottom="0" w:gutter="0" w:footer="0" w:header="0"/>
          <w:type w:val="continuous"/>
        </w:sectPr>
      </w:pPr>
    </w:p>
    <w:bookmarkStart w:id="6" w:name="page7"/>
    <w:bookmarkEnd w:id="6"/>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Investment</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May 1999, the Company deposited $2.3 million in a trust established for the purpose of securing pre-existing obligations of the Company to certain executives under their respective employment agreements. These funds were being held in a trust to pay the amounts that may become due under their employment agreements and to pay any amounts that may become due to them pursuant to their indemnification agreements and the Company's by-laws. In March 2000, subsequent to the Company's fiscal year-end, the trust was terminated, and accordingly, the funds were no longer restricted. The proceeds from the trust were paid directly to Fleet Boston Retail, Inc. to paydown the outstanding balance on the Company's credit facility with Fleet Boston Retail Finance, Inc.</w:t>
      </w:r>
    </w:p>
    <w:p>
      <w:pPr>
        <w:sectPr>
          <w:pgSz w:w="11900" w:h="16838" w:orient="portrait"/>
          <w:cols w:equalWidth="0" w:num="1">
            <w:col w:w="10219"/>
          </w:cols>
          <w:pgMar w:left="240" w:top="1122" w:right="1440" w:bottom="1440" w:gutter="0" w:footer="0" w:header="0"/>
        </w:sectPr>
      </w:pPr>
    </w:p>
    <w:bookmarkStart w:id="8" w:name="page9"/>
    <w:bookmarkEnd w:id="8"/>
    <w:p>
      <w:pPr>
        <w:ind w:left="1900" w:right="3159" w:hanging="2843"/>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Sales for the first quarter of fiscal 2001 were $39.4 million as compared to sales of $39.8 million in the first quarter of fiscal 2000. Comparable store sales decreased 3 percent for the first quarter of fiscal 2001 as compared with the first quarter of fiscal 2000. Comparable stores are retail locations that have been open at least 13 months. Of the 103 stores that the Company operated at April 29, 2000, 93 were comparable stores.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decline in total sales of $400,000 or 1.1% for the three months ended April 29, 2000 as compared to the same period in the prior year is due to the comparable store decrease of 3 percent and $4.2 million related to the closed stores in fiscal 2000. This decrease was partially offset by sales generated by new stores of $5.0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Margin</w:t>
      </w:r>
    </w:p>
    <w:p>
      <w:pPr>
        <w:spacing w:after="0" w:line="207"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Set forth below are merchandise and gross margin rates and occupancy costs as a percentage of total sales for the first quarter of fiscal 2001 and fiscal 2000.</w:t>
      </w:r>
    </w:p>
    <w:p>
      <w:pPr>
        <w:spacing w:after="0" w:line="164" w:lineRule="exact"/>
        <w:rPr>
          <w:sz w:val="20"/>
          <w:szCs w:val="20"/>
          <w:color w:val="auto"/>
        </w:rPr>
      </w:pPr>
    </w:p>
    <w:p>
      <w:pPr>
        <w:ind w:left="4120"/>
        <w:spacing w:after="0"/>
        <w:tabs>
          <w:tab w:leader="none" w:pos="7040" w:val="left"/>
        </w:tabs>
        <w:rPr>
          <w:sz w:val="20"/>
          <w:szCs w:val="20"/>
          <w:color w:val="auto"/>
        </w:rPr>
      </w:pPr>
      <w:r>
        <w:rPr>
          <w:rFonts w:ascii="Courier New" w:cs="Courier New" w:eastAsia="Courier New" w:hAnsi="Courier New"/>
          <w:sz w:val="18"/>
          <w:szCs w:val="18"/>
          <w:color w:val="auto"/>
        </w:rPr>
        <w:t>Gross Margin</w:t>
      </w:r>
      <w:r>
        <w:rPr>
          <w:sz w:val="20"/>
          <w:szCs w:val="20"/>
          <w:color w:val="auto"/>
        </w:rPr>
        <w:tab/>
      </w:r>
      <w:r>
        <w:rPr>
          <w:rFonts w:ascii="Courier New" w:cs="Courier New" w:eastAsia="Courier New" w:hAnsi="Courier New"/>
          <w:sz w:val="16"/>
          <w:szCs w:val="16"/>
          <w:color w:val="auto"/>
        </w:rPr>
        <w:t>Percentage</w:t>
      </w:r>
    </w:p>
    <w:p>
      <w:pPr>
        <w:ind w:left="44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Rate</w:t>
      </w:r>
      <w:r>
        <w:rPr>
          <w:sz w:val="20"/>
          <w:szCs w:val="20"/>
          <w:color w:val="auto"/>
        </w:rPr>
        <w:tab/>
      </w:r>
      <w:r>
        <w:rPr>
          <w:rFonts w:ascii="Courier New" w:cs="Courier New" w:eastAsia="Courier New" w:hAnsi="Courier New"/>
          <w:sz w:val="18"/>
          <w:szCs w:val="18"/>
          <w:color w:val="auto"/>
        </w:rPr>
        <w:t>Change at</w:t>
      </w:r>
    </w:p>
    <w:p>
      <w:pPr>
        <w:ind w:left="3060"/>
        <w:spacing w:after="0"/>
        <w:tabs>
          <w:tab w:leader="none" w:pos="4940" w:val="left"/>
          <w:tab w:leader="none" w:pos="6840" w:val="left"/>
        </w:tabs>
        <w:rPr>
          <w:sz w:val="20"/>
          <w:szCs w:val="20"/>
          <w:color w:val="auto"/>
        </w:rPr>
      </w:pPr>
      <w:r>
        <w:rPr>
          <w:rFonts w:ascii="Courier New" w:cs="Courier New" w:eastAsia="Courier New" w:hAnsi="Courier New"/>
          <w:sz w:val="18"/>
          <w:szCs w:val="18"/>
          <w:color w:val="auto"/>
        </w:rPr>
        <w:t>April 29, 2000</w:t>
      </w:r>
      <w:r>
        <w:rPr>
          <w:sz w:val="20"/>
          <w:szCs w:val="20"/>
          <w:color w:val="auto"/>
        </w:rPr>
        <w:tab/>
      </w:r>
      <w:r>
        <w:rPr>
          <w:rFonts w:ascii="Courier New" w:cs="Courier New" w:eastAsia="Courier New" w:hAnsi="Courier New"/>
          <w:sz w:val="18"/>
          <w:szCs w:val="18"/>
          <w:color w:val="auto"/>
        </w:rPr>
        <w:t>May 1, 1999</w:t>
      </w:r>
      <w:r>
        <w:rPr>
          <w:sz w:val="20"/>
          <w:szCs w:val="20"/>
          <w:color w:val="auto"/>
        </w:rPr>
        <w:tab/>
      </w:r>
      <w:r>
        <w:rPr>
          <w:rFonts w:ascii="Courier New" w:cs="Courier New" w:eastAsia="Courier New" w:hAnsi="Courier New"/>
          <w:sz w:val="16"/>
          <w:szCs w:val="16"/>
          <w:color w:val="auto"/>
        </w:rPr>
        <w:t>April 29,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Merchandise Margin</w:t>
            </w:r>
          </w:p>
        </w:tc>
        <w:tc>
          <w:tcPr>
            <w:tcW w:w="19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42.0%</w:t>
            </w:r>
          </w:p>
        </w:tc>
        <w:tc>
          <w:tcPr>
            <w:tcW w:w="20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41.4%</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19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14.9%</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15.7%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19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27.1%</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25.7%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1.4 percentage point increase in gross margin in the first quarter of fiscal 2001 compared to the first quarter of fiscal 2000 is primarily the result of favorable occupancy costs of 0.8 percentage points and an improved merchandise margin of 0.6 percentage points. Merchandise margin was positively impacted by merchandise mix and higher initial margins on selected merchandise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Set forth below is certain information concerning the Company's selling, general and administrative expenses for the first quarter of fiscal 2001 and fiscal 2000.</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 thousands, except</w:t>
            </w:r>
          </w:p>
        </w:tc>
        <w:tc>
          <w:tcPr>
            <w:tcW w:w="1060" w:type="dxa"/>
            <w:vAlign w:val="bottom"/>
          </w:tcPr>
          <w:p>
            <w:pPr>
              <w:ind w:left="480"/>
              <w:spacing w:after="0"/>
              <w:rPr>
                <w:sz w:val="20"/>
                <w:szCs w:val="20"/>
                <w:color w:val="auto"/>
              </w:rPr>
            </w:pPr>
            <w:r>
              <w:rPr>
                <w:rFonts w:ascii="Courier New" w:cs="Courier New" w:eastAsia="Courier New" w:hAnsi="Courier New"/>
                <w:sz w:val="18"/>
                <w:szCs w:val="18"/>
                <w:color w:val="auto"/>
              </w:rPr>
              <w:t>April</w:t>
            </w:r>
          </w:p>
        </w:tc>
        <w:tc>
          <w:tcPr>
            <w:tcW w:w="126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9"/>
              </w:rPr>
              <w:t>29, 2000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May 1,</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percentage data)</w:t>
            </w:r>
          </w:p>
        </w:tc>
        <w:tc>
          <w:tcPr>
            <w:tcW w:w="1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of sales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sales</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$9,745</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24.7%</w:t>
            </w:r>
          </w:p>
        </w:tc>
        <w:tc>
          <w:tcPr>
            <w:tcW w:w="11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$ 9,593</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24.1%</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Store payroll expense, the largest component of selling, general and administrative expenses, was 11.9 percent of sales, compared with 11.7 percent of sales in the prior year. Selling, general and administrative expenses were slightly higher than the prior year due to increased promotional expenses such as advertising and sales incentives for sales associates and higher insurance costs. These expenses were offset by continued cost reductions in corporate overhead.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Set forth below are depreciation and amortization expenses for the Company for the first quarter of fiscal 2001 and fiscal 2000.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80" w:type="dxa"/>
            <w:vAlign w:val="bottom"/>
          </w:tcPr>
          <w:p>
            <w:pPr>
              <w:ind w:left="52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w:t>
            </w:r>
          </w:p>
        </w:tc>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Change at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percentage data)</w:t>
            </w: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April 29, 2000</w:t>
            </w: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May 1, 1999</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April 29,2000</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Depreciation and</w:t>
      </w:r>
    </w:p>
    <w:tbl>
      <w:tblPr>
        <w:tblLayout w:type="fixed"/>
        <w:tblInd w:w="12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Courier New" w:cs="Courier New" w:eastAsia="Courier New" w:hAnsi="Courier New"/>
                <w:sz w:val="18"/>
                <w:szCs w:val="18"/>
                <w:color w:val="auto"/>
              </w:rPr>
              <w:t>Amortization</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$1,269</w:t>
            </w:r>
          </w:p>
        </w:tc>
        <w:tc>
          <w:tcPr>
            <w:tcW w:w="190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$1,726</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(26.5%)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decrease in depreciation and amortization expenses in the first quarter of</w:t>
      </w:r>
    </w:p>
    <w:p>
      <w:pPr>
        <w:sectPr>
          <w:pgSz w:w="11900" w:h="16838" w:orient="portrait"/>
          <w:cols w:equalWidth="0" w:num="1">
            <w:col w:w="10219"/>
          </w:cols>
          <w:pgMar w:left="240" w:top="1128" w:right="1440" w:bottom="0" w:gutter="0" w:footer="0" w:header="0"/>
        </w:sectPr>
      </w:pPr>
    </w:p>
    <w:bookmarkStart w:id="9" w:name="page10"/>
    <w:bookmarkEnd w:id="9"/>
    <w:p>
      <w:pPr>
        <w:ind w:right="1779"/>
        <w:spacing w:after="0" w:line="236" w:lineRule="auto"/>
        <w:rPr>
          <w:sz w:val="20"/>
          <w:szCs w:val="20"/>
          <w:color w:val="auto"/>
        </w:rPr>
      </w:pPr>
      <w:r>
        <w:rPr>
          <w:rFonts w:ascii="Courier New" w:cs="Courier New" w:eastAsia="Courier New" w:hAnsi="Courier New"/>
          <w:sz w:val="18"/>
          <w:szCs w:val="18"/>
          <w:color w:val="auto"/>
        </w:rPr>
        <w:t>fiscal year 2001 compared to the first quarter of fiscal year 2000 is due to the write-off of fixed assets in fiscal 2000 as part of the Company's store closing program offset slightly by depreciation for new and remodeled stores.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interest expense was $415,000 and $319,000 in the first quarter of fiscal 2001 and fiscal 2000, respectively. This increase was attributable to higher average borrowing levels under the Company's revolving credit facility for the three months ended April 29, 2000 as compared to the same period in the prior year. The Company anticipates, barring unforeseen circumstances, that interest expense for the remainder of fiscal 2001 will be greater than the prior year due to the anticipated additional borrowings under the Company's revolving credit facility. These additional borrowings primarily will fund payments necessary for capital expenditures related to new store openings and a warehouse facility, merchandise purchases for the Levi's(R) and Dockers(R) Outlets by Designs stores and lease terminations in connection with store closings that occurred in the fourth quarter of fiscal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Set forth below is the net loss for the Company for the first quarter of fiscal 2001 and fiscal 2000.</w:t>
      </w:r>
    </w:p>
    <w:p>
      <w:pPr>
        <w:spacing w:after="0" w:line="203" w:lineRule="exact"/>
        <w:rPr>
          <w:sz w:val="20"/>
          <w:szCs w:val="20"/>
          <w:color w:val="auto"/>
        </w:rPr>
      </w:pPr>
    </w:p>
    <w:p>
      <w:pPr>
        <w:spacing w:after="0"/>
        <w:tabs>
          <w:tab w:leader="none" w:pos="3360" w:val="left"/>
          <w:tab w:leader="none" w:pos="672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April 29, 2000</w:t>
      </w:r>
      <w:r>
        <w:rPr>
          <w:sz w:val="20"/>
          <w:szCs w:val="20"/>
          <w:color w:val="auto"/>
        </w:rPr>
        <w:tab/>
      </w:r>
      <w:r>
        <w:rPr>
          <w:rFonts w:ascii="Courier New" w:cs="Courier New" w:eastAsia="Courier New" w:hAnsi="Courier New"/>
          <w:sz w:val="16"/>
          <w:szCs w:val="16"/>
          <w:color w:val="auto"/>
        </w:rPr>
        <w:t>May 1, 1999</w:t>
      </w:r>
    </w:p>
    <w:p>
      <w:pPr>
        <w:ind w:left="220"/>
        <w:spacing w:after="0"/>
        <w:tabs>
          <w:tab w:leader="none" w:pos="3260" w:val="left"/>
          <w:tab w:leader="none" w:pos="4200" w:val="left"/>
          <w:tab w:leader="none" w:pos="6420" w:val="left"/>
          <w:tab w:leader="none" w:pos="7260" w:val="left"/>
        </w:tabs>
        <w:rPr>
          <w:sz w:val="20"/>
          <w:szCs w:val="20"/>
          <w:color w:val="auto"/>
        </w:rPr>
      </w:pPr>
      <w:r>
        <w:rPr>
          <w:rFonts w:ascii="Courier New" w:cs="Courier New" w:eastAsia="Courier New" w:hAnsi="Courier New"/>
          <w:sz w:val="18"/>
          <w:szCs w:val="18"/>
          <w:color w:val="auto"/>
        </w:rPr>
        <w:t>per share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(474)</w:t>
            </w:r>
          </w:p>
        </w:tc>
        <w:tc>
          <w:tcPr>
            <w:tcW w:w="16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$(0.03)</w:t>
            </w:r>
          </w:p>
        </w:tc>
        <w:tc>
          <w:tcPr>
            <w:tcW w:w="15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$( 863)</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$0.05)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STORE CLOSING PROGRAMS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fourth quarter of fiscal 2000, the Company recorded a pre-tax charge of $15.2 million, or $0.59 per share after tax, related to inventory markdowns, the abandonment of the Company's Boston Traders(R) and related trademarks, severance, and the closure of the Company's five Buffalo Jeans (R) Factory Stores and its five remaining Designs stores. This pre-tax charge of $15.2 million included cash costs of approximately $3.6 million related to lease terminations and corporate and store severance, and approximately $11.6 million of non-cash costs related to inventory markdowns and the impairment of trademarks and store assets. At April 29, 2000, the remaining reserve balance related to this $15.2 million charge was $2.5 million, which primarily related to landlord settlements and severance.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Historically, the Company has experienced seasonal fluctuations in revenues and income, exclusive of non-recurring charges, with increases occurring during the Company's third and fourth quarters as a result of "Fall" and "Holiday" seasons. In recent years, the Company's focus has shifted towards its outlet store business and the percentage of mall-based business has been eliminated. Accordingly, the Company's third and fourth quarters, although continuing to generate a greater proportion of total sales, have become less significant to total sales as had previously been the case. This change is due to the seasonality of the Company's outlet business as compared with the mall-based specialty stores.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primary cash needs have been for operating expenses, including cash outlays associated with inventory purchases, capital expenditures for new and remodeled stores, severance and lease terminations. During fiscal 2001, the Company expects to incur capital expenditures related to building new outlet stores and outlet store relocations and system enhancements of $5.6 million. The Company expects that cash flow from operations, short-term revolving borrowings and trade credit will enable it to finance its current working capital, store remodeling and opening requirements.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date, the Company has financed its working capital requirements, store opening and store closing programs and remodeling programs with cash flow from operations, income tax refunds, and borrowings under the Company's credit facility. Cash provided by operations for the first three months of fiscal 2001 was $6.3 million as compared to cash provided for operations of $1.9 million for the same period in the prior year. This $4.4 million change is primarily due to the timing of cash payments for merchandise and various other monthly expenses.</w:t>
      </w:r>
    </w:p>
    <w:p>
      <w:pPr>
        <w:sectPr>
          <w:pgSz w:w="11900" w:h="16838" w:orient="portrait"/>
          <w:cols w:equalWidth="0" w:num="1">
            <w:col w:w="10219"/>
          </w:cols>
          <w:pgMar w:left="240" w:top="142" w:right="1440" w:bottom="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There was no cash and investment position at April 29, 2000 or May 1, 1999. At April 29, 2000, the Company had borrowings of $14.0 million outstanding under its revolving credit facility as compared to $11.8 million of outstanding borrowings at May 1, 1999 and $21.2 million at January 29, 2000. This decrease in the Company's net borrowing position from January 29, 2000 is primarily due to the positive cash flow from operations which was generated in the three months ended April 29, 2000.</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working capital at April 29, 2000 was approximately $19.0 million, compared to $24.2 million at May 1, 1999. This decrease in working capital was primarily attributable to costs incurred as part of the Company's store closing program in fiscal 2001.</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April 29, 2000, total inventory equaled $51.7 million, compared to $52.5 million at May 1, 1999. The decrease of 1.5 percent in the Company's inventory level was primarily due to the Company's effort to improve inventory management. Total inventory per square foot is down 2.4 percent from the prior year. The Company continues to evaluate and, within the discretion of management, act upon opportunities to purchase substantial quantities of Levi's(R) and Dockers(R) brand products for its Levi's(R) and Dockers(R) Outlet by Designs stores.</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stocks its Levi's(R) Outlet by Designs and Dockers(R) Outlet by Designs stores with manufacturing overruns, merchandise specifically manufactured for the outlet stores and discontinued lines and irregulars purchased directly from Levi Strauss &amp; Co. By its nature, this merchandise, including the most popular Levi Strauss &amp; Co. styles of merchandise and the breadth of the mix of this merchandise, is subject to limited availability. The Company may act upon opportunities to purchase substantial quantities of Levi's(R) brand products for its Levi's(R) and Dockers(R) outlet stores.</w:t>
      </w:r>
    </w:p>
    <w:p>
      <w:pPr>
        <w:spacing w:after="0" w:line="21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At April 29, 2000, the accounts payable balance was $5.7 million as compared with a balance of $7.9 million at May 1, 1999. The Company's trade payables to Levi Strauss &amp; Co., its principal vendor, generally are due 30 days after the date of invoice. The Company expects, barring unforeseen circumstances, that any purchases of branded merchandise from vendors other than Levi Strauss &amp; Co. will be limited and will be in accordance with customary industry credit terms.</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June 4, 1998 the Company entered into an Amended and Restated Loan and Security Agreement with BankBoston Retail Finance, Inc. (now known as Fleet Retail Finance, Inc.), as agent for the lenders named therein (the "Credit Agreement"). The Credit Agreement, which terminates on June 4, 2001, consists of a revolving line of credit permitting the Company to borrow up to $50 million. Under this credit facility, the Company has the ability to cause the lenders to issue documentary and standby letters of credit up to $5 million. The Company's obligations under the Credit Agreement are secured by a lien on all of the Company's assets.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FleetBoston, N.A.'s (formerly known as BankBoston, N.A.) prime rate or at LIBOR-based fixed rates. These interest rates at April 29, 2000 were 9.00% for prime and 8.46% for LIBOR. The Credit Agreement contains certain covenants and events of default customary for credit facilities of this nature, including change of control provisions and limitations on payment of dividends by the Company. The Company is subject to a prepayment penalty of $250,000 if the Credit Agreement terminates prior to May 4, 2001.</w:t>
      </w:r>
    </w:p>
    <w:p>
      <w:pPr>
        <w:spacing w:after="0" w:line="21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the third quarter of fiscal 1999, the Credit Agreement was amended to, among other things, permit and acknowledge the Company's acquisition of the 25 outlet stores from Levi's Only Stores, Inc. and the transactions associated with the agreement to dissolve and wind up the OLS Partnership. These amendments include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its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388"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On October 14, 1999, the Company was notified that, by virtue of the recent change in the members of the Company's Board of Directors, a "Change in Control" occurred within the meaning of the Credit Agreement, giving rise to an event of default. On October 29, 1999, the lenders, the former BankBoston Retail Finance, Inc. and the Company entered into an amendment to the Credit Agreement. This amendment waives the event of default arising because of the "Change in</w:t>
      </w:r>
    </w:p>
    <w:p>
      <w:pPr>
        <w:sectPr>
          <w:pgSz w:w="11900" w:h="16838" w:orient="portrait"/>
          <w:cols w:equalWidth="0" w:num="1">
            <w:col w:w="10219"/>
          </w:cols>
          <w:pgMar w:left="240" w:top="142" w:right="1440" w:bottom="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Control," and includes new events of default for material adverse changes in the Company's financial condition or its business relationship with Levi Strauss &amp; Co. compared to the Company's financial condition and its relationship with Levi Strauss &amp; Co., respectively, as of October 8, 1999.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March 28, 2000, the Credit Agreement was amended to, among other things, exclude certain non-recurring charges and tax valuation reserves from the Company's financial covenants, effective for the fiscal year ending January 29, 2000.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April 29, 2000, the Company had borrowings of approximately $14.0 million outstanding under this facility and had five outstanding standby letters of credit totaling approximately $4.0 million. Average borrowings outstanding under this credit facility for the first quarter of fiscal 2001 were approximately $17.9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cash outlays for capital expenditures for the first three months of fiscal 2001 were $1,488,000, which represents the cost of new and remodeled stores. Total cash outlays for the first three months of fiscal 2000 were $1,131,000. During the first three months of fiscal 2001, the Company remodeled two Levi's(R) Outlet stores, both located in Florida.</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present plans for expansion for the remainder of fiscal 2001, barring unforeseen circumstances, include remodeling an additional nine Levi's(R) Outlet stores and opening five new Levi's(R)/Dockers(R) Outlet by Designs stores.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October 31, 1998 the Company and Levi Strauss &amp; Co. amended the trademark license agreement (as amended, the "Outlet License Agreement") that authorizes the Company to use certain Levi Strauss &amp; Co. trademarks in connection with the operation of the Company's Levi's(R) Outlet by Designs and Dockers(R) Outlet by Designs stores in 25 states in the eastern portion of the United States. Section 19 of this agreement was subsequently amended on March 22, 2000 to change certain of the Change in Control provisions. Subject to certain default provisions, the term of the Outlet License Agreement was extended to September 30, 2004, and the license for any particular store is the period co-terminous with the lease term for such store (including extension options). Beginning with the amendment to the Outlet License Agreement effective on October 31, 1998, the Outlet License Agreement provides that the Company has the opportunity to extend the term of the license associated with one or more of the Company's older Levi's(R) Outlet by Designs stores by either renovating the store or replacing the store with a new store with an updated format and fixturing. In order to extend the license associated with each of the Company's 59 older outlet stores, the Company must, subject to certain grace periods, complete these renovations or the construction of replacement stores by December 31, 2004.</w:t>
      </w:r>
    </w:p>
    <w:p>
      <w:pPr>
        <w:spacing w:after="0" w:line="39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with the approval of Levi Strauss &amp; Co., initiated a program to remodel or replace its 59 oldest Levi's(R) Outlet by Designs stores over a five year period, beginning in fiscal 1999. As of April 29, 2000, the Company had closed two of its older 59 Levi's(R) Outlet stores, remodeled eight of the older Levi's Outlet stores and opened ten new Levi's(R)/Dockers(R) Outlet by Designs stores and two Dockers(R) Outlet stores.</w:t>
      </w:r>
    </w:p>
    <w:p>
      <w:pPr>
        <w:spacing w:after="0" w:line="210"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of the Company's Annual Report on Form 10-K, previously filed with the United States Securities and Exchange Commission on April 28, 2000, which identifies certain risks and uncertainties that may have an impact on future earnings and the direction of the Company.</w:t>
      </w:r>
    </w:p>
    <w:p>
      <w:pPr>
        <w:sectPr>
          <w:pgSz w:w="11900" w:h="16838" w:orient="portrait"/>
          <w:cols w:equalWidth="0" w:num="1">
            <w:col w:w="10219"/>
          </w:cols>
          <w:pgMar w:left="240" w:top="142" w:right="1440" w:bottom="1440" w:gutter="0" w:footer="0" w:header="0"/>
        </w:sectPr>
      </w:pPr>
    </w:p>
    <w:bookmarkStart w:id="12" w:name="page13"/>
    <w:bookmarkEnd w:id="12"/>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 of these and other potential exposures.</w:t>
      </w:r>
    </w:p>
    <w:p>
      <w:pPr>
        <w:spacing w:after="0" w:line="210"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The Company utilizes cash from operations and short-term borrowings to fund its working capital needs. This debt instrument is viewed as risk management tools and is not used for trading or speculative purposes. In addition, the Company has available letters of credit as sources of financing for its working capital requirements. Borrowings under this credit agreement, which expires in June 2001, bears interest at variable rates based on FleetBoston, N.A.'s prime rate or the London Interbank Offering Rate ("LIBOR"). These interest rates at April 29, 2000 were 9.0% for prime and 8.42% for LIBOR. Based upon sensitivity analysis as of April 29, 2000, a 10% increase in interest rates would result in a potential loss to future earnings of approximately $161,000 on an annualized basis.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January 1998 Atlantic Harbor, Inc. (formerly known as "Boston Trading Ltd., Inc.") filed a lawsuit against the Company for failing to pay the outstanding principal amount of the Purchase Note. Thereafter, the Company filed claims against Atlantic Harbor, Inc. and its stockholders alleging that the Company was damaged in excess of $1 million because of the breach of certain representations and warranties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is a party to other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reported under Item 6 of Form 8-K, dated April 11, 2000, that the Company announced that Mr. James Mitarotonda had resigned as a Director of the Company's Board of Directors on April 4, 2000 and that on April 10, 2000 the Company announced the election of Seymour Holtzman to the Board of Directors to fill the vacancy created by Mr. Mitarotonda.</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reported under Item 5 of Form 8-K, dated April 28, 2000, that the Company announced that Seymour Holtzman was elected Chairman of the Board of Directors. In addition, the Company also announced that David A. Levin, President and Chief Executive Officer and Stanley I. Berger, one of the Company's original founders, were appointed as Directors of the Company, increasing the Company's Board of Directors to nine members.</w:t>
      </w:r>
    </w:p>
    <w:p>
      <w:pPr>
        <w:spacing w:after="0" w:line="210"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The Company reported under Item 5 of Form 8-K, dated May 26, 2000, that the Company announced on May 5, 2000 that Alan Cohen was appointed a Director of the Company's Board of Directors, increasing the board to ten members.</w:t>
      </w:r>
    </w:p>
    <w:p>
      <w:pPr>
        <w:spacing w:after="0" w:line="375"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919"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3.1   Restated Certificate of Incorporation of the Company, as amended</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3.1 to Amendment No. 3 of the Company's</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Registration Statement on Form S-1 (No. 33-13402), and incorporated</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3.2  Certificate of Amendment to Restated Certificate of Incorporation, as</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amended, dated June 22, 1993 (included as Exhibit 3.2 to the Company's</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Quarterly Report on Form 10-Q dated June 17, 1996, and incorporated</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3.3   Certificate of Designations, Preferences and Rights of a Series of</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Preferred Stock of the Company established Series A Junior Participating</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Cumulative Preferred Stock dated May 1, 1995(included as Exhibit 3.2 to</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Annual Report on Form 10-K dated May 1, 1996 and</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3.4   By-Laws of the Company, as amended (included as Exhibit 3.4 to the</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Company's Amendment No. 1 to Annual Report on Form 10-K/A dated May 28,</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1999,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w w:val="97"/>
              </w:rPr>
              <w:t>4.1   Shareholder Rights Agreement dated as of May 1, 1995 between the Company</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and its transfer agent (included as Exhibit 4.1 to the Company's Current</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 on Form 8-K dated May 1, 1995, and incorporated herein by</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4.2   First Amendment dated as of October 6, 1997 to the Shareholder Rights</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Agreement dated as of May 1, 1995 between the Company and its transfer</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agent (included as Exhibit 4.1 to the Company's Current Report on Form</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8-K dated October 9, 1997,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4.3   Second Amendment dated as of May 19, 1999 to the Shareholder Rights</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 between the Company and its transfer agent, as amended</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4.1 to the Company's Current Report on Form 8-K</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May 25, 1999,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4.4   Third Amendment dated as of July 7, 1999 to the Shareholder Rights</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 between the Company and its transfer agent, as amended</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4.1 to the Company's Current Report on Form 9-K</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July 13, 1999,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4.5   Notice to Holder of Rights dated November 10, 1999 regarding</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termination of the Shareholder Rights Agreement (included as Exhibit</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4.5 to the Company's Form 10-K dated April 28, 2000, and incorporated</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680" w:type="dxa"/>
            <w:vAlign w:val="bottom"/>
          </w:tcPr>
          <w:p>
            <w:pPr>
              <w:ind w:left="100"/>
              <w:spacing w:after="0"/>
              <w:rPr>
                <w:sz w:val="20"/>
                <w:szCs w:val="20"/>
                <w:color w:val="auto"/>
              </w:rPr>
            </w:pPr>
            <w:r>
              <w:rPr>
                <w:rFonts w:ascii="Courier New" w:cs="Courier New" w:eastAsia="Courier New" w:hAnsi="Courier New"/>
                <w:sz w:val="18"/>
                <w:szCs w:val="18"/>
                <w:color w:val="auto"/>
                <w:w w:val="99"/>
              </w:rPr>
              <w:t>1987 Incentive Stock Option Plan, as amended (included as Exhibit 10.1</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the Company's Annual Report on Form 10-K dated April 29, 1993,</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680" w:type="dxa"/>
            <w:vAlign w:val="bottom"/>
          </w:tcPr>
          <w:p>
            <w:pPr>
              <w:ind w:left="100"/>
              <w:spacing w:after="0"/>
              <w:rPr>
                <w:sz w:val="20"/>
                <w:szCs w:val="20"/>
                <w:color w:val="auto"/>
              </w:rPr>
            </w:pPr>
            <w:r>
              <w:rPr>
                <w:rFonts w:ascii="Courier New" w:cs="Courier New" w:eastAsia="Courier New" w:hAnsi="Courier New"/>
                <w:sz w:val="18"/>
                <w:szCs w:val="18"/>
                <w:color w:val="auto"/>
              </w:rPr>
              <w:t>1987 Non-Qualified Stock Option Plan, as amended (included as Exhibit</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10.2 to the Company's Annual Report on Form 10-K dated April 29, 1993,</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680" w:type="dxa"/>
            <w:vAlign w:val="bottom"/>
          </w:tcPr>
          <w:p>
            <w:pPr>
              <w:ind w:left="100"/>
              <w:spacing w:after="0"/>
              <w:rPr>
                <w:sz w:val="20"/>
                <w:szCs w:val="20"/>
                <w:color w:val="auto"/>
              </w:rPr>
            </w:pPr>
            <w:r>
              <w:rPr>
                <w:rFonts w:ascii="Courier New" w:cs="Courier New" w:eastAsia="Courier New" w:hAnsi="Courier New"/>
                <w:sz w:val="18"/>
                <w:szCs w:val="18"/>
                <w:color w:val="auto"/>
              </w:rPr>
              <w:t>1992 Stock Incentive Plan, as amended (included as Exhibit 10.3 to</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June 16, 1998, and</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680" w:type="dxa"/>
            <w:vAlign w:val="bottom"/>
          </w:tcPr>
          <w:p>
            <w:pPr>
              <w:ind w:left="100"/>
              <w:spacing w:after="0"/>
              <w:rPr>
                <w:sz w:val="20"/>
                <w:szCs w:val="20"/>
                <w:color w:val="auto"/>
              </w:rPr>
            </w:pPr>
            <w:r>
              <w:rPr>
                <w:rFonts w:ascii="Courier New" w:cs="Courier New" w:eastAsia="Courier New" w:hAnsi="Courier New"/>
                <w:sz w:val="18"/>
                <w:szCs w:val="18"/>
                <w:color w:val="auto"/>
                <w:w w:val="99"/>
              </w:rPr>
              <w:t>Senior Executive Incentive Plan for the fiscal year ending January 29,</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 (included as Exhibit 10.4 to the Company's Annual Report on Form</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dated April 30, 1999,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680" w:type="dxa"/>
            <w:vAlign w:val="bottom"/>
          </w:tcPr>
          <w:p>
            <w:pPr>
              <w:ind w:left="100"/>
              <w:spacing w:after="0"/>
              <w:rPr>
                <w:sz w:val="20"/>
                <w:szCs w:val="20"/>
                <w:color w:val="auto"/>
              </w:rPr>
            </w:pPr>
            <w:r>
              <w:rPr>
                <w:rFonts w:ascii="Courier New" w:cs="Courier New" w:eastAsia="Courier New" w:hAnsi="Courier New"/>
                <w:sz w:val="18"/>
                <w:szCs w:val="18"/>
                <w:color w:val="auto"/>
              </w:rPr>
              <w:t>License Agreement between the Company and Levi Strauss &amp; Co. dated as</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April 14, 1992 (included as Exhibit 10.8 to the Company's Annual</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 on Form 10-K dated April 29, 1993, and incorporated herein by</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680" w:type="dxa"/>
            <w:vAlign w:val="bottom"/>
          </w:tcPr>
          <w:p>
            <w:pPr>
              <w:ind w:left="100"/>
              <w:spacing w:after="0"/>
              <w:rPr>
                <w:sz w:val="20"/>
                <w:szCs w:val="20"/>
                <w:color w:val="auto"/>
              </w:rPr>
            </w:pPr>
            <w:r>
              <w:rPr>
                <w:rFonts w:ascii="Courier New" w:cs="Courier New" w:eastAsia="Courier New" w:hAnsi="Courier New"/>
                <w:sz w:val="18"/>
                <w:szCs w:val="18"/>
                <w:color w:val="auto"/>
              </w:rPr>
              <w:t>Amended and Restated Trademark License Agreement between the Company</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and Levi Strauss &amp; Co. dated as of October 31, 1998 (included as Exhibit</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10.4 to the Company's Current Report on Form 8-K dated December 3, 1998,</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680" w:type="dxa"/>
            <w:vAlign w:val="bottom"/>
          </w:tcPr>
          <w:p>
            <w:pPr>
              <w:ind w:left="100"/>
              <w:spacing w:after="0"/>
              <w:rPr>
                <w:sz w:val="20"/>
                <w:szCs w:val="20"/>
                <w:color w:val="auto"/>
              </w:rPr>
            </w:pPr>
            <w:r>
              <w:rPr>
                <w:rFonts w:ascii="Courier New" w:cs="Courier New" w:eastAsia="Courier New" w:hAnsi="Courier New"/>
                <w:sz w:val="18"/>
                <w:szCs w:val="18"/>
                <w:color w:val="auto"/>
                <w:w w:val="98"/>
              </w:rPr>
              <w:t>Amendment to the Amended and Restated Trademark License Agreement dated</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March 22, 2000 (included as Exhibit 10.7 to the Company's Form 10-K</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April 28, 2000,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680" w:type="dxa"/>
            <w:vAlign w:val="bottom"/>
          </w:tcPr>
          <w:p>
            <w:pPr>
              <w:ind w:left="100"/>
              <w:spacing w:after="0"/>
              <w:rPr>
                <w:sz w:val="20"/>
                <w:szCs w:val="20"/>
                <w:color w:val="auto"/>
              </w:rPr>
            </w:pPr>
            <w:r>
              <w:rPr>
                <w:rFonts w:ascii="Courier New" w:cs="Courier New" w:eastAsia="Courier New" w:hAnsi="Courier New"/>
                <w:sz w:val="18"/>
                <w:szCs w:val="18"/>
                <w:color w:val="auto"/>
              </w:rPr>
              <w:t>Amended and Restated Loan and Security Agreement dated as of June 4,</w:t>
            </w:r>
          </w:p>
        </w:tc>
        <w:tc>
          <w:tcPr>
            <w:tcW w:w="1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1998, between the Company and BankBoston Retail Finance Inc., as agent</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 the Lender(s) identified therein ("BBRF") and the Lender(s)</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 Report on Form</w:t>
            </w:r>
          </w:p>
        </w:tc>
        <w:tc>
          <w:tcPr>
            <w:tcW w:w="1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8-K dated June 11, 1998,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sectPr>
          <w:pgSz w:w="11900" w:h="16838" w:orient="portrait"/>
          <w:cols w:equalWidth="0" w:num="1">
            <w:col w:w="10219"/>
          </w:cols>
          <w:pgMar w:left="240" w:top="339"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Fee letter dated as of June 4, 1998, between the Company and BBRF</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10.2 to the Company's Current Report on Form 8-K</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June 11, 1998,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First Amendment to Loan and Security Agreement dated as of</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September 29, 1998 among the Company, BBRF and the Lender(s) identified</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therein (included as Exhibit 10.5 to the Company's Current Report on</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Form 8-K dated December 3, 1998, and incorporated herein by reference). *</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w w:val="98"/>
              </w:rPr>
              <w:t>Second Amendment to Loan and Security Agreement dated as of October 31,</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among the Company, BBRF and the Lender(s) identified therein</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10.6 to the Company's Current Report on Form 8-K</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3, 1998,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w w:val="99"/>
              </w:rPr>
              <w:t>Third Amendment to Loan and Security Agreement dated as of October 28,</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 among the Company, BBRF and the Lender(s) identified therein</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(included as Exhibit 10.9 to the Company's Form 10-Q dated December 14,</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Fourth Amendment to Loan and Security Agreement dated as of March 20,</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 among the Company, Fleet Retail Finance (f/k/a BankBoston Retail</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Finance) and the Lender(s) identified therein (included as Exhibit</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10.13 to the Company's Form 10-K dated April 28, 2000, and incorporated</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w w:val="98"/>
              </w:rPr>
              <w:t>Amendment and Distribution Agreement dated as of October 31, 1998 among</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Designs Partner, the LOS Partner and the OLS Partnership (included</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10.2 to the Company's Current Report on Form 8-K dated</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 3, 1998,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Guaranty by the Company of the indemnification obligation of the</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Designs Partner dated as of October 31, 1998 in favor of LS &amp; Co.</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10.3 to the Company's Current Report on Form 8-K</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3, 1998,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between LOS and the Company relating to the</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 by the Company of stores located in Minneapolis, Minnesota dated</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28, 1995 (included as Exhibit 10.9 to the Company's Current</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 herein by</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among Boston Trading Ltd., Inc., Designs</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Acquisition Corp., the Company and others dated April 21, 1995 (included</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10.16 to the Company's Quarterly Report on Form 10-Q dated</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12, 1995,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Non-Negotiable Promissory Note between the Company and Atlantic</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Harbor, Inc., formerly know as Boston Trading Ltd., Inc., dated</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May 2, 1995 (included as Exhibit 10.17 to the Company's Quarterly Report</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10-Q dated September 12, 1995, and incorporated herein by</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10.19</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dated as of September 30, 1998 between the</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LOS relating to the purchase by the Company of 16</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Dockers(R)Outlet and nine Levi's(R)Outlet stores (included as</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10.1 to the Company's Current Report on Form 8-K dated</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 6, 1995,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10.20</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Consulting Agreement dated as of October 28, 1999 between the</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Jewelcor Management, Inc. (included as Exhibit 10.20</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Form 10-K dated April 28, 2000, and incorporated</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10.21</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Consulting Agreement dated as of October 29, 1999 between the Company</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John J. Schultz (included as Exhibit 10.21 to the Company's Form</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10-K dated April 28, 2000, and incorporated herein 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10.22</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w w:val="99"/>
              </w:rPr>
              <w:t>Consulting Agreement dated as of December 15, 1999 between the Company</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George T.Porter, Jr. (included as Exhibit 10.22 to the Company's</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Form 10-K dated April 28, 2000, and incorporated herein by reference).  *</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10.23</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w w:val="99"/>
              </w:rPr>
              <w:t>Consulting Agreement dated as of November 14, 1999 between the Company</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and Business Ventures International, Inc. (included as Exhibit 10.23 to</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Form 10-K dated April 28, 2000, and incorporated herein</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10.24</w:t>
            </w:r>
          </w:p>
        </w:tc>
        <w:tc>
          <w:tcPr>
            <w:tcW w:w="764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October 16, 1995 between the Company</w:t>
            </w:r>
          </w:p>
        </w:tc>
        <w:tc>
          <w:tcPr>
            <w:tcW w:w="1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and Joel H. Reichman (included as Exhibit 10.1 to the Company's Current</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December 6, 1995, and incorporated herein</w:t>
            </w:r>
          </w:p>
        </w:tc>
        <w:tc>
          <w:tcPr>
            <w:tcW w:w="1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sectPr>
          <w:pgSz w:w="11900" w:h="16838" w:orient="portrait"/>
          <w:cols w:equalWidth="0" w:num="1">
            <w:col w:w="10219"/>
          </w:cols>
          <w:pgMar w:left="240" w:top="339" w:right="1440"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10.25</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October 16, 1995 between the Company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Scott N. Semel(included as Exhibit 10.2 to the Company's Current</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December 6, 1995, and incorporated herein by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10.26</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May 9, 1997 between the Company and</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Carolyn R. Faulkner(included as Exhibit 10.23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Quarterly Report on Form 10-Q dated June 17,1997, and incorporated</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10.27</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w w:val="98"/>
              </w:rPr>
              <w:t>Employment Agreement dated as of March 31, 2000 between the Company and</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David A. Levin (included as Exhibit 10.27 to the Company's Form 10-K</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April 28, 2000,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10.28</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rPr>
              <w:t>Severance Agreement dated as of January 12, 2000 between the Company</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Joel H. Reichman (included as Exhibit 10.23 to the Company's Form</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10-K dated April 28, 2000,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10.29</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rPr>
              <w:t>Severance Agreement dated as of January 20, 2000 between the Company</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Scott N. Semel (included as Exhibit 10.23 to the Company's Form</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10-K dated April 28, 2000,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10.30</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rPr>
              <w:t>Severance Agreement dated as of January 15, 2000 between the Company</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Carolyn R. Faulkner (included as Exhibit 10.23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7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Form 10-K dated April 28, 2000, and incorporated herein by reference).  *</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10.31</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rPr>
              <w:t>Indemnification Agreement between the Company and James G. Groninger,</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10, 1998 (included as Exhibit 10.30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Annual Report on Form 10-K dated April 30, 1999 and incorporated herein</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10.32</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rPr>
              <w:t>Indemnification Agreement between the Company and Bernard M. Manuel,</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10, 1998 (included as Exhibit 10.31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Annual Report on Form 10-K dated April 30, 1999 and incorporated herein</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10.33</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rPr>
              <w:t>Indemnification Agreement between the Company and Peter L. Thigpen,</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10, 1998 (included as Exhibit 10.32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Annual Report on Form 10-K dated April 30, 1999 and incorporated herein</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10.34</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rPr>
              <w:t>Indemnification Agreement between the Company and Melvin I. Shapiro,</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10, 1998 (included as Exhibit 10.33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Annual Report on Form 10-K dated April 30, 1999 and incorporated herein</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10.35</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rPr>
              <w:t>Indemnification Agreement between the Company and Joel H. Reichman,</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10, 1998(included as Exhibit 10.34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Annual Report on Form 10-K dated April 30, 1999 and incorporated herein</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10.36</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w w:val="98"/>
              </w:rPr>
              <w:t>Indemnification Agreement between the Company and Scott N. Semel, dated</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December 10, 1998 (included as Exhibit 10.35 to the Company's Annual</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10-K dated April 30, 1999 and incorporated herein by</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10.37</w:t>
            </w:r>
          </w:p>
        </w:tc>
        <w:tc>
          <w:tcPr>
            <w:tcW w:w="7600" w:type="dxa"/>
            <w:vAlign w:val="bottom"/>
          </w:tcPr>
          <w:p>
            <w:pPr>
              <w:ind w:left="60"/>
              <w:spacing w:after="0"/>
              <w:rPr>
                <w:sz w:val="20"/>
                <w:szCs w:val="20"/>
                <w:color w:val="auto"/>
              </w:rPr>
            </w:pPr>
            <w:r>
              <w:rPr>
                <w:rFonts w:ascii="Courier New" w:cs="Courier New" w:eastAsia="Courier New" w:hAnsi="Courier New"/>
                <w:sz w:val="18"/>
                <w:szCs w:val="18"/>
                <w:color w:val="auto"/>
                <w:w w:val="99"/>
              </w:rPr>
              <w:t>Indemnification Agreement between the Company and Carolyn R. Faulkner,</w:t>
            </w: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10, 1998 (included as Exhibit 10.36 to the Company's</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Annual Report on Form 10-K dated April 30, 1999 and incorporated herein</w:t>
            </w:r>
          </w:p>
        </w:tc>
        <w:tc>
          <w:tcPr>
            <w:tcW w:w="1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7" w:lineRule="exact"/>
        <w:rPr>
          <w:sz w:val="20"/>
          <w:szCs w:val="20"/>
          <w:color w:val="auto"/>
        </w:rPr>
      </w:pPr>
    </w:p>
    <w:p>
      <w:pPr>
        <w:ind w:left="540" w:right="2199" w:hanging="532"/>
        <w:spacing w:after="0" w:line="268"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of the Company on Form 8-K, dated April 28, 2000 concerning certain cautionary statements of the Company to be taken into account in conjunction with consideration and review of the Company's publicly-</w:t>
      </w:r>
    </w:p>
    <w:p>
      <w:pPr>
        <w:sectPr>
          <w:pgSz w:w="11900" w:h="16838" w:orient="portrait"/>
          <w:cols w:equalWidth="0" w:num="1">
            <w:col w:w="10219"/>
          </w:cols>
          <w:pgMar w:left="240" w:top="339" w:right="1440" w:bottom="1162" w:gutter="0" w:footer="0" w:header="0"/>
        </w:sectPr>
      </w:pPr>
    </w:p>
    <w:p>
      <w:pPr>
        <w:spacing w:after="0" w:line="1" w:lineRule="exact"/>
        <w:rPr>
          <w:sz w:val="20"/>
          <w:szCs w:val="20"/>
          <w:color w:val="auto"/>
        </w:rPr>
      </w:pPr>
    </w:p>
    <w:p>
      <w:pPr>
        <w:ind w:left="540"/>
        <w:spacing w:after="0" w:line="290" w:lineRule="auto"/>
        <w:rPr>
          <w:sz w:val="20"/>
          <w:szCs w:val="20"/>
          <w:color w:val="auto"/>
        </w:rPr>
      </w:pPr>
      <w:r>
        <w:rPr>
          <w:rFonts w:ascii="Courier New" w:cs="Courier New" w:eastAsia="Courier New" w:hAnsi="Courier New"/>
          <w:sz w:val="16"/>
          <w:szCs w:val="16"/>
          <w:color w:val="auto"/>
        </w:rPr>
        <w:t>disseminated documents (including oral statements made by others on behalf of the Company) that include forward looking information.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7" w:lineRule="exact"/>
        <w:rPr>
          <w:sz w:val="20"/>
          <w:szCs w:val="20"/>
          <w:color w:val="auto"/>
        </w:rPr>
      </w:pPr>
    </w:p>
    <w:p>
      <w:pPr>
        <w:sectPr>
          <w:pgSz w:w="11900" w:h="16838" w:orient="portrait"/>
          <w:cols w:equalWidth="0" w:num="2">
            <w:col w:w="7600" w:space="620"/>
            <w:col w:w="1999"/>
          </w:cols>
          <w:pgMar w:left="240" w:top="339" w:right="1440" w:bottom="1162" w:gutter="0" w:footer="0" w:header="0"/>
          <w:type w:val="continuous"/>
        </w:sectPr>
      </w:pPr>
    </w:p>
    <w:p>
      <w:pPr>
        <w:spacing w:after="0" w:line="17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Previously filed with the Securities and Exchange Commission.</w:t>
      </w:r>
    </w:p>
    <w:p>
      <w:pPr>
        <w:sectPr>
          <w:pgSz w:w="11900" w:h="16838" w:orient="portrait"/>
          <w:cols w:equalWidth="0" w:num="1">
            <w:col w:w="10219"/>
          </w:cols>
          <w:pgMar w:left="240" w:top="339" w:right="1440" w:bottom="1162" w:gutter="0" w:footer="0" w:header="0"/>
          <w:type w:val="continuous"/>
        </w:sectPr>
      </w:pPr>
    </w:p>
    <w:bookmarkStart w:id="16" w:name="page17"/>
    <w:bookmarkEnd w:id="16"/>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13,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A. LEVIN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A. Levin, President,</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 and</w:t>
      </w:r>
    </w:p>
    <w:p>
      <w:pPr>
        <w:ind w:left="420"/>
        <w:spacing w:after="0"/>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2">
            <w:col w:w="3080" w:space="720"/>
            <w:col w:w="6419"/>
          </w:cols>
          <w:pgMar w:left="240" w:top="1330"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the</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months ended</w:t>
            </w:r>
          </w:p>
        </w:tc>
        <w:tc>
          <w:tcPr>
            <w:tcW w:w="80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3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April 29, 2000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1, 1999</w:t>
            </w:r>
          </w:p>
        </w:tc>
      </w:tr>
    </w:tbl>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79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Basic EPS Computation Numerator:</w:t>
      </w:r>
    </w:p>
    <w:tbl>
      <w:tblPr>
        <w:tblLayout w:type="fixed"/>
        <w:tblInd w:w="0" w:type="dxa"/>
        <w:tblCellMar>
          <w:top w:w="0" w:type="dxa"/>
          <w:left w:w="0" w:type="dxa"/>
          <w:bottom w:w="0" w:type="dxa"/>
          <w:right w:w="0" w:type="dxa"/>
        </w:tblCellMar>
      </w:tblPr>
      <w:tr>
        <w:trPr>
          <w:trHeight w:val="199"/>
        </w:trPr>
        <w:tc>
          <w:tcPr>
            <w:tcW w:w="5160" w:type="dxa"/>
            <w:vAlign w:val="bottom"/>
          </w:tcPr>
          <w:p>
            <w:pPr>
              <w:ind w:left="540"/>
              <w:spacing w:after="0" w:line="198" w:lineRule="exact"/>
              <w:rPr>
                <w:sz w:val="20"/>
                <w:szCs w:val="20"/>
                <w:color w:val="auto"/>
              </w:rPr>
            </w:pPr>
            <w:r>
              <w:rPr>
                <w:rFonts w:ascii="Courier New" w:cs="Courier New" w:eastAsia="Courier New" w:hAnsi="Courier New"/>
                <w:sz w:val="18"/>
                <w:szCs w:val="18"/>
                <w:color w:val="auto"/>
              </w:rPr>
              <w:t>Net Loss</w:t>
            </w:r>
          </w:p>
        </w:tc>
        <w:tc>
          <w:tcPr>
            <w:tcW w:w="320" w:type="dxa"/>
            <w:vAlign w:val="bottom"/>
          </w:tcPr>
          <w:p>
            <w:pPr>
              <w:ind w:left="120"/>
              <w:spacing w:after="0" w:line="198"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198" w:lineRule="exact"/>
              <w:rPr>
                <w:sz w:val="20"/>
                <w:szCs w:val="20"/>
                <w:color w:val="auto"/>
              </w:rPr>
            </w:pPr>
            <w:r>
              <w:rPr>
                <w:rFonts w:ascii="Courier New" w:cs="Courier New" w:eastAsia="Courier New" w:hAnsi="Courier New"/>
                <w:sz w:val="18"/>
                <w:szCs w:val="18"/>
                <w:color w:val="auto"/>
              </w:rPr>
              <w:t>(474)</w:t>
            </w:r>
          </w:p>
        </w:tc>
        <w:tc>
          <w:tcPr>
            <w:tcW w:w="620" w:type="dxa"/>
            <w:vAlign w:val="bottom"/>
          </w:tcPr>
          <w:p>
            <w:pPr>
              <w:ind w:left="520"/>
              <w:spacing w:after="0" w:line="198"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198" w:lineRule="exact"/>
              <w:rPr>
                <w:sz w:val="20"/>
                <w:szCs w:val="20"/>
                <w:color w:val="auto"/>
              </w:rPr>
            </w:pPr>
            <w:r>
              <w:rPr>
                <w:rFonts w:ascii="Courier New" w:cs="Courier New" w:eastAsia="Courier New" w:hAnsi="Courier New"/>
                <w:sz w:val="18"/>
                <w:szCs w:val="18"/>
                <w:color w:val="auto"/>
              </w:rPr>
              <w:t>(863)</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Denominator:</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32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16,441</w:t>
            </w:r>
          </w:p>
        </w:tc>
        <w:tc>
          <w:tcPr>
            <w:tcW w:w="6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15,889</w:t>
            </w:r>
          </w:p>
        </w:tc>
      </w:tr>
      <w:tr>
        <w:trPr>
          <w:trHeight w:val="203"/>
        </w:trPr>
        <w:tc>
          <w:tcPr>
            <w:tcW w:w="5160" w:type="dxa"/>
            <w:vAlign w:val="bottom"/>
          </w:tcPr>
          <w:p>
            <w:pPr>
              <w:spacing w:after="0"/>
              <w:rPr>
                <w:sz w:val="17"/>
                <w:szCs w:val="17"/>
                <w:color w:val="auto"/>
              </w:rPr>
            </w:pPr>
          </w:p>
        </w:tc>
        <w:tc>
          <w:tcPr>
            <w:tcW w:w="1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EPS</w:t>
            </w:r>
          </w:p>
        </w:tc>
        <w:tc>
          <w:tcPr>
            <w:tcW w:w="32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$(0.03)</w:t>
            </w:r>
          </w:p>
        </w:tc>
        <w:tc>
          <w:tcPr>
            <w:tcW w:w="6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(0.05)</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Diluted EPS Computation</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Numerator:</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Loss</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(474)</w:t>
            </w: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(863)</w:t>
            </w:r>
          </w:p>
        </w:tc>
      </w:tr>
      <w:tr>
        <w:trPr>
          <w:trHeight w:val="203"/>
        </w:trPr>
        <w:tc>
          <w:tcPr>
            <w:tcW w:w="5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Denominator:</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16,441</w:t>
            </w:r>
          </w:p>
        </w:tc>
        <w:tc>
          <w:tcPr>
            <w:tcW w:w="6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15,889</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 options, excluding the effect</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anti-dilutive options of 29 shares and</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139 shares for April 29, 2000 and May 1, 1999,</w:t>
            </w: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respectively</w:t>
            </w:r>
          </w:p>
        </w:tc>
        <w:tc>
          <w:tcPr>
            <w:tcW w:w="32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62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Diluted weighted average shares outstanding</w:t>
            </w:r>
          </w:p>
        </w:tc>
        <w:tc>
          <w:tcPr>
            <w:tcW w:w="32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16,441</w:t>
            </w:r>
          </w:p>
        </w:tc>
        <w:tc>
          <w:tcPr>
            <w:tcW w:w="6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15,889</w:t>
            </w:r>
          </w:p>
        </w:tc>
      </w:tr>
      <w:tr>
        <w:trPr>
          <w:trHeight w:val="203"/>
        </w:trPr>
        <w:tc>
          <w:tcPr>
            <w:tcW w:w="5160" w:type="dxa"/>
            <w:vAlign w:val="bottom"/>
          </w:tcPr>
          <w:p>
            <w:pPr>
              <w:spacing w:after="0"/>
              <w:rPr>
                <w:sz w:val="17"/>
                <w:szCs w:val="17"/>
                <w:color w:val="auto"/>
              </w:rPr>
            </w:pPr>
          </w:p>
        </w:tc>
        <w:tc>
          <w:tcPr>
            <w:tcW w:w="1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EPS: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(0.03)</w:t>
            </w:r>
          </w:p>
        </w:tc>
        <w:tc>
          <w:tcPr>
            <w:tcW w:w="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(0.05)</w:t>
            </w:r>
          </w:p>
        </w:tc>
      </w:tr>
    </w:tbl>
    <w:p>
      <w:pPr>
        <w:sectPr>
          <w:pgSz w:w="11900" w:h="16838" w:orient="portrait"/>
          <w:cols w:equalWidth="0" w:num="1">
            <w:col w:w="10219"/>
          </w:cols>
          <w:pgMar w:left="240" w:top="136" w:right="1440" w:bottom="1440" w:gutter="0" w:footer="0" w:header="0"/>
        </w:sectPr>
      </w:pPr>
    </w:p>
    <w:bookmarkStart w:id="18" w:name="page19"/>
    <w:bookmarkEnd w:id="18"/>
    <w:p>
      <w:pPr>
        <w:ind w:left="10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20" w:right="2079"/>
        <w:spacing w:after="0" w:line="27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April 29, 2000 and the Consolidated Statements of Operations for the three months ending April 29, 2000 and is qualified in its entirety by reference to such financial statements.</w:t>
      </w:r>
    </w:p>
    <w:p>
      <w:pPr>
        <w:spacing w:after="0" w:line="200" w:lineRule="exact"/>
        <w:rPr>
          <w:sz w:val="20"/>
          <w:szCs w:val="20"/>
          <w:color w:val="auto"/>
        </w:rPr>
      </w:pPr>
    </w:p>
    <w:p>
      <w:pPr>
        <w:spacing w:after="0" w:line="38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3-mos</w:t>
      </w:r>
    </w:p>
    <w:p>
      <w:pPr>
        <w:ind w:left="1760"/>
        <w:spacing w:after="0" w:line="238" w:lineRule="auto"/>
        <w:rPr>
          <w:sz w:val="20"/>
          <w:szCs w:val="20"/>
          <w:color w:val="auto"/>
        </w:rPr>
      </w:pPr>
      <w:r>
        <w:rPr>
          <w:rFonts w:ascii="Courier New" w:cs="Courier New" w:eastAsia="Courier New" w:hAnsi="Courier New"/>
          <w:sz w:val="18"/>
          <w:szCs w:val="18"/>
          <w:color w:val="auto"/>
        </w:rPr>
        <w:t>FEB-03-2001</w:t>
      </w:r>
    </w:p>
    <w:p>
      <w:pPr>
        <w:ind w:left="2080"/>
        <w:spacing w:after="0"/>
        <w:rPr>
          <w:sz w:val="20"/>
          <w:szCs w:val="20"/>
          <w:color w:val="auto"/>
        </w:rPr>
      </w:pPr>
      <w:r>
        <w:rPr>
          <w:rFonts w:ascii="Courier New" w:cs="Courier New" w:eastAsia="Courier New" w:hAnsi="Courier New"/>
          <w:sz w:val="18"/>
          <w:szCs w:val="18"/>
          <w:color w:val="auto"/>
        </w:rPr>
        <w:t>JAN-30-2000</w:t>
      </w:r>
    </w:p>
    <w:p>
      <w:pPr>
        <w:ind w:left="2280"/>
        <w:spacing w:after="0" w:line="237" w:lineRule="auto"/>
        <w:rPr>
          <w:sz w:val="20"/>
          <w:szCs w:val="20"/>
          <w:color w:val="auto"/>
        </w:rPr>
      </w:pPr>
      <w:r>
        <w:rPr>
          <w:rFonts w:ascii="Courier New" w:cs="Courier New" w:eastAsia="Courier New" w:hAnsi="Courier New"/>
          <w:sz w:val="18"/>
          <w:szCs w:val="18"/>
          <w:color w:val="auto"/>
        </w:rPr>
        <w:t>APR-29-2000</w:t>
      </w:r>
    </w:p>
    <w:p>
      <w:pPr>
        <w:ind w:left="3660"/>
        <w:spacing w:after="0" w:line="238"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0</w:t>
      </w:r>
    </w:p>
    <w:p>
      <w:pPr>
        <w:ind w:left="2820"/>
        <w:spacing w:after="0" w:line="237" w:lineRule="auto"/>
        <w:rPr>
          <w:sz w:val="20"/>
          <w:szCs w:val="20"/>
          <w:color w:val="auto"/>
        </w:rPr>
      </w:pPr>
      <w:r>
        <w:rPr>
          <w:rFonts w:ascii="Courier New" w:cs="Courier New" w:eastAsia="Courier New" w:hAnsi="Courier New"/>
          <w:sz w:val="18"/>
          <w:szCs w:val="18"/>
          <w:color w:val="auto"/>
        </w:rPr>
        <w:t>27</w:t>
      </w:r>
    </w:p>
    <w:p>
      <w:pPr>
        <w:ind w:left="3020"/>
        <w:spacing w:after="0"/>
        <w:rPr>
          <w:sz w:val="20"/>
          <w:szCs w:val="20"/>
          <w:color w:val="auto"/>
        </w:rPr>
      </w:pPr>
      <w:r>
        <w:rPr>
          <w:rFonts w:ascii="Courier New" w:cs="Courier New" w:eastAsia="Courier New" w:hAnsi="Courier New"/>
          <w:sz w:val="18"/>
          <w:szCs w:val="18"/>
          <w:color w:val="auto"/>
        </w:rPr>
        <w:t>0</w:t>
      </w:r>
    </w:p>
    <w:p>
      <w:pPr>
        <w:ind w:left="2600"/>
        <w:spacing w:after="0" w:line="237" w:lineRule="auto"/>
        <w:rPr>
          <w:sz w:val="20"/>
          <w:szCs w:val="20"/>
          <w:color w:val="auto"/>
        </w:rPr>
      </w:pPr>
      <w:r>
        <w:rPr>
          <w:rFonts w:ascii="Courier New" w:cs="Courier New" w:eastAsia="Courier New" w:hAnsi="Courier New"/>
          <w:sz w:val="18"/>
          <w:szCs w:val="18"/>
          <w:color w:val="auto"/>
        </w:rPr>
        <w:t>51,572</w:t>
      </w:r>
    </w:p>
    <w:p>
      <w:pPr>
        <w:ind w:left="2080"/>
        <w:spacing w:after="0"/>
        <w:rPr>
          <w:sz w:val="20"/>
          <w:szCs w:val="20"/>
          <w:color w:val="auto"/>
        </w:rPr>
      </w:pPr>
      <w:r>
        <w:rPr>
          <w:rFonts w:ascii="Courier New" w:cs="Courier New" w:eastAsia="Courier New" w:hAnsi="Courier New"/>
          <w:sz w:val="18"/>
          <w:szCs w:val="18"/>
          <w:color w:val="auto"/>
        </w:rPr>
        <w:t>54,772</w:t>
      </w:r>
    </w:p>
    <w:p>
      <w:pPr>
        <w:ind w:left="3120"/>
        <w:spacing w:after="0" w:line="237" w:lineRule="auto"/>
        <w:rPr>
          <w:sz w:val="20"/>
          <w:szCs w:val="20"/>
          <w:color w:val="auto"/>
        </w:rPr>
      </w:pPr>
      <w:r>
        <w:rPr>
          <w:rFonts w:ascii="Courier New" w:cs="Courier New" w:eastAsia="Courier New" w:hAnsi="Courier New"/>
          <w:sz w:val="18"/>
          <w:szCs w:val="18"/>
          <w:color w:val="auto"/>
        </w:rPr>
        <w:t>44,649</w:t>
      </w:r>
    </w:p>
    <w:p>
      <w:pPr>
        <w:ind w:left="2280"/>
        <w:spacing w:after="0" w:line="238" w:lineRule="auto"/>
        <w:rPr>
          <w:sz w:val="20"/>
          <w:szCs w:val="20"/>
          <w:color w:val="auto"/>
        </w:rPr>
      </w:pPr>
      <w:r>
        <w:rPr>
          <w:rFonts w:ascii="Courier New" w:cs="Courier New" w:eastAsia="Courier New" w:hAnsi="Courier New"/>
          <w:sz w:val="18"/>
          <w:szCs w:val="18"/>
          <w:color w:val="auto"/>
        </w:rPr>
        <w:t>27,641</w:t>
      </w:r>
    </w:p>
    <w:p>
      <w:pPr>
        <w:ind w:left="2280"/>
        <w:spacing w:after="0"/>
        <w:rPr>
          <w:sz w:val="20"/>
          <w:szCs w:val="20"/>
          <w:color w:val="auto"/>
        </w:rPr>
      </w:pPr>
      <w:r>
        <w:rPr>
          <w:rFonts w:ascii="Courier New" w:cs="Courier New" w:eastAsia="Courier New" w:hAnsi="Courier New"/>
          <w:sz w:val="18"/>
          <w:szCs w:val="18"/>
          <w:color w:val="auto"/>
        </w:rPr>
        <w:t>87,653</w:t>
      </w:r>
    </w:p>
    <w:p>
      <w:pPr>
        <w:ind w:left="1540"/>
        <w:spacing w:after="0" w:line="237" w:lineRule="auto"/>
        <w:rPr>
          <w:sz w:val="20"/>
          <w:szCs w:val="20"/>
          <w:color w:val="auto"/>
        </w:rPr>
      </w:pPr>
      <w:r>
        <w:rPr>
          <w:rFonts w:ascii="Courier New" w:cs="Courier New" w:eastAsia="Courier New" w:hAnsi="Courier New"/>
          <w:sz w:val="18"/>
          <w:szCs w:val="18"/>
          <w:color w:val="auto"/>
        </w:rPr>
        <w:t>35,792</w:t>
      </w:r>
    </w:p>
    <w:p>
      <w:pPr>
        <w:ind w:left="3540"/>
        <w:spacing w:after="0"/>
        <w:rPr>
          <w:sz w:val="20"/>
          <w:szCs w:val="20"/>
          <w:color w:val="auto"/>
        </w:rPr>
      </w:pPr>
      <w:r>
        <w:rPr>
          <w:rFonts w:ascii="Courier New" w:cs="Courier New" w:eastAsia="Courier New" w:hAnsi="Courier New"/>
          <w:sz w:val="18"/>
          <w:szCs w:val="18"/>
          <w:color w:val="auto"/>
        </w:rPr>
        <w:t>0</w:t>
      </w:r>
    </w:p>
    <w:p>
      <w:pPr>
        <w:ind w:left="208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167</w:t>
      </w:r>
    </w:p>
    <w:p>
      <w:pPr>
        <w:ind w:left="2700"/>
        <w:spacing w:after="0" w:line="238" w:lineRule="auto"/>
        <w:rPr>
          <w:sz w:val="20"/>
          <w:szCs w:val="20"/>
          <w:color w:val="auto"/>
        </w:rPr>
      </w:pPr>
      <w:r>
        <w:rPr>
          <w:rFonts w:ascii="Courier New" w:cs="Courier New" w:eastAsia="Courier New" w:hAnsi="Courier New"/>
          <w:sz w:val="18"/>
          <w:szCs w:val="18"/>
          <w:color w:val="auto"/>
        </w:rPr>
        <w:t>51,694</w:t>
      </w:r>
    </w:p>
    <w:p>
      <w:pPr>
        <w:ind w:left="800"/>
        <w:spacing w:after="0"/>
        <w:rPr>
          <w:sz w:val="20"/>
          <w:szCs w:val="20"/>
          <w:color w:val="auto"/>
        </w:rPr>
      </w:pPr>
      <w:r>
        <w:rPr>
          <w:rFonts w:ascii="Courier New" w:cs="Courier New" w:eastAsia="Courier New" w:hAnsi="Courier New"/>
          <w:sz w:val="18"/>
          <w:szCs w:val="18"/>
          <w:color w:val="auto"/>
        </w:rPr>
        <w:t>87,653</w:t>
      </w:r>
    </w:p>
    <w:p>
      <w:pPr>
        <w:ind w:left="3020"/>
        <w:spacing w:after="0" w:line="237" w:lineRule="auto"/>
        <w:rPr>
          <w:sz w:val="20"/>
          <w:szCs w:val="20"/>
          <w:color w:val="auto"/>
        </w:rPr>
      </w:pPr>
      <w:r>
        <w:rPr>
          <w:rFonts w:ascii="Courier New" w:cs="Courier New" w:eastAsia="Courier New" w:hAnsi="Courier New"/>
          <w:sz w:val="18"/>
          <w:szCs w:val="18"/>
          <w:color w:val="auto"/>
        </w:rPr>
        <w:t>39,379</w:t>
      </w:r>
    </w:p>
    <w:p>
      <w:pPr>
        <w:ind w:left="2080"/>
        <w:spacing w:after="0"/>
        <w:rPr>
          <w:sz w:val="20"/>
          <w:szCs w:val="20"/>
          <w:color w:val="auto"/>
        </w:rPr>
      </w:pPr>
      <w:r>
        <w:rPr>
          <w:rFonts w:ascii="Courier New" w:cs="Courier New" w:eastAsia="Courier New" w:hAnsi="Courier New"/>
          <w:sz w:val="18"/>
          <w:szCs w:val="18"/>
          <w:color w:val="auto"/>
        </w:rPr>
        <w:t>39,379</w:t>
      </w:r>
    </w:p>
    <w:p>
      <w:pPr>
        <w:ind w:left="3240"/>
        <w:spacing w:after="0" w:line="237" w:lineRule="auto"/>
        <w:rPr>
          <w:sz w:val="20"/>
          <w:szCs w:val="20"/>
          <w:color w:val="auto"/>
        </w:rPr>
      </w:pPr>
      <w:r>
        <w:rPr>
          <w:rFonts w:ascii="Courier New" w:cs="Courier New" w:eastAsia="Courier New" w:hAnsi="Courier New"/>
          <w:sz w:val="18"/>
          <w:szCs w:val="18"/>
          <w:color w:val="auto"/>
        </w:rPr>
        <w:t>28,727</w:t>
      </w:r>
    </w:p>
    <w:p>
      <w:pPr>
        <w:ind w:left="2380"/>
        <w:spacing w:after="0"/>
        <w:rPr>
          <w:sz w:val="20"/>
          <w:szCs w:val="20"/>
          <w:color w:val="auto"/>
        </w:rPr>
      </w:pPr>
      <w:r>
        <w:rPr>
          <w:rFonts w:ascii="Courier New" w:cs="Courier New" w:eastAsia="Courier New" w:hAnsi="Courier New"/>
          <w:sz w:val="18"/>
          <w:szCs w:val="18"/>
          <w:color w:val="auto"/>
        </w:rPr>
        <w:t>28,727</w:t>
      </w:r>
    </w:p>
    <w:p>
      <w:pPr>
        <w:ind w:left="2080"/>
        <w:spacing w:after="0" w:line="237" w:lineRule="auto"/>
        <w:rPr>
          <w:sz w:val="20"/>
          <w:szCs w:val="20"/>
          <w:color w:val="auto"/>
        </w:rPr>
      </w:pPr>
      <w:r>
        <w:rPr>
          <w:rFonts w:ascii="Courier New" w:cs="Courier New" w:eastAsia="Courier New" w:hAnsi="Courier New"/>
          <w:sz w:val="18"/>
          <w:szCs w:val="18"/>
          <w:color w:val="auto"/>
        </w:rPr>
        <w:t>11,014</w:t>
      </w:r>
    </w:p>
    <w:p>
      <w:pPr>
        <w:ind w:left="2600"/>
        <w:spacing w:after="0"/>
        <w:rPr>
          <w:sz w:val="20"/>
          <w:szCs w:val="20"/>
          <w:color w:val="auto"/>
        </w:rPr>
      </w:pPr>
      <w:r>
        <w:rPr>
          <w:rFonts w:ascii="Courier New" w:cs="Courier New" w:eastAsia="Courier New" w:hAnsi="Courier New"/>
          <w:sz w:val="18"/>
          <w:szCs w:val="18"/>
          <w:color w:val="auto"/>
        </w:rPr>
        <w:t>0</w:t>
      </w:r>
    </w:p>
    <w:p>
      <w:pPr>
        <w:ind w:left="2180"/>
        <w:spacing w:after="0" w:line="237" w:lineRule="auto"/>
        <w:rPr>
          <w:sz w:val="20"/>
          <w:szCs w:val="20"/>
          <w:color w:val="auto"/>
        </w:rPr>
      </w:pPr>
      <w:r>
        <w:rPr>
          <w:rFonts w:ascii="Courier New" w:cs="Courier New" w:eastAsia="Courier New" w:hAnsi="Courier New"/>
          <w:sz w:val="18"/>
          <w:szCs w:val="18"/>
          <w:color w:val="auto"/>
        </w:rPr>
        <w:t>415</w:t>
      </w:r>
    </w:p>
    <w:p>
      <w:pPr>
        <w:ind w:left="2380"/>
        <w:spacing w:after="0" w:line="238" w:lineRule="auto"/>
        <w:rPr>
          <w:sz w:val="20"/>
          <w:szCs w:val="20"/>
          <w:color w:val="auto"/>
        </w:rPr>
      </w:pPr>
      <w:r>
        <w:rPr>
          <w:rFonts w:ascii="Courier New" w:cs="Courier New" w:eastAsia="Courier New" w:hAnsi="Courier New"/>
          <w:sz w:val="18"/>
          <w:szCs w:val="18"/>
          <w:color w:val="auto"/>
        </w:rPr>
        <w:t>(777)</w:t>
      </w:r>
    </w:p>
    <w:p>
      <w:pPr>
        <w:ind w:left="2700"/>
        <w:spacing w:after="0"/>
        <w:rPr>
          <w:sz w:val="20"/>
          <w:szCs w:val="20"/>
          <w:color w:val="auto"/>
        </w:rPr>
      </w:pPr>
      <w:r>
        <w:rPr>
          <w:rFonts w:ascii="Courier New" w:cs="Courier New" w:eastAsia="Courier New" w:hAnsi="Courier New"/>
          <w:sz w:val="18"/>
          <w:szCs w:val="18"/>
          <w:color w:val="auto"/>
        </w:rPr>
        <w:t>(303)</w:t>
      </w:r>
    </w:p>
    <w:p>
      <w:pPr>
        <w:ind w:left="1960"/>
        <w:spacing w:after="0" w:line="237" w:lineRule="auto"/>
        <w:rPr>
          <w:sz w:val="20"/>
          <w:szCs w:val="20"/>
          <w:color w:val="auto"/>
        </w:rPr>
      </w:pPr>
      <w:r>
        <w:rPr>
          <w:rFonts w:ascii="Courier New" w:cs="Courier New" w:eastAsia="Courier New" w:hAnsi="Courier New"/>
          <w:sz w:val="18"/>
          <w:szCs w:val="18"/>
          <w:color w:val="auto"/>
        </w:rPr>
        <w:t>(474)</w:t>
      </w:r>
    </w:p>
    <w:p>
      <w:pPr>
        <w:ind w:left="2820"/>
        <w:spacing w:after="0"/>
        <w:rPr>
          <w:sz w:val="20"/>
          <w:szCs w:val="20"/>
          <w:color w:val="auto"/>
        </w:rPr>
      </w:pPr>
      <w:r>
        <w:rPr>
          <w:rFonts w:ascii="Courier New" w:cs="Courier New" w:eastAsia="Courier New" w:hAnsi="Courier New"/>
          <w:sz w:val="18"/>
          <w:szCs w:val="18"/>
          <w:color w:val="auto"/>
        </w:rPr>
        <w:t>0</w:t>
      </w:r>
    </w:p>
    <w:p>
      <w:pPr>
        <w:ind w:left="2700"/>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2700"/>
        <w:spacing w:after="0" w:line="237" w:lineRule="auto"/>
        <w:rPr>
          <w:sz w:val="20"/>
          <w:szCs w:val="20"/>
          <w:color w:val="auto"/>
        </w:rPr>
      </w:pPr>
      <w:r>
        <w:rPr>
          <w:rFonts w:ascii="Courier New" w:cs="Courier New" w:eastAsia="Courier New" w:hAnsi="Courier New"/>
          <w:sz w:val="18"/>
          <w:szCs w:val="18"/>
          <w:color w:val="auto"/>
        </w:rPr>
        <w:t>(474)</w:t>
      </w:r>
    </w:p>
    <w:p>
      <w:pPr>
        <w:ind w:left="2500"/>
        <w:spacing w:after="0" w:line="238" w:lineRule="auto"/>
        <w:rPr>
          <w:sz w:val="20"/>
          <w:szCs w:val="20"/>
          <w:color w:val="auto"/>
        </w:rPr>
      </w:pPr>
      <w:r>
        <w:rPr>
          <w:rFonts w:ascii="Courier New" w:cs="Courier New" w:eastAsia="Courier New" w:hAnsi="Courier New"/>
          <w:sz w:val="18"/>
          <w:szCs w:val="18"/>
          <w:color w:val="auto"/>
        </w:rPr>
        <w:t>(0.03)</w:t>
      </w:r>
    </w:p>
    <w:p>
      <w:pPr>
        <w:ind w:left="2500"/>
        <w:spacing w:after="0"/>
        <w:rPr>
          <w:sz w:val="20"/>
          <w:szCs w:val="20"/>
          <w:color w:val="auto"/>
        </w:rPr>
      </w:pPr>
      <w:r>
        <w:rPr>
          <w:rFonts w:ascii="Courier New" w:cs="Courier New" w:eastAsia="Courier New" w:hAnsi="Courier New"/>
          <w:sz w:val="18"/>
          <w:szCs w:val="18"/>
          <w:color w:val="auto"/>
        </w:rPr>
        <w:t>(0.03)</w:t>
      </w:r>
    </w:p>
    <w:sectPr>
      <w:pgSz w:w="11900" w:h="16838" w:orient="portrait"/>
      <w:cols w:equalWidth="0" w:num="1">
        <w:col w:w="9019"/>
      </w:cols>
      <w:pgMar w:left="14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78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upperLetter"/>
      <w:start w:val="1"/>
    </w:lvl>
  </w:abstractNum>
  <w:abstractNum w:abstractNumId="10">
    <w:nsid w:val="3352255A"/>
    <w:multiLevelType w:val="hybridMultilevel"/>
    <w:lvl w:ilvl="0">
      <w:lvlJc w:val="left"/>
      <w:lvlText w:val="%1."/>
      <w:numFmt w:val="upperLetter"/>
      <w:start w:val="2"/>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27"/>
    </w:lvl>
  </w:abstractNum>
  <w:abstractNum w:abstractNumId="13">
    <w:nsid w:val="7FDCC233"/>
    <w:multiLevelType w:val="hybridMultilevel"/>
    <w:lvl w:ilvl="0">
      <w:lvlJc w:val="left"/>
      <w:lvlText w:val="%1"/>
      <w:numFmt w:val="decimal"/>
      <w:start w:val="99"/>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2019-12-19T21:59:57Z</dcterms:created>
  <dcterms:modified xsi:type="dcterms:W3CDTF">2019-12-19T21:59:57Z</dcterms:modified>
</cp:coreProperties>
</file>