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8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850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HUSIC FRANK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94" w:lineRule="auto"/>
        <w:rPr>
          <w:sz w:val="20"/>
          <w:szCs w:val="20"/>
          <w:color w:val="auto"/>
        </w:rPr>
      </w:pPr>
      <w:r>
        <w:rPr>
          <w:rFonts w:ascii="Arial" w:cs="Arial" w:eastAsia="Arial" w:hAnsi="Arial"/>
          <w:sz w:val="18"/>
          <w:szCs w:val="18"/>
          <w:color w:val="0000FF"/>
        </w:rPr>
        <w:t>C/O CASUAL MALE RETAIL GROUP, INC. 555 TURNPIKE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CASUAL MALE RETAIL GROUP INC</w:t>
        </w:r>
        <w:r>
          <w:rPr>
            <w:rFonts w:ascii="Arial" w:cs="Arial" w:eastAsia="Arial" w:hAnsi="Arial"/>
            <w:sz w:val="21"/>
            <w:szCs w:val="21"/>
            <w:color w:val="0000EE"/>
          </w:rPr>
          <w:t xml:space="preserve"> </w:t>
        </w:r>
      </w:hyperlink>
      <w:r>
        <w:rPr>
          <w:rFonts w:ascii="Arial" w:cs="Arial" w:eastAsia="Arial" w:hAnsi="Arial"/>
          <w:sz w:val="21"/>
          <w:szCs w:val="21"/>
          <w:color w:val="000000"/>
        </w:rPr>
        <w:t>[</w:t>
      </w:r>
    </w:p>
    <w:p>
      <w:pPr>
        <w:spacing w:after="0" w:line="2" w:lineRule="exact"/>
        <w:rPr>
          <w:sz w:val="24"/>
          <w:szCs w:val="24"/>
          <w:color w:val="auto"/>
        </w:rPr>
      </w:pPr>
    </w:p>
    <w:p>
      <w:pPr>
        <w:spacing w:after="0"/>
        <w:rPr>
          <w:sz w:val="20"/>
          <w:szCs w:val="20"/>
          <w:color w:val="auto"/>
        </w:rPr>
      </w:pPr>
      <w:r>
        <w:rPr>
          <w:rFonts w:ascii="Arial" w:cs="Arial" w:eastAsia="Arial" w:hAnsi="Arial"/>
          <w:sz w:val="18"/>
          <w:szCs w:val="18"/>
          <w:color w:val="0000FF"/>
        </w:rPr>
        <w:t xml:space="preserve">CMRG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08/11/2003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609" w:lineRule="exact"/>
        <w:rPr>
          <w:sz w:val="24"/>
          <w:szCs w:val="24"/>
          <w:color w:val="auto"/>
        </w:rPr>
      </w:pPr>
    </w:p>
    <w:p>
      <w:pPr>
        <w:sectPr>
          <w:pgSz w:w="11900" w:h="16838" w:orient="portrait"/>
          <w:cols w:equalWidth="0" w:num="3">
            <w:col w:w="3420" w:space="660"/>
            <w:col w:w="3660" w:space="317"/>
            <w:col w:w="3363"/>
          </w:cols>
          <w:pgMar w:left="240" w:top="226" w:right="239" w:bottom="1440" w:gutter="0" w:footer="0" w:header="0"/>
          <w:type w:val="continuous"/>
        </w:sectPr>
      </w:pPr>
    </w:p>
    <w:p>
      <w:pPr>
        <w:spacing w:after="0" w:line="269"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40" w:type="dxa"/>
            <w:vAlign w:val="bottom"/>
          </w:tcPr>
          <w:p>
            <w:pPr>
              <w:spacing w:after="0"/>
              <w:rPr>
                <w:sz w:val="20"/>
                <w:szCs w:val="20"/>
                <w:color w:val="auto"/>
              </w:rPr>
            </w:pPr>
            <w:r>
              <w:rPr>
                <w:rFonts w:ascii="Arial" w:cs="Arial" w:eastAsia="Arial" w:hAnsi="Arial"/>
                <w:sz w:val="18"/>
                <w:szCs w:val="18"/>
                <w:color w:val="0000FF"/>
              </w:rPr>
              <w:t>CANTON,</w:t>
            </w:r>
          </w:p>
        </w:tc>
        <w:tc>
          <w:tcPr>
            <w:tcW w:w="1080" w:type="dxa"/>
            <w:vAlign w:val="bottom"/>
          </w:tcPr>
          <w:p>
            <w:pPr>
              <w:ind w:left="240"/>
              <w:spacing w:after="0"/>
              <w:rPr>
                <w:sz w:val="20"/>
                <w:szCs w:val="20"/>
                <w:color w:val="auto"/>
              </w:rPr>
            </w:pPr>
            <w:r>
              <w:rPr>
                <w:rFonts w:ascii="Arial" w:cs="Arial" w:eastAsia="Arial" w:hAnsi="Arial"/>
                <w:sz w:val="18"/>
                <w:szCs w:val="18"/>
                <w:color w:val="0000FF"/>
              </w:rPr>
              <w:t>MA</w:t>
            </w:r>
          </w:p>
        </w:tc>
        <w:tc>
          <w:tcPr>
            <w:tcW w:w="1680" w:type="dxa"/>
            <w:vAlign w:val="bottom"/>
          </w:tcPr>
          <w:p>
            <w:pPr>
              <w:ind w:left="420"/>
              <w:spacing w:after="0"/>
              <w:rPr>
                <w:sz w:val="20"/>
                <w:szCs w:val="20"/>
                <w:color w:val="auto"/>
              </w:rPr>
            </w:pPr>
            <w:r>
              <w:rPr>
                <w:rFonts w:ascii="Arial" w:cs="Arial" w:eastAsia="Arial" w:hAnsi="Arial"/>
                <w:sz w:val="18"/>
                <w:szCs w:val="18"/>
                <w:color w:val="0000FF"/>
              </w:rPr>
              <w:t>02021</w:t>
            </w:r>
          </w:p>
        </w:tc>
      </w:tr>
      <w:tr>
        <w:trPr>
          <w:trHeight w:val="158"/>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(City)</w:t>
            </w:r>
          </w:p>
        </w:tc>
        <w:tc>
          <w:tcPr>
            <w:tcW w:w="1080" w:type="dxa"/>
            <w:vAlign w:val="bottom"/>
          </w:tcPr>
          <w:p>
            <w:pPr>
              <w:ind w:left="2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15"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00" w:type="dxa"/>
            <w:vAlign w:val="bottom"/>
            <w:gridSpan w:val="2"/>
          </w:tcPr>
          <w:p>
            <w:pPr>
              <w:ind w:left="360"/>
              <w:spacing w:after="0"/>
              <w:rPr>
                <w:sz w:val="20"/>
                <w:szCs w:val="20"/>
                <w:color w:val="auto"/>
              </w:rPr>
            </w:pPr>
            <w:r>
              <w:rPr>
                <w:rFonts w:ascii="Arial" w:cs="Arial" w:eastAsia="Arial" w:hAnsi="Arial"/>
                <w:sz w:val="12"/>
                <w:szCs w:val="12"/>
                <w:b w:val="1"/>
                <w:bCs w:val="1"/>
                <w:color w:val="auto"/>
              </w:rPr>
              <w:t>2. Transaction</w:t>
            </w:r>
          </w:p>
        </w:tc>
        <w:tc>
          <w:tcPr>
            <w:tcW w:w="144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4"/>
                <w:szCs w:val="14"/>
                <w:color w:val="auto"/>
              </w:rPr>
            </w:pP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5. Amount of</w:t>
            </w:r>
          </w:p>
        </w:tc>
        <w:tc>
          <w:tcPr>
            <w:tcW w:w="32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Arial" w:cs="Arial" w:eastAsia="Arial" w:hAnsi="Arial"/>
                <w:sz w:val="12"/>
                <w:szCs w:val="12"/>
                <w:b w:val="1"/>
                <w:bCs w:val="1"/>
                <w:color w:val="auto"/>
              </w:rPr>
              <w:t>6. Ownership</w:t>
            </w:r>
          </w:p>
        </w:tc>
        <w:tc>
          <w:tcPr>
            <w:tcW w:w="11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14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1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80" w:type="dxa"/>
            <w:vAlign w:val="bottom"/>
            <w:gridSpan w:val="3"/>
          </w:tcPr>
          <w:p>
            <w:pPr>
              <w:ind w:left="360"/>
              <w:spacing w:after="0" w:line="135"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rPr>
                <w:sz w:val="11"/>
                <w:szCs w:val="11"/>
                <w:color w:val="auto"/>
              </w:rPr>
            </w:pPr>
          </w:p>
        </w:tc>
        <w:tc>
          <w:tcPr>
            <w:tcW w:w="10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11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40" w:type="dxa"/>
            <w:vAlign w:val="bottom"/>
            <w:gridSpan w:val="3"/>
          </w:tcPr>
          <w:p>
            <w:pPr>
              <w:ind w:left="300"/>
              <w:spacing w:after="0" w:line="135"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Owned Following</w:t>
            </w:r>
          </w:p>
        </w:tc>
        <w:tc>
          <w:tcPr>
            <w:tcW w:w="10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340" w:type="dxa"/>
            <w:vAlign w:val="bottom"/>
          </w:tcPr>
          <w:p>
            <w:pPr>
              <w:spacing w:after="0" w:line="135" w:lineRule="exact"/>
              <w:rPr>
                <w:sz w:val="20"/>
                <w:szCs w:val="20"/>
                <w:color w:val="auto"/>
              </w:rPr>
            </w:pPr>
            <w:r>
              <w:rPr>
                <w:rFonts w:ascii="Arial" w:cs="Arial" w:eastAsia="Arial" w:hAnsi="Arial"/>
                <w:sz w:val="12"/>
                <w:szCs w:val="12"/>
                <w:b w:val="1"/>
                <w:bCs w:val="1"/>
                <w:color w:val="auto"/>
              </w:rPr>
              <w:t>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0000FF"/>
              </w:rPr>
              <w:t>By Husic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Stock, $.01 par value</w:t>
            </w:r>
          </w:p>
        </w:tc>
        <w:tc>
          <w:tcPr>
            <w:tcW w:w="1980" w:type="dxa"/>
            <w:vAlign w:val="bottom"/>
            <w:gridSpan w:val="3"/>
          </w:tcPr>
          <w:p>
            <w:pPr>
              <w:ind w:left="480"/>
              <w:spacing w:after="0"/>
              <w:rPr>
                <w:sz w:val="20"/>
                <w:szCs w:val="20"/>
                <w:color w:val="auto"/>
              </w:rPr>
            </w:pPr>
            <w:r>
              <w:rPr>
                <w:rFonts w:ascii="Arial" w:cs="Arial" w:eastAsia="Arial" w:hAnsi="Arial"/>
                <w:sz w:val="18"/>
                <w:szCs w:val="18"/>
                <w:color w:val="0000FF"/>
              </w:rPr>
              <w:t>08/11/2003</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ind w:left="120"/>
              <w:spacing w:after="0"/>
              <w:rPr>
                <w:sz w:val="20"/>
                <w:szCs w:val="20"/>
                <w:color w:val="auto"/>
              </w:rPr>
            </w:pPr>
            <w:r>
              <w:rPr>
                <w:rFonts w:ascii="Arial" w:cs="Arial" w:eastAsia="Arial" w:hAnsi="Arial"/>
                <w:sz w:val="12"/>
                <w:szCs w:val="12"/>
                <w:color w:val="0000FF"/>
                <w:w w:val="74"/>
              </w:rPr>
              <w:t>P</w:t>
            </w:r>
          </w:p>
        </w:tc>
        <w:tc>
          <w:tcPr>
            <w:tcW w:w="540" w:type="dxa"/>
            <w:vAlign w:val="bottom"/>
          </w:tcPr>
          <w:p>
            <w:pPr>
              <w:spacing w:after="0"/>
              <w:rPr>
                <w:sz w:val="18"/>
                <w:szCs w:val="18"/>
                <w:color w:val="auto"/>
              </w:rPr>
            </w:pPr>
          </w:p>
        </w:tc>
        <w:tc>
          <w:tcPr>
            <w:tcW w:w="880" w:type="dxa"/>
            <w:vAlign w:val="bottom"/>
          </w:tcPr>
          <w:p>
            <w:pPr>
              <w:ind w:left="280"/>
              <w:spacing w:after="0"/>
              <w:rPr>
                <w:sz w:val="20"/>
                <w:szCs w:val="20"/>
                <w:color w:val="auto"/>
              </w:rPr>
            </w:pPr>
            <w:r>
              <w:rPr>
                <w:rFonts w:ascii="Arial" w:cs="Arial" w:eastAsia="Arial" w:hAnsi="Arial"/>
                <w:sz w:val="18"/>
                <w:szCs w:val="18"/>
                <w:color w:val="0000FF"/>
              </w:rPr>
              <w:t>824</w:t>
            </w:r>
          </w:p>
        </w:tc>
        <w:tc>
          <w:tcPr>
            <w:tcW w:w="440" w:type="dxa"/>
            <w:vAlign w:val="bottom"/>
          </w:tcPr>
          <w:p>
            <w:pPr>
              <w:ind w:left="100"/>
              <w:spacing w:after="0"/>
              <w:rPr>
                <w:sz w:val="20"/>
                <w:szCs w:val="20"/>
                <w:color w:val="auto"/>
              </w:rPr>
            </w:pPr>
            <w:r>
              <w:rPr>
                <w:rFonts w:ascii="Arial" w:cs="Arial" w:eastAsia="Arial" w:hAnsi="Arial"/>
                <w:sz w:val="18"/>
                <w:szCs w:val="18"/>
                <w:color w:val="0000FF"/>
              </w:rPr>
              <w:t>A</w:t>
            </w:r>
          </w:p>
        </w:tc>
        <w:tc>
          <w:tcPr>
            <w:tcW w:w="700" w:type="dxa"/>
            <w:vAlign w:val="bottom"/>
          </w:tcPr>
          <w:p>
            <w:pPr>
              <w:ind w:left="40"/>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6.3802</w:t>
            </w:r>
          </w:p>
        </w:tc>
        <w:tc>
          <w:tcPr>
            <w:tcW w:w="40" w:type="dxa"/>
            <w:vAlign w:val="bottom"/>
          </w:tcPr>
          <w:p>
            <w:pPr>
              <w:spacing w:after="0"/>
              <w:rPr>
                <w:sz w:val="18"/>
                <w:szCs w:val="18"/>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color w:val="0000FF"/>
              </w:rPr>
              <w:t>1,527,825</w:t>
            </w:r>
          </w:p>
        </w:tc>
        <w:tc>
          <w:tcPr>
            <w:tcW w:w="600" w:type="dxa"/>
            <w:vAlign w:val="bottom"/>
          </w:tcPr>
          <w:p>
            <w:pPr>
              <w:ind w:left="460"/>
              <w:spacing w:after="0"/>
              <w:rPr>
                <w:sz w:val="20"/>
                <w:szCs w:val="20"/>
                <w:color w:val="auto"/>
              </w:rPr>
            </w:pPr>
            <w:r>
              <w:rPr>
                <w:rFonts w:ascii="Arial" w:cs="Arial" w:eastAsia="Arial" w:hAnsi="Arial"/>
                <w:sz w:val="18"/>
                <w:szCs w:val="18"/>
                <w:color w:val="0000FF"/>
              </w:rPr>
              <w:t>I</w:t>
            </w:r>
          </w:p>
        </w:tc>
        <w:tc>
          <w:tcPr>
            <w:tcW w:w="420" w:type="dxa"/>
            <w:vAlign w:val="bottom"/>
          </w:tcPr>
          <w:p>
            <w:pPr>
              <w:spacing w:after="0"/>
              <w:rPr>
                <w:sz w:val="18"/>
                <w:szCs w:val="18"/>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3"/>
          </w:tcPr>
          <w:p>
            <w:pPr>
              <w:spacing w:after="0"/>
              <w:rPr>
                <w:sz w:val="20"/>
                <w:szCs w:val="20"/>
                <w:color w:val="auto"/>
              </w:rPr>
            </w:pPr>
            <w:r>
              <w:rPr>
                <w:rFonts w:ascii="Arial" w:cs="Arial" w:eastAsia="Arial" w:hAnsi="Arial"/>
                <w:sz w:val="18"/>
                <w:szCs w:val="18"/>
                <w:color w:val="0000FF"/>
                <w:w w:val="91"/>
              </w:rPr>
              <w:t>Management</w:t>
            </w:r>
            <w:r>
              <w:rPr>
                <w:rFonts w:ascii="Arial" w:cs="Arial" w:eastAsia="Arial" w:hAnsi="Arial"/>
                <w:sz w:val="22"/>
                <w:szCs w:val="22"/>
                <w:color w:val="008000"/>
                <w:w w:val="91"/>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11"/>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4.</w:t>
            </w:r>
          </w:p>
        </w:tc>
        <w:tc>
          <w:tcPr>
            <w:tcW w:w="8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Amount of</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Form:</w:t>
            </w:r>
          </w:p>
        </w:tc>
        <w:tc>
          <w:tcPr>
            <w:tcW w:w="3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8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Underlying</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8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8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Security (Instr. 3</w:t>
            </w:r>
          </w:p>
        </w:tc>
        <w:tc>
          <w:tcPr>
            <w:tcW w:w="78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8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and 4)</w:t>
            </w:r>
          </w:p>
        </w:tc>
        <w:tc>
          <w:tcPr>
            <w:tcW w:w="78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(Instr. 3, 4</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4)</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gridSpan w:val="2"/>
          </w:tcPr>
          <w:p>
            <w:pPr>
              <w:ind w:left="160"/>
              <w:spacing w:after="0"/>
              <w:rPr>
                <w:sz w:val="20"/>
                <w:szCs w:val="20"/>
                <w:color w:val="auto"/>
              </w:rPr>
            </w:pPr>
            <w:r>
              <w:rPr>
                <w:rFonts w:ascii="Arial" w:cs="Arial" w:eastAsia="Arial" w:hAnsi="Arial"/>
                <w:sz w:val="12"/>
                <w:szCs w:val="12"/>
                <w:b w:val="1"/>
                <w:bCs w:val="1"/>
                <w:color w:val="auto"/>
              </w:rPr>
              <w:t>Amount</w:t>
            </w: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80"/>
              <w:spacing w:after="0" w:line="135"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7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200" w:type="dxa"/>
            <w:vAlign w:val="bottom"/>
          </w:tcPr>
          <w:p>
            <w:pPr>
              <w:spacing w:after="0"/>
              <w:rPr>
                <w:sz w:val="13"/>
                <w:szCs w:val="13"/>
                <w:color w:val="auto"/>
              </w:rPr>
            </w:pP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ind w:left="160"/>
              <w:spacing w:after="0"/>
              <w:rPr>
                <w:sz w:val="20"/>
                <w:szCs w:val="20"/>
                <w:color w:val="auto"/>
              </w:rPr>
            </w:pPr>
            <w:r>
              <w:rPr>
                <w:rFonts w:ascii="Arial" w:cs="Arial" w:eastAsia="Arial" w:hAnsi="Arial"/>
                <w:sz w:val="12"/>
                <w:szCs w:val="12"/>
                <w:b w:val="1"/>
                <w:bCs w:val="1"/>
                <w:color w:val="auto"/>
              </w:rPr>
              <w:t>Shares</w:t>
            </w: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6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may ultimately, on an indirect basis, have sole voting and dispositive power with respect to these shares of the Issuer's common stock, over which Husic Capital Management, a California limited partnership and registered investment adviser, has discretionary authority to buy, sell or vote (the "Investment Adviser"). The Investment Adviser's sole partner is Frank J. Husic and Co., a California corporation (the "General Partner"). Such shares are indirectly beneficially owned by the Reporting Person based on the relationship of the Reporting Person to the Investment Adviser and the General Partner. However, the Reporting Person, the Investment Adviser and the General Partner disclaim any beneficial interest in the subject security except to the extent of their pecuniary interest.</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Frank J. Husic</w:t>
            </w: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08/11/2003</w:t>
            </w:r>
          </w:p>
        </w:tc>
      </w:tr>
      <w:tr>
        <w:trPr>
          <w:trHeight w:val="20"/>
        </w:trPr>
        <w:tc>
          <w:tcPr>
            <w:tcW w:w="102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0918220"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2019-12-16T22:35:11Z</dcterms:created>
  <dcterms:modified xsi:type="dcterms:W3CDTF">2019-12-16T22:35:11Z</dcterms:modified>
</cp:coreProperties>
</file>