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16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9"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5"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5"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2"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75"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5"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75" w:lineRule="exact"/>
        <w:rPr>
          <w:rFonts w:ascii="MS PGothic" w:cs="MS PGothic" w:eastAsia="MS PGothic" w:hAnsi="MS PGothic"/>
          <w:sz w:val="18"/>
          <w:szCs w:val="18"/>
          <w:color w:val="auto"/>
        </w:rPr>
      </w:pPr>
    </w:p>
    <w:p>
      <w:pPr>
        <w:ind w:left="780" w:hanging="262"/>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17"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17" w:lineRule="exact"/>
        <w:rPr>
          <w:rFonts w:ascii="Times New Roman" w:cs="Times New Roman" w:eastAsia="Times New Roman" w:hAnsi="Times New Roman"/>
          <w:sz w:val="18"/>
          <w:szCs w:val="18"/>
          <w:color w:val="auto"/>
        </w:rPr>
      </w:pPr>
    </w:p>
    <w:p>
      <w:pPr>
        <w:ind w:left="780" w:hanging="262"/>
        <w:spacing w:after="0" w:line="280" w:lineRule="auto"/>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69"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30"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5" w:lineRule="exact"/>
        <w:rPr>
          <w:rFonts w:ascii="MS PGothic" w:cs="MS PGothic" w:eastAsia="MS PGothic" w:hAnsi="MS PGothic"/>
          <w:sz w:val="18"/>
          <w:szCs w:val="18"/>
          <w:color w:val="auto"/>
        </w:rPr>
      </w:pPr>
    </w:p>
    <w:p>
      <w:pPr>
        <w:ind w:left="260" w:right="660" w:hanging="252"/>
        <w:spacing w:after="0" w:line="280" w:lineRule="auto"/>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 w:lineRule="exact"/>
        <w:rPr>
          <w:rFonts w:ascii="MS PGothic" w:cs="MS PGothic" w:eastAsia="MS PGothic" w:hAnsi="MS PGothic"/>
          <w:sz w:val="18"/>
          <w:szCs w:val="18"/>
          <w:color w:val="auto"/>
        </w:rPr>
      </w:pPr>
    </w:p>
    <w:p>
      <w:pPr>
        <w:ind w:left="780" w:hanging="262"/>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17"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17"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17"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499745</wp:posOffset>
            </wp:positionH>
            <wp:positionV relativeFrom="paragraph">
              <wp:posOffset>-3166745</wp:posOffset>
            </wp:positionV>
            <wp:extent cx="6751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-2833370</wp:posOffset>
            </wp:positionV>
            <wp:extent cx="6751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-2355850</wp:posOffset>
            </wp:positionV>
            <wp:extent cx="6751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-2014220</wp:posOffset>
            </wp:positionV>
            <wp:extent cx="6751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-1672590</wp:posOffset>
            </wp:positionV>
            <wp:extent cx="6751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-844550</wp:posOffset>
            </wp:positionV>
            <wp:extent cx="6751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-511810</wp:posOffset>
            </wp:positionV>
            <wp:extent cx="6751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-179070</wp:posOffset>
            </wp:positionV>
            <wp:extent cx="6751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1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28980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200" w:right="2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to be held on August 9, 2018</w:t>
      </w:r>
    </w:p>
    <w:p>
      <w:pPr>
        <w:spacing w:after="0" w:line="22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Notice is hereby given that the 2018 Annual Meeting of Stockholders of Destination XL Group, Inc. (the “Company”) will be held at the corporate offices of the Company, 555 Turnpike Street, Canton, Massachusetts 02021 at 9:30 A.M., local time, on Thursday, August 9, 2018 for the following purposes:</w:t>
      </w:r>
    </w:p>
    <w:p>
      <w:pPr>
        <w:spacing w:after="0" w:line="55" w:lineRule="exact"/>
        <w:rPr>
          <w:sz w:val="20"/>
          <w:szCs w:val="20"/>
          <w:color w:val="auto"/>
        </w:rPr>
      </w:pPr>
    </w:p>
    <w:p>
      <w:pPr>
        <w:ind w:left="760" w:right="460" w:hanging="376"/>
        <w:spacing w:after="0" w:line="28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to serve until the next Annual Meeting of Stockholders and until their respective successors have been duly elected and qualified.</w:t>
      </w:r>
    </w:p>
    <w:p>
      <w:pPr>
        <w:spacing w:after="0" w:line="5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named executive officer compensation.</w:t>
      </w:r>
    </w:p>
    <w:p>
      <w:pPr>
        <w:spacing w:after="0" w:line="115" w:lineRule="exact"/>
        <w:rPr>
          <w:rFonts w:ascii="Times New Roman" w:cs="Times New Roman" w:eastAsia="Times New Roman" w:hAnsi="Times New Roman"/>
          <w:sz w:val="18"/>
          <w:szCs w:val="18"/>
          <w:color w:val="auto"/>
        </w:rPr>
      </w:pPr>
    </w:p>
    <w:p>
      <w:pPr>
        <w:ind w:left="760" w:right="540" w:hanging="376"/>
        <w:spacing w:after="0" w:line="28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an amendment to the Company’s Restated Certificate of Incorporation to modify certain protective transfer restrictions designed to preserve our ability to utilize our net operating loss (“NOL”) carryforwards.</w:t>
      </w:r>
    </w:p>
    <w:p>
      <w:pPr>
        <w:spacing w:after="0" w:line="5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February 2, 2019.</w:t>
      </w:r>
    </w:p>
    <w:p>
      <w:pPr>
        <w:spacing w:after="0" w:line="115"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proposals are more fully described in the Proxy Statement following this Notice.</w:t>
      </w:r>
    </w:p>
    <w:p>
      <w:pPr>
        <w:spacing w:after="0" w:line="2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Board of Directors recommends that you vote (i) FOR the election of all nine nominees to serve as directors of the Company, (ii) FOR the approval, on an advisory basis, of named executive officer compensation, (iii) FOR the approval of the amendment to our Certificate of Incorporation, and (iv) FOR the ratification of the appointment of KPMG LLP as our independent registered public accounting firm for the fiscal year ending February 2,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Along with the attached Proxy Statement, we are sending you a copy of our Annual Report on Form 10-K for the fiscal year ended February 3, 2018.</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June 26, 2018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26, 2018 will be available for inspection by any of our stockholders for any purpose germane to the Annual Meeting during normal business hours at our principal executive offices, 555 Turnpike Street, Canton, Massachusetts 02021, beginning on July 26, 2018 and at the Annual Meeting.</w:t>
      </w:r>
    </w:p>
    <w:p>
      <w:pPr>
        <w:spacing w:after="0" w:line="18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16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 ROBERT S. MOLLOY</w:t>
      </w:r>
    </w:p>
    <w:p>
      <w:pPr>
        <w:spacing w:after="0" w:line="1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Secretary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Massachusetts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13, 2018</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August 9,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Proxy Statement and 2018 Annual Report to Stockholders are available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http://investor.destinationxl.com/financial-information/annual-reports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28980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TABLE OF CONTENTS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60" w:type="dxa"/>
            <w:vAlign w:val="bottom"/>
          </w:tcPr>
          <w:p>
            <w:pPr>
              <w:spacing w:after="0"/>
              <w:rPr>
                <w:sz w:val="24"/>
                <w:szCs w:val="24"/>
                <w:color w:val="auto"/>
              </w:rPr>
            </w:pPr>
          </w:p>
        </w:tc>
        <w:tc>
          <w:tcPr>
            <w:tcW w:w="10860" w:type="dxa"/>
            <w:vAlign w:val="bottom"/>
            <w:gridSpan w:val="16"/>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Information About the Annual Meeting and Voting</w:t>
              </w:r>
            </w:hyperlink>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0860" w:type="dxa"/>
            <w:vAlign w:val="bottom"/>
            <w:gridSpan w:val="16"/>
            <w:vMerge w:val="continue"/>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360" w:type="dxa"/>
            <w:vAlign w:val="bottom"/>
            <w:tcBorders>
              <w:top w:val="single" w:sz="8" w:color="0000EE"/>
              <w:bottom w:val="single" w:sz="8" w:color="0000EE"/>
            </w:tcBorders>
            <w:gridSpan w:val="8"/>
          </w:tcPr>
          <w:p>
            <w:pPr>
              <w:spacing w:after="0" w:line="195"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Proposal 1: Election of Directors</w:t>
              </w:r>
            </w:hyperlink>
          </w:p>
        </w:tc>
        <w:tc>
          <w:tcPr>
            <w:tcW w:w="1280" w:type="dxa"/>
            <w:vAlign w:val="bottom"/>
            <w:tcBorders>
              <w:top w:val="single" w:sz="8" w:color="0000EE"/>
            </w:tcBorders>
            <w:gridSpan w:val="3"/>
          </w:tcPr>
          <w:p>
            <w:pPr>
              <w:spacing w:after="0"/>
              <w:rPr>
                <w:sz w:val="16"/>
                <w:szCs w:val="16"/>
                <w:color w:val="auto"/>
              </w:rPr>
            </w:pPr>
          </w:p>
        </w:tc>
        <w:tc>
          <w:tcPr>
            <w:tcW w:w="7220" w:type="dxa"/>
            <w:vAlign w:val="bottom"/>
            <w:gridSpan w:val="5"/>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6"/>
          </w:tcPr>
          <w:p>
            <w:pPr>
              <w:spacing w:after="0" w:line="195"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Corporate Governance</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6"/>
          </w:tcPr>
          <w:p>
            <w:pPr>
              <w:spacing w:after="0" w:line="195"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Committees of the Board</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680" w:type="dxa"/>
            <w:vAlign w:val="bottom"/>
            <w:tcBorders>
              <w:top w:val="single" w:sz="8" w:color="0000EE"/>
              <w:bottom w:val="single" w:sz="8" w:color="0000EE"/>
            </w:tcBorders>
            <w:gridSpan w:val="4"/>
          </w:tcPr>
          <w:p>
            <w:pPr>
              <w:spacing w:after="0" w:line="195" w:lineRule="exact"/>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Director Compensation</w:t>
              </w:r>
            </w:hyperlink>
          </w:p>
        </w:tc>
        <w:tc>
          <w:tcPr>
            <w:tcW w:w="120" w:type="dxa"/>
            <w:vAlign w:val="bottom"/>
            <w:tcBorders>
              <w:top w:val="single" w:sz="8" w:color="0000EE"/>
            </w:tcBorders>
          </w:tcPr>
          <w:p>
            <w:pPr>
              <w:spacing w:after="0"/>
              <w:rPr>
                <w:sz w:val="16"/>
                <w:szCs w:val="16"/>
                <w:color w:val="auto"/>
              </w:rPr>
            </w:pPr>
          </w:p>
        </w:tc>
        <w:tc>
          <w:tcPr>
            <w:tcW w:w="9060" w:type="dxa"/>
            <w:vAlign w:val="bottom"/>
            <w:gridSpan w:val="11"/>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4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Compensation Discussion and Analysis</w:t>
              </w:r>
            </w:hyperlink>
          </w:p>
        </w:tc>
        <w:tc>
          <w:tcPr>
            <w:tcW w:w="8020" w:type="dxa"/>
            <w:vAlign w:val="bottom"/>
            <w:gridSpan w:val="7"/>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22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Summary Compensation Table</w:t>
              </w:r>
            </w:hyperlink>
          </w:p>
        </w:tc>
        <w:tc>
          <w:tcPr>
            <w:tcW w:w="8640" w:type="dxa"/>
            <w:vAlign w:val="bottom"/>
            <w:gridSpan w:val="10"/>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6"/>
          </w:tcPr>
          <w:p>
            <w:pPr>
              <w:spacing w:after="0" w:line="195"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Proposal 2: Advisory Vote to Approve Named Executive Officer Compensatio</w:t>
              </w:r>
            </w:hyperlink>
            <w:r>
              <w:rPr>
                <w:rFonts w:ascii="Times New Roman" w:cs="Times New Roman" w:eastAsia="Times New Roman" w:hAnsi="Times New Roman"/>
                <w:sz w:val="18"/>
                <w:szCs w:val="18"/>
                <w:color w:val="000000"/>
              </w:rPr>
              <w:t>n</w:t>
            </w: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6"/>
          </w:tcPr>
          <w:p>
            <w:pPr>
              <w:spacing w:after="0" w:line="195"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Proposal 3: Approval and Adoption of Amendment to Certification of Incorporation</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66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Proposal 4: Ratification of Appointment of Independent Registered Public Accounting Firm</w:t>
              </w:r>
            </w:hyperlink>
          </w:p>
        </w:tc>
        <w:tc>
          <w:tcPr>
            <w:tcW w:w="4260" w:type="dxa"/>
            <w:vAlign w:val="bottom"/>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24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Report of the Audit Committee</w:t>
              </w:r>
            </w:hyperlink>
          </w:p>
        </w:tc>
        <w:tc>
          <w:tcPr>
            <w:tcW w:w="8620" w:type="dxa"/>
            <w:vAlign w:val="bottom"/>
            <w:gridSpan w:val="9"/>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6"/>
          </w:tcPr>
          <w:p>
            <w:pPr>
              <w:spacing w:after="0" w:line="195"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Security Ownership</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6"/>
          </w:tcPr>
          <w:p>
            <w:pPr>
              <w:spacing w:after="0" w:line="195"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Delivery of Documents to Stockholders Sharing an Address</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280" w:type="dxa"/>
            <w:vAlign w:val="bottom"/>
            <w:tcBorders>
              <w:top w:val="single" w:sz="8" w:color="0000EE"/>
            </w:tcBorders>
            <w:gridSpan w:val="12"/>
          </w:tcPr>
          <w:p>
            <w:pPr>
              <w:spacing w:after="0" w:line="195"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Stockholder Proposals</w:t>
              </w:r>
            </w:hyperlink>
          </w:p>
        </w:tc>
        <w:tc>
          <w:tcPr>
            <w:tcW w:w="6580" w:type="dxa"/>
            <w:vAlign w:val="bottom"/>
            <w:gridSpan w:val="4"/>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00" w:type="dxa"/>
            <w:vAlign w:val="bottom"/>
            <w:tcBorders>
              <w:top w:val="single" w:sz="8" w:color="0000EE"/>
              <w:bottom w:val="single" w:sz="8" w:color="0000EE"/>
            </w:tcBorders>
          </w:tcPr>
          <w:p>
            <w:pPr>
              <w:spacing w:after="0" w:line="195"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Other Matters</w:t>
              </w:r>
            </w:hyperlink>
          </w:p>
        </w:tc>
        <w:tc>
          <w:tcPr>
            <w:tcW w:w="620" w:type="dxa"/>
            <w:vAlign w:val="bottom"/>
            <w:tcBorders>
              <w:top w:val="single" w:sz="8" w:color="0000EE"/>
            </w:tcBorders>
            <w:gridSpan w:val="2"/>
          </w:tcPr>
          <w:p>
            <w:pPr>
              <w:spacing w:after="0"/>
              <w:rPr>
                <w:sz w:val="16"/>
                <w:szCs w:val="16"/>
                <w:color w:val="auto"/>
              </w:rPr>
            </w:pPr>
          </w:p>
        </w:tc>
        <w:tc>
          <w:tcPr>
            <w:tcW w:w="9240" w:type="dxa"/>
            <w:vAlign w:val="bottom"/>
            <w:gridSpan w:val="13"/>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62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Appendix A – Proposed Amendment the Restated Certificate of Incorporation</w:t>
              </w:r>
            </w:hyperlink>
          </w:p>
        </w:tc>
        <w:tc>
          <w:tcPr>
            <w:tcW w:w="5240" w:type="dxa"/>
            <w:vAlign w:val="bottom"/>
            <w:gridSpan w:val="3"/>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A-1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860" w:type="dxa"/>
            <w:vAlign w:val="bottom"/>
            <w:gridSpan w:val="16"/>
          </w:tcPr>
          <w:p>
            <w:pPr>
              <w:spacing w:after="0" w:line="195"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Appendix B – Non-GAAP Financial Measures</w:t>
              </w:r>
            </w:hyperlink>
          </w:p>
        </w:tc>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B-1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5"/>
        </w:trPr>
        <w:tc>
          <w:tcPr>
            <w:tcW w:w="60" w:type="dxa"/>
            <w:vAlign w:val="bottom"/>
            <w:tcBorders>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 828-9300</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9, 2018</w:t>
      </w:r>
    </w:p>
    <w:p>
      <w:pPr>
        <w:spacing w:after="0" w:line="20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and Distribution of Proxy Materials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This Proxy Statement and the enclosed form of proxy are being mailed to our stockholders on or about July 13, 2018,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9:30 A.M., local time, on Thursday, August 9, 2018 and at any and all adjournments thereof (the “Annual Meeting”). This Proxy Statement describes the matters to be voted on at the Annual Meeting and contains other required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Entitled to Vote</w:t>
      </w:r>
    </w:p>
    <w:p>
      <w:pPr>
        <w:spacing w:after="0" w:line="120"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color w:val="auto"/>
        </w:rPr>
        <w:t>Only holders of record of our common stock, par value $0.01 per share, at the close of business on June 26, 2018, the record date for the Annual Meeting, will be entitled to notice of, and to vote at, the Annual Meeting. On that date, there were 49,143,012 shares of common stock issued and outstanding. Each share is entitled to one vote at the Annual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Vote</w:t>
      </w:r>
    </w:p>
    <w:p>
      <w:pPr>
        <w:spacing w:after="0" w:line="12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Instructions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 proxy is returned properly executed, the shares represented will be voted in accordance with the stockholder’s instructions.</w:t>
      </w: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Stockholders are encouraged to vote on the matters to be considered. However, if no instructions have been specified by a stockholder, the shares covered by an executed proxy will be voted (i) FOR the election of all nine nominees to serve as directors of the Company, (ii) FOR the approval, on an advisory basis, of named executive officer compensation, (iii) FOR the approval of an amendment to our Restated Certificate of Incorporation, (iv) FOR the ratification of the appointment of KPMG LLP as our independent registered public accounting firm, for the fiscal year ending February 2, 2019 and (v) in the discretion of the proxies named in the proxy card with respect to any other matters properly brought before the Annual Meeting. We are not aware of any other matter that may be properly presented at the Annual Meeting.</w:t>
      </w:r>
    </w:p>
    <w:p>
      <w:pPr>
        <w:spacing w:after="0" w:line="18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4 to ratify the appointment of our independent registered public accounting firm. A broker “non-vote” occurs when the a broker or bank who is the record holder of the shares does not vote on a particular proposal, either because it does not have discretionary voting power to vote the shares or has not received voting instructions from the beneficial owner. A broker or bank does not have discretion to vote uninstructed shares on the proposals in this Proxy Statement, except for Proposal 4 to ratify the appointment of our independent registered public accounting firm, which is considered a “routine”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if you are not the record holder of your shares, it is critical that you provide instructions to your broker or bank if you want your vote to count.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Revoking Your Proxy or Changing Your Vote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at any time before it has been exercised as follows:</w:t>
      </w:r>
    </w:p>
    <w:p>
      <w:pPr>
        <w:spacing w:after="0" w:line="116" w:lineRule="exact"/>
        <w:rPr>
          <w:sz w:val="20"/>
          <w:szCs w:val="20"/>
          <w:color w:val="auto"/>
        </w:rPr>
      </w:pPr>
    </w:p>
    <w:p>
      <w:pPr>
        <w:ind w:left="760" w:hanging="37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and voting in person; or</w:t>
      </w:r>
    </w:p>
    <w:p>
      <w:pPr>
        <w:spacing w:after="0" w:line="115" w:lineRule="exact"/>
        <w:rPr>
          <w:rFonts w:ascii="Times New Roman" w:cs="Times New Roman" w:eastAsia="Times New Roman" w:hAnsi="Times New Roman"/>
          <w:sz w:val="18"/>
          <w:szCs w:val="18"/>
          <w:color w:val="auto"/>
        </w:rPr>
      </w:pPr>
    </w:p>
    <w:p>
      <w:pPr>
        <w:ind w:left="760" w:hanging="376"/>
        <w:spacing w:after="0" w:line="28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62"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a Proposal</w:t>
      </w:r>
    </w:p>
    <w:p>
      <w:pPr>
        <w:spacing w:after="0" w:line="1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affirmative vote of a majority of the outstanding shares of common stock entitled to vote is required for Proposal 3 in order to approve the amendment to our Certificate of Incorporation. A majority of the votes properly cast is required for approval of all other matters. However, as described in more detail in Proposal 2 below, Proposal 2 is an advisory vote and non-binding. Votes cast means the votes actually cast “for” or “against” a particular proposal, whether in person or by proxy.</w:t>
      </w:r>
    </w:p>
    <w:p>
      <w:pPr>
        <w:spacing w:after="0" w:line="7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With respect to Proposal 3, abstentions and broker non-votes will have the effect of votes “against” Proposal 3. With respect to all other matters presented at the Annual Meeting, abstentions and non-votes will not be deemed to be votes “cast” with respect to such matters and will not count as votes “for” or “against” such matter. Votes will be tabulated by our transfer agent subject to the supervision of persons designated by the Board of Directors as inspectors.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547"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In June 2018, in accordance with our Fourth Amended and Restated By-Laws (the “By-Laws”), our Board increased the number of members of the Board of Directors from nine directors to ten directors with the appointment of Lionel F. Conacher to the Board. Oliver Walsh, who was elected a director in August 2017, has decided not to stand for re-election in order to focus on a new endeavor, but will remain on the Board until the Annual Meeting. The Board has determined not to fill the resulting vacancy at this time, and the size of the Board will be reduced from ten directors to nine directors effective at the Annual Meeting.</w:t>
      </w:r>
    </w:p>
    <w:p>
      <w:pPr>
        <w:spacing w:after="0" w:line="18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At the Annual Meeting, nine nominees will be elected to serve on the Board until the 2019 Annual Meeting of Stockholders and until their respective successors have been duly elected and qualified. Accordingly, the Nominating and Corporate Governance Committee has recommended, and our Board has nominated, Seymour Holtzman, David A. Levin, John E. Kyees, Jack Boyle, Lionel F. Conacher, Willem Mesdag, Ward K. Mooney, Mitchell S. Presser and Ivy Ross as nominees, all of whom currently serve as members of our Board. Each of the nominees has agreed to stand for re-election and to serve if elected.</w:t>
      </w:r>
    </w:p>
    <w:p>
      <w:pPr>
        <w:spacing w:after="0" w:line="16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Unless a proxy shall specify that it is not to be voted for a nominee, it is intended that the shares represented by each duly executed and returned proxy will be voted in favor of the election as directors of Seymour Holtzman, David A. Levin, John E. Kyees, Jack Boyle, Lionel F. Conacher, Willem Mesdag, Ward K. Mooney, Mitchell S. Presser and Ivy Ross. Although management expects all nominees to serve if elected, proxies will be voted for a substitute if a nominee is unable or unwilling to accept nomination or election. Cumulative voting is not permitted.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2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election of each of the nominees. Any abstentions and broker non-votes will not be counted as votes cast on this proposal and, accordingly, will have no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 that you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election of the nine individuals named above as directors of our Company.</w:t>
      </w:r>
    </w:p>
    <w:p>
      <w:pPr>
        <w:spacing w:after="0" w:line="9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June 15, 2018 and the year in which each became a director of our Company: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Nominating and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Cybersecurity</w:t>
            </w:r>
          </w:p>
        </w:tc>
        <w:tc>
          <w:tcPr>
            <w:tcW w:w="840" w:type="dxa"/>
            <w:vAlign w:val="bottom"/>
          </w:tcPr>
          <w:p>
            <w:pPr>
              <w:spacing w:after="0"/>
              <w:rPr>
                <w:sz w:val="12"/>
                <w:szCs w:val="12"/>
                <w:color w:val="auto"/>
              </w:rPr>
            </w:pPr>
          </w:p>
        </w:tc>
      </w:tr>
      <w:tr>
        <w:trPr>
          <w:trHeight w:val="148"/>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3"/>
                <w:szCs w:val="13"/>
                <w:b w:val="1"/>
                <w:bCs w:val="1"/>
                <w:color w:val="auto"/>
              </w:rPr>
              <w:t>Director</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3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Marketing</w:t>
            </w:r>
          </w:p>
        </w:tc>
      </w:tr>
      <w:tr>
        <w:trPr>
          <w:trHeight w:val="165"/>
        </w:trPr>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Name </w:t>
            </w:r>
            <w:r>
              <w:rPr>
                <w:rFonts w:ascii="Times New Roman" w:cs="Times New Roman" w:eastAsia="Times New Roman" w:hAnsi="Times New Roman"/>
                <w:sz w:val="11"/>
                <w:szCs w:val="11"/>
                <w:b w:val="1"/>
                <w:bCs w:val="1"/>
                <w:color w:val="auto"/>
              </w:rPr>
              <w:t>(1)</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Age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Since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 xml:space="preserve">Audit </w:t>
            </w:r>
            <w:r>
              <w:rPr>
                <w:rFonts w:ascii="Times New Roman" w:cs="Times New Roman" w:eastAsia="Times New Roman" w:hAnsi="Times New Roman"/>
                <w:sz w:val="11"/>
                <w:szCs w:val="11"/>
                <w:b w:val="1"/>
                <w:bCs w:val="1"/>
                <w:color w:val="auto"/>
              </w:rPr>
              <w:t>(2)</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xml:space="preserve">Compensation </w:t>
            </w:r>
            <w:r>
              <w:rPr>
                <w:rFonts w:ascii="Times New Roman" w:cs="Times New Roman" w:eastAsia="Times New Roman" w:hAnsi="Times New Roman"/>
                <w:sz w:val="11"/>
                <w:szCs w:val="11"/>
                <w:b w:val="1"/>
                <w:bCs w:val="1"/>
                <w:color w:val="auto"/>
              </w:rPr>
              <w:t>(3)</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xml:space="preserve">Governance </w:t>
            </w:r>
            <w:r>
              <w:rPr>
                <w:rFonts w:ascii="Times New Roman" w:cs="Times New Roman" w:eastAsia="Times New Roman" w:hAnsi="Times New Roman"/>
                <w:sz w:val="11"/>
                <w:szCs w:val="11"/>
                <w:b w:val="1"/>
                <w:bCs w:val="1"/>
                <w:color w:val="auto"/>
              </w:rPr>
              <w:t>(4)</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 xml:space="preserve">Data Privacy </w:t>
            </w:r>
            <w:r>
              <w:rPr>
                <w:rFonts w:ascii="Times New Roman" w:cs="Times New Roman" w:eastAsia="Times New Roman" w:hAnsi="Times New Roman"/>
                <w:sz w:val="11"/>
                <w:szCs w:val="11"/>
                <w:b w:val="1"/>
                <w:bCs w:val="1"/>
                <w:color w:val="auto"/>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Strategy </w:t>
            </w:r>
            <w:r>
              <w:rPr>
                <w:rFonts w:ascii="Times New Roman" w:cs="Times New Roman" w:eastAsia="Times New Roman" w:hAnsi="Times New Roman"/>
                <w:sz w:val="11"/>
                <w:szCs w:val="11"/>
                <w:b w:val="1"/>
                <w:bCs w:val="1"/>
                <w:color w:val="auto"/>
              </w:rPr>
              <w:t>(6)</w:t>
            </w:r>
          </w:p>
        </w:tc>
      </w:tr>
      <w:tr>
        <w:trPr>
          <w:trHeight w:val="204"/>
        </w:trPr>
        <w:tc>
          <w:tcPr>
            <w:tcW w:w="4140" w:type="dxa"/>
            <w:vAlign w:val="bottom"/>
            <w:tcBorders>
              <w:top w:val="single" w:sz="8" w:color="auto"/>
            </w:tcBorders>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Seymour Holtzman, Executive Chairman of the Board</w:t>
            </w: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r>
      <w:tr>
        <w:trPr>
          <w:trHeight w:val="233"/>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Levin, President and Chief Executive Officer</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E. Kyees, Lead Independent Director</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1"/>
              </w:rPr>
              <w:t>X</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840" w:type="dxa"/>
            <w:vAlign w:val="bottom"/>
            <w:shd w:val="clear" w:color="auto" w:fill="CFF0FC"/>
          </w:tcPr>
          <w:p>
            <w:pPr>
              <w:spacing w:after="0"/>
              <w:rPr>
                <w:sz w:val="19"/>
                <w:szCs w:val="19"/>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Boyle, Director</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Lionel F. Conacher </w:t>
            </w:r>
            <w:r>
              <w:rPr>
                <w:rFonts w:ascii="Times New Roman" w:cs="Times New Roman" w:eastAsia="Times New Roman" w:hAnsi="Times New Roman"/>
                <w:sz w:val="15"/>
                <w:szCs w:val="15"/>
                <w:color w:val="auto"/>
              </w:rPr>
              <w:t>(7)</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Willem Mesdag, Director</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Ward K. Mooney, Director</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C</w:t>
            </w:r>
          </w:p>
        </w:tc>
        <w:tc>
          <w:tcPr>
            <w:tcW w:w="13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Mitchell S. Presser, Director</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Ivy Ross, Director</w:t>
            </w:r>
          </w:p>
        </w:tc>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current member and committee chairperson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 current member of the committee</w:t>
      </w:r>
    </w:p>
    <w:p>
      <w:pPr>
        <w:spacing w:after="0" w:line="123" w:lineRule="exact"/>
        <w:rPr>
          <w:sz w:val="20"/>
          <w:szCs w:val="20"/>
          <w:color w:val="auto"/>
        </w:rPr>
      </w:pPr>
    </w:p>
    <w:p>
      <w:pPr>
        <w:ind w:left="760" w:right="680" w:hanging="376"/>
        <w:spacing w:after="0" w:line="26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Oliver Walsh notified the Company that he would not stand for re-election at the Annual Meeting. Mr. Walsh will continue to serve on the Marketing Strategy and the Cybersecurity and Data Privacy Committees until August 9, 2018.</w:t>
      </w:r>
    </w:p>
    <w:p>
      <w:pPr>
        <w:ind w:left="760" w:hanging="376"/>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Mooney has been Chairman of the Audit Committee since June 1, 2017. Mr. Kyees was appointed to the Audit Committee on June 1, 2017.</w:t>
      </w:r>
    </w:p>
    <w:p>
      <w:pPr>
        <w:spacing w:after="0" w:line="8" w:lineRule="exact"/>
        <w:rPr>
          <w:rFonts w:ascii="Times New Roman" w:cs="Times New Roman" w:eastAsia="Times New Roman" w:hAnsi="Times New Roman"/>
          <w:sz w:val="18"/>
          <w:szCs w:val="18"/>
          <w:color w:val="auto"/>
        </w:rPr>
      </w:pPr>
    </w:p>
    <w:p>
      <w:pPr>
        <w:ind w:left="760" w:right="20" w:hanging="376"/>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Mesdag has been Chairman of the Compensation Committee since February 2, 2017. Mr. Kyees was a member of the Compensation Committee until February 2, 2017 and his seat was not filled. Mr. Presser was appointed to the Compensation Committee on August 3, 2017.</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6" w:name="page7"/>
    <w:bookmarkEnd w:id="6"/>
    <w:p>
      <w:pPr>
        <w:ind w:left="760" w:right="220" w:hanging="376"/>
        <w:spacing w:after="0" w:line="26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Ross was appointed to the Nominating and Corporate Governance Committee on April 1, 2017. Mr. Boyle was appointed to the Nominating and Corporate Governance Committee on August 3, 2017.</w:t>
      </w:r>
    </w:p>
    <w:p>
      <w:pPr>
        <w:ind w:left="760" w:hanging="376"/>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Presser was a member of the Cybersecurity and Data Security Committee until August 3, 2017.</w:t>
      </w:r>
    </w:p>
    <w:p>
      <w:pPr>
        <w:spacing w:after="0" w:line="8"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Committee was formed by the Board of Directors on August 3, 2017.</w:t>
      </w:r>
    </w:p>
    <w:p>
      <w:pPr>
        <w:spacing w:after="0" w:line="8" w:lineRule="exact"/>
        <w:rPr>
          <w:rFonts w:ascii="Times New Roman" w:cs="Times New Roman" w:eastAsia="Times New Roman" w:hAnsi="Times New Roman"/>
          <w:sz w:val="18"/>
          <w:szCs w:val="18"/>
          <w:color w:val="auto"/>
        </w:rPr>
      </w:pPr>
    </w:p>
    <w:p>
      <w:pPr>
        <w:ind w:left="760" w:right="480" w:hanging="376"/>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Conacher was appointed a director of the Company on June 11, 2018, and will be appointed to serve on committees following the Annual Meeting.</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Seymour Holtzman </w:t>
      </w:r>
      <w:r>
        <w:rPr>
          <w:rFonts w:ascii="Times New Roman" w:cs="Times New Roman" w:eastAsia="Times New Roman" w:hAnsi="Times New Roman"/>
          <w:sz w:val="18"/>
          <w:szCs w:val="18"/>
          <w:color w:val="auto"/>
        </w:rPr>
        <w:t>has served as our Executive Chairman of the Board since August 2014. From April 2000 to August 2014, Mr. Holtzman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an indirect owner of C.D. Peacock, Inc., a Chicago, Illinois retail jewelry establishment, and is the managing member of Luxury Swiss, LLC, a retail Rolex watch establishment. Mr. Holtzman was formerly an officer of Homeclick LLC, which is currently the subject of an assignment for the benefit of creditors insolvency proceeding. Mr. Holtzman is a successful entrepreneur with extensive experience working with public companies and provides valuable insight to the Board with respect to strategic planning.</w:t>
      </w:r>
    </w:p>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A. Levin </w:t>
      </w:r>
      <w:r>
        <w:rPr>
          <w:rFonts w:ascii="Times New Roman" w:cs="Times New Roman" w:eastAsia="Times New Roman" w:hAnsi="Times New Roman"/>
          <w:sz w:val="18"/>
          <w:szCs w:val="18"/>
          <w:color w:val="auto"/>
        </w:rPr>
        <w:t>has been our President and Chief Executive Officer and a director since April 2000. From 1999 to 2000, he served as the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In May 2017, Mr. Levin joined the board of directors of Lumber Liquidators, a publicly-traded company. Mr. Levin previously served on the board of directors of Christopher &amp; Banks Corporation, a publicly-traded company. Mr. Levin has extensive knowledge of our Company and valuable experience in merchandising and marketing initiatives. In his role as Chief Executive Officer he also acts as a liaison between the Board and management.</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Boyle </w:t>
      </w:r>
      <w:r>
        <w:rPr>
          <w:rFonts w:ascii="Times New Roman" w:cs="Times New Roman" w:eastAsia="Times New Roman" w:hAnsi="Times New Roman"/>
          <w:sz w:val="18"/>
          <w:szCs w:val="18"/>
          <w:color w:val="auto"/>
        </w:rPr>
        <w:t>has been a director since August 2017. Since December 2017, Mr. Boyle has been the co-president of North America direct to consumer/omni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 for Fanatics, Inc., a market leader for officially licensed sports merchandise, and originally joined the company as president of merchandising in June 2012. Prior to Fanatics, Inc.,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Lionel F. Conacher </w:t>
      </w:r>
      <w:r>
        <w:rPr>
          <w:rFonts w:ascii="Times New Roman" w:cs="Times New Roman" w:eastAsia="Times New Roman" w:hAnsi="Times New Roman"/>
          <w:sz w:val="18"/>
          <w:szCs w:val="18"/>
          <w:color w:val="auto"/>
        </w:rPr>
        <w:t>was appointed a director in June 2018. Since January 2011, Mr. Conacher has been a senior advisor for Altamont Capital Partners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He currently is a member of the board of directors of Dakine, a designer and manufacturer of sportswear and sports equipment for the snowboard, ski, surf, skate, bike, kite, and wind communities, and Mervin Manufacturing, a leading designer and manufacturer of snow boards and other board sports equipment. Mr. Conacher brings extensive financial and operational experience to the Board.</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John E. Kyees </w:t>
      </w:r>
      <w:r>
        <w:rPr>
          <w:rFonts w:ascii="Times New Roman" w:cs="Times New Roman" w:eastAsia="Times New Roman" w:hAnsi="Times New Roman"/>
          <w:sz w:val="18"/>
          <w:szCs w:val="18"/>
          <w:color w:val="auto"/>
        </w:rPr>
        <w:t>has been a director since May 2010 and has been the Company’s Lead Independent Director since February 2017. From February 2014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2014, Mr. Kyees served as Interim Chief Financial Officer of the Company. In 2010, Mr. Kyees retired as the chief investor relations officer from Urban Outfitters, Inc., a retail chain, after serving as chief financial officer from 2003 to 2010. Mr. Kyees serves as lead independent director and chairman of the audit committee of Vera Bradley, Inc., a publicly-traded company. Mr. Kyees is also a director and chairman of the audit committee of Arhaus Furniture, a privately-held retailer. Mr. Kyees previously served as director and a member of the audit committee of Hot Topic, Inc., a formerly publicly-traded company. Mr. Kyees previously served as a director and member of the audit committee of Teavana, a publicly-traded company. Mr. Kyees previously served as a director and member of the audit committee of Rackwise, Inc., a publicly-traded company.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 w:name="page8"/>
    <w:bookmarkEnd w:id="7"/>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Willem Mesdag </w:t>
      </w:r>
      <w:r>
        <w:rPr>
          <w:rFonts w:ascii="Times New Roman" w:cs="Times New Roman" w:eastAsia="Times New Roman" w:hAnsi="Times New Roman"/>
          <w:sz w:val="18"/>
          <w:szCs w:val="18"/>
          <w:color w:val="auto"/>
        </w:rPr>
        <w:t>has been a director since January 2014. Since January 2005, Mr. Mesdag has been the managing partner of Red Mountain Capital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boards of Heidrick &amp; Struggles International, Inc., and Yuma Energy, Inc., both of which are publicly-traded companies. He previously served on the boards of 3i Group plc, Cost Plus, Inc., Encore Capital Group, Inc., Nature’s Sunshine Products, Inc. and Skandia Group AB, all of which are publicly-traded companies. Having had an extensive career in international investment banking and finance, Mr. Mesdag brings to the Board significant knowledge and experience related to business and financial issues and corporate governance.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Ward K. Mooney </w:t>
      </w:r>
      <w:r>
        <w:rPr>
          <w:rFonts w:ascii="Times New Roman" w:cs="Times New Roman" w:eastAsia="Times New Roman" w:hAnsi="Times New Roman"/>
          <w:sz w:val="18"/>
          <w:szCs w:val="18"/>
          <w:color w:val="auto"/>
        </w:rPr>
        <w:t>has been a director since July 2006. Mr. Mooney was a co-founder of Crystal Financial LLC, formerly Crystal Capital, and served as its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April 2010 until his retirement in December 2017. From April 2006 to April 2010, Mr. Mooney was the Senior Managing Partner of Crystal Capital. Prior to April 2006, Mr. Mooney was the president of Bank of America Retail Finance Group and managing partner of Back Bay Capital, which Mr. Mooney co-founded and both of which were formerly Bank of Boston businesses. Mr. Mooney provides the Board with valuable insight with respect to his extensive experience as a lender in the retail industry. The Board has determined that Mr. Mooney’s extensive knowledge and experience in finance qualifies him as an audit committee financial expert.</w:t>
      </w:r>
    </w:p>
    <w:p>
      <w:pPr>
        <w:spacing w:after="0" w:line="18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Mitchell S. Presser </w:t>
      </w:r>
      <w:r>
        <w:rPr>
          <w:rFonts w:ascii="Times New Roman" w:cs="Times New Roman" w:eastAsia="Times New Roman" w:hAnsi="Times New Roman"/>
          <w:sz w:val="17"/>
          <w:szCs w:val="17"/>
          <w:color w:val="auto"/>
        </w:rPr>
        <w:t>has been a director since May 2007. Since July 2014, Mr. Presser has been a partner and the head of U.S. M&amp;A at Freshfields Bruckhaus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Deringer LLP. From January 2014 until July 2014, Mr. Presser was a senior advisor to Paine Schwartz Partners (formerly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has served as a director on the boards of several privately-held companies. Mr. Presser’s extensive experience in private equity and strategic planning provides valuable insight to the Board.</w:t>
      </w:r>
    </w:p>
    <w:p>
      <w:pPr>
        <w:spacing w:after="0" w:line="16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Ivy Ross </w:t>
      </w:r>
      <w:r>
        <w:rPr>
          <w:rFonts w:ascii="Times New Roman" w:cs="Times New Roman" w:eastAsia="Times New Roman" w:hAnsi="Times New Roman"/>
          <w:sz w:val="17"/>
          <w:szCs w:val="17"/>
          <w:color w:val="auto"/>
        </w:rPr>
        <w:t>has been a director since January 2013. In May 2014, Ms. Ross joined Google as head of Glass and is currently a vice president, design for hardware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7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Non-Director Executive Officers</w:t>
      </w:r>
    </w:p>
    <w:p>
      <w:pPr>
        <w:spacing w:after="0" w:line="1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Peter H. Stratton, Jr.</w:t>
      </w:r>
      <w:r>
        <w:rPr>
          <w:rFonts w:ascii="Times New Roman" w:cs="Times New Roman" w:eastAsia="Times New Roman" w:hAnsi="Times New Roman"/>
          <w:sz w:val="18"/>
          <w:szCs w:val="18"/>
          <w:color w:val="auto"/>
        </w:rPr>
        <w:t>, 46, has been our Executive Vice President, Chief Financial Officer and Treasurer since November 2017. Prior to that, Mr. Stratton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8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Francis Chane, </w:t>
      </w:r>
      <w:r>
        <w:rPr>
          <w:rFonts w:ascii="Times New Roman" w:cs="Times New Roman" w:eastAsia="Times New Roman" w:hAnsi="Times New Roman"/>
          <w:sz w:val="18"/>
          <w:szCs w:val="18"/>
          <w:color w:val="auto"/>
        </w:rPr>
        <w:t>55, has been our Senior Vice President of Supply Chain and Customer Fulfillment since June 2011. Mr. Chane joined the Company in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3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i w:val="1"/>
          <w:iCs w:val="1"/>
          <w:color w:val="auto"/>
        </w:rPr>
        <w:t>John F. Cooney</w:t>
      </w:r>
      <w:r>
        <w:rPr>
          <w:rFonts w:ascii="Times New Roman" w:cs="Times New Roman" w:eastAsia="Times New Roman" w:hAnsi="Times New Roman"/>
          <w:sz w:val="18"/>
          <w:szCs w:val="18"/>
          <w:color w:val="auto"/>
        </w:rPr>
        <w:t>, 35, has been our Vice President of Finance and Managing Director, Corporate Controller and Chief Accounting Officer since May 2018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Vice President of Finance, Corporate Controller and Chief Accounting Officer since May 2015 and our Vice President of Finance and Corporate Controller since June 2014. From November 2010 until June 2014, Mr. Cooney was our Director of Financial Accounting and Reporting. Prior to joining the Company, Mr. Cooney was an audit manager with PricewaterhouseCoopers LLP, which he joined in August 2004.</w:t>
      </w:r>
    </w:p>
    <w:p>
      <w:pPr>
        <w:spacing w:after="0" w:line="1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i w:val="1"/>
          <w:iCs w:val="1"/>
          <w:color w:val="auto"/>
        </w:rPr>
        <w:t>Jim Davey, 53</w:t>
      </w:r>
      <w:r>
        <w:rPr>
          <w:rFonts w:ascii="Times New Roman" w:cs="Times New Roman" w:eastAsia="Times New Roman" w:hAnsi="Times New Roman"/>
          <w:sz w:val="18"/>
          <w:szCs w:val="18"/>
          <w:color w:val="auto"/>
        </w:rPr>
        <w:t>, joined the Company in March 2018 as our Executive Vice President and Chief Marketing Officer. Prior to joining the Company, Mr. Davey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vice-president of global marketing for Timberland, a VF corporation brand. From August 2009 to March 2012, Jim oversaw global brand marketing, communications, digital marketing, and creative services for Timberland’s footwear and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8" w:name="page9"/>
    <w:bookmarkEnd w:id="8"/>
    <w:p>
      <w:pPr>
        <w:ind w:right="60"/>
        <w:spacing w:after="0" w:line="259" w:lineRule="auto"/>
        <w:rPr>
          <w:sz w:val="20"/>
          <w:szCs w:val="20"/>
          <w:color w:val="auto"/>
        </w:rPr>
      </w:pPr>
      <w:r>
        <w:rPr>
          <w:rFonts w:ascii="Times New Roman" w:cs="Times New Roman" w:eastAsia="Times New Roman" w:hAnsi="Times New Roman"/>
          <w:sz w:val="18"/>
          <w:szCs w:val="18"/>
          <w:color w:val="auto"/>
        </w:rPr>
        <w:t>apparel businesses and from March 2012 to March 2018, was additionally responsible for all Timberland’s North American wholesale, retail, and e-commerce marketing. Prior to joining Timberland, Mr. Davey was senior vice-president of marketing and retail development for Nickelodeon &amp; Viacom Consumer Products and served as their vice-president of hard lines from 2001 to 2009. Prior to 2001, he held senior marketing positions with Polaroid and LEGO Systems, Inc. Mr. Davey has over 25 years of experience building lifestyle brands in categories from toys to entertainment to footwear and apparel</w:t>
      </w:r>
      <w:r>
        <w:rPr>
          <w:rFonts w:ascii="Arial" w:cs="Arial" w:eastAsia="Arial" w:hAnsi="Arial"/>
          <w:sz w:val="16"/>
          <w:szCs w:val="16"/>
          <w:color w:val="auto"/>
        </w:rPr>
        <w:t>.</w:t>
      </w:r>
    </w:p>
    <w:p>
      <w:pPr>
        <w:spacing w:after="0" w:line="15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Anthony J. Gaeta, </w:t>
      </w:r>
      <w:r>
        <w:rPr>
          <w:rFonts w:ascii="Times New Roman" w:cs="Times New Roman" w:eastAsia="Times New Roman" w:hAnsi="Times New Roman"/>
          <w:sz w:val="18"/>
          <w:szCs w:val="18"/>
          <w:color w:val="auto"/>
        </w:rPr>
        <w:t>48, has been our Senior Vice President of Store Sales and Operations since November 2017. Mr. Gaeta joined the Company in April 2010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Zone Vice President and was promoted to Vice President of Store Operations and Training in November 2013 before being named to his current position. Prior to joining the Company, Mr. Gaeta was a regional manager for Men’s Wearhouse from September 2007 until April 2011 and, prior to that, a regional vice president for After Hours Formalwear from March 2006 until September 2007</w:t>
      </w:r>
      <w:r>
        <w:rPr>
          <w:rFonts w:ascii="Arial" w:cs="Arial" w:eastAsia="Arial" w:hAnsi="Arial"/>
          <w:sz w:val="16"/>
          <w:szCs w:val="16"/>
          <w:color w:val="auto"/>
        </w:rPr>
        <w:t>.</w:t>
      </w:r>
      <w:r>
        <w:rPr>
          <w:rFonts w:ascii="Times New Roman" w:cs="Times New Roman" w:eastAsia="Times New Roman" w:hAnsi="Times New Roman"/>
          <w:sz w:val="18"/>
          <w:szCs w:val="18"/>
          <w:color w:val="auto"/>
        </w:rPr>
        <w:t xml:space="preserve"> Mr. Gaeta has over 25 years of retail sales management experience.</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Mary S. Luttrell</w:t>
      </w:r>
      <w:r>
        <w:rPr>
          <w:rFonts w:ascii="Times New Roman" w:cs="Times New Roman" w:eastAsia="Times New Roman" w:hAnsi="Times New Roman"/>
          <w:sz w:val="18"/>
          <w:szCs w:val="18"/>
          <w:color w:val="auto"/>
        </w:rPr>
        <w:t>, 56, has been our Senior Vice President of Marketing since January 2017. From November 2012 until January 2017, Ms. Luttrell was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Brand and Marketing. From April 2006 until November 2012, Ms. Luttrell was our Vice President of Advertising. Ms. Luttrell originally joined the Company in October 2000 and held prior positions of Senior Marketing Manager (October 2000 until February 2001) and Advertising Director (February 2001 until April 2006). Prior to joining the Company in October 2000, Ms. Luttrell was the manager of media advertising at Hills department stores and worked on the advertising agency side managing many retail accounts.</w:t>
      </w:r>
    </w:p>
    <w:p>
      <w:pPr>
        <w:spacing w:after="0" w:line="14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Robert S. Molloy, </w:t>
      </w:r>
      <w:r>
        <w:rPr>
          <w:rFonts w:ascii="Times New Roman" w:cs="Times New Roman" w:eastAsia="Times New Roman" w:hAnsi="Times New Roman"/>
          <w:sz w:val="18"/>
          <w:szCs w:val="18"/>
          <w:color w:val="auto"/>
        </w:rPr>
        <w:t>58, has been our Senior Vice President, Chief Administrative Officer, General Counsel and Secretary since May 2018, having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Company’s Senior Vice President, General Counsel since April 2010 and Secretary of the Company since May 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Brian S. Reaves, </w:t>
      </w:r>
      <w:r>
        <w:rPr>
          <w:rFonts w:ascii="Times New Roman" w:cs="Times New Roman" w:eastAsia="Times New Roman" w:hAnsi="Times New Roman"/>
          <w:sz w:val="18"/>
          <w:szCs w:val="18"/>
          <w:color w:val="auto"/>
        </w:rPr>
        <w:t>57, has been our Executive Vice President and Chief Customer Officer since November 2017. Prior to that, Mr. Reaves served as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and Chief Sales Officer since November 2014. From May 2010 until November 2014, Mr. Reaves was 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Walter E. Sprague</w:t>
      </w:r>
      <w:r>
        <w:rPr>
          <w:rFonts w:ascii="Times New Roman" w:cs="Times New Roman" w:eastAsia="Times New Roman" w:hAnsi="Times New Roman"/>
          <w:sz w:val="18"/>
          <w:szCs w:val="18"/>
          <w:color w:val="auto"/>
        </w:rPr>
        <w:t>, 69, has been our Senior Vice President of Human Resources since May 2006. From August 2003 through April 2006, Mr. Sprague was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4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Allison Surette</w:t>
      </w:r>
      <w:r>
        <w:rPr>
          <w:rFonts w:ascii="Times New Roman" w:cs="Times New Roman" w:eastAsia="Times New Roman" w:hAnsi="Times New Roman"/>
          <w:sz w:val="18"/>
          <w:szCs w:val="18"/>
          <w:color w:val="auto"/>
        </w:rPr>
        <w:t>, 37, has been our Senior Vice President General Merchandise Manager since May 2018. Prior to that, Ms. Surette was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Manager of Private Label, Active, Young Men’s and Outerwear since September 2016.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Former Non-Director Executive Officers</w:t>
      </w:r>
    </w:p>
    <w:p>
      <w:pPr>
        <w:spacing w:after="0" w:line="22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Angela Chan</w:t>
      </w:r>
      <w:r>
        <w:rPr>
          <w:rFonts w:ascii="Times New Roman" w:cs="Times New Roman" w:eastAsia="Times New Roman" w:hAnsi="Times New Roman"/>
          <w:sz w:val="17"/>
          <w:szCs w:val="17"/>
          <w:color w:val="auto"/>
        </w:rPr>
        <w:t>, 51, was our Senior Vice President, Chief Sourcing Officer and Global Business Development from January 2017 to January 2018. Prior to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Ms. Chan was our Senior Vice President and Chief Sourcing Officer since February 2015. From March 2013 to February 2015, Ms. Chan was our Senior Vice President of Global Sourcing and Product Development. Prior to that, from May 2010 to March 2013, Ms. Chan was our Vice President of Global Sourcing.</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Ms. Chan joined the Company in February 2009 as our Director of Global Sourcing. Prior to joining our Company, from October 2007 to December 2008 Ms. Chan was the senior product manager for Redcats USA. From 2007 to 2009, Ms. Chan was an independent retail consultant and analyst with the Gerson Lehrman Group and in 2006, she held the positions of director and executive vice president of global sourcing for Rocawear. Prior to that, Ms. Chan was the founder &amp; partner of several apparel manufacturing companies &amp; franchise restaurants. She also held various merchandising management positions with Macy’s corporate in New York and Hong Kong.</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Kenneth M. Ederle, </w:t>
      </w:r>
      <w:r>
        <w:rPr>
          <w:rFonts w:ascii="Times New Roman" w:cs="Times New Roman" w:eastAsia="Times New Roman" w:hAnsi="Times New Roman"/>
          <w:sz w:val="18"/>
          <w:szCs w:val="18"/>
          <w:color w:val="auto"/>
        </w:rPr>
        <w:t>53, was our Senior Vice President and Chief Merchandising Officer from April 2013 until May 2018. From April 2015 to November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 role also included Planning and Allocation. Prior to that, from May 2011 until April 2013, 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5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Sahal S. Laher, </w:t>
      </w:r>
      <w:r>
        <w:rPr>
          <w:rFonts w:ascii="Times New Roman" w:cs="Times New Roman" w:eastAsia="Times New Roman" w:hAnsi="Times New Roman"/>
          <w:sz w:val="18"/>
          <w:szCs w:val="18"/>
          <w:color w:val="auto"/>
        </w:rPr>
        <w:t>42, was our Senior Vice President, Chief Digital and Information Officer from January 2017 until May 2018. Prior to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2013 until January 2017, he served as executive vice president of digital, innovation and technology, global CIO for Brook Brothers Group. Prior to that, from April 2009 to February 2013, he was the global chief information officer at Stride Rite Corporation. Mr. Laher also held senior strategic consulting positions at Deloitte Consulting, Andersen Consulting and Data General Corporation.</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Peter E. Schmitz, </w:t>
      </w:r>
      <w:r>
        <w:rPr>
          <w:rFonts w:ascii="Times New Roman" w:cs="Times New Roman" w:eastAsia="Times New Roman" w:hAnsi="Times New Roman"/>
          <w:sz w:val="18"/>
          <w:szCs w:val="18"/>
          <w:color w:val="auto"/>
        </w:rPr>
        <w:t>58, was our Senior Vice President and Chief Real Estate Officer from June 2013 until May 2018. Prior to that, Mr. Schmitz was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Real Estate and Store Development. Prior to joining the Company in August 2007, Mr. Schmitz was the vice president of real estate for Brooks/Eckerd Pharmacy Chain from October 1995 to August 2007.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Our Board is currently comprised of ten members, but will be reduced to nine members at the Annual Meeting, when Mr. Walsh steps down at the end of his term.</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Our Board met 13 times during our fiscal year ended February 3, 2018 (“fiscal 2017”). All directors attended at least 75% of the Board meetings and meetings of the committees of the Board on which each director served. We believe that it is important for the members of the Board to attend Annual Meetings of Stockholders. Last year, all members of the Board attended the Annual Meeting of Stockholders held on August 3, 2017.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2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We comply with the corporate governance requirements imposed by the Sarbanes-Oxley Act of 2002, the SEC and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66" w:lineRule="exact"/>
        <w:rPr>
          <w:sz w:val="20"/>
          <w:szCs w:val="20"/>
          <w:color w:val="auto"/>
        </w:rPr>
      </w:pPr>
    </w:p>
    <w:p>
      <w:pPr>
        <w:ind w:left="780" w:right="140" w:hanging="262"/>
        <w:spacing w:after="0" w:line="284"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Election of Directors. </w:t>
      </w:r>
      <w:r>
        <w:rPr>
          <w:rFonts w:ascii="Times New Roman" w:cs="Times New Roman" w:eastAsia="Times New Roman" w:hAnsi="Times New Roman"/>
          <w:sz w:val="18"/>
          <w:szCs w:val="18"/>
          <w:color w:val="auto"/>
        </w:rPr>
        <w:t>Our directors are elected annually for a term of office to expire at the next Annual Meeting (subject to the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qualification of their successors).</w:t>
      </w:r>
    </w:p>
    <w:p>
      <w:pPr>
        <w:spacing w:after="0" w:line="47" w:lineRule="exact"/>
        <w:rPr>
          <w:rFonts w:ascii="Times New Roman" w:cs="Times New Roman" w:eastAsia="Times New Roman" w:hAnsi="Times New Roman"/>
          <w:sz w:val="18"/>
          <w:szCs w:val="18"/>
          <w:color w:val="auto"/>
        </w:rPr>
      </w:pPr>
    </w:p>
    <w:p>
      <w:pPr>
        <w:ind w:left="780" w:right="100" w:hanging="262"/>
        <w:spacing w:after="0" w:line="258"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Majority Vote for Uncontested Director Elections. </w:t>
      </w:r>
      <w:r>
        <w:rPr>
          <w:rFonts w:ascii="Times New Roman" w:cs="Times New Roman" w:eastAsia="Times New Roman" w:hAnsi="Times New Roman"/>
          <w:sz w:val="18"/>
          <w:szCs w:val="18"/>
          <w:color w:val="auto"/>
        </w:rPr>
        <w:t>Under our By-Laws, in an uncontested election, a majority of the votes properly cast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70" w:lineRule="exact"/>
        <w:rPr>
          <w:rFonts w:ascii="Times New Roman" w:cs="Times New Roman" w:eastAsia="Times New Roman" w:hAnsi="Times New Roman"/>
          <w:sz w:val="18"/>
          <w:szCs w:val="18"/>
          <w:color w:val="auto"/>
        </w:rPr>
      </w:pPr>
    </w:p>
    <w:p>
      <w:pPr>
        <w:ind w:left="780" w:right="240" w:hanging="262"/>
        <w:spacing w:after="0" w:line="258"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Board and Committees. </w:t>
      </w:r>
      <w:r>
        <w:rPr>
          <w:rFonts w:ascii="Times New Roman" w:cs="Times New Roman" w:eastAsia="Times New Roman" w:hAnsi="Times New Roman"/>
          <w:sz w:val="18"/>
          <w:szCs w:val="18"/>
          <w:color w:val="auto"/>
        </w:rPr>
        <w:t>The majority of our Board is comprised of independent directors. All members of our Board’s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Nominating and Corporate Governance committees are independent directors, and none receives compensation from us other than for service on our Board or its committees. Pursuant to a temporary consulting agreement, Mr. Walsh served as our Interim Chief Marketing Officer from August 2017 to December 2017, during which time he was not considered an independent director and did not receive any director compensation.</w:t>
      </w:r>
    </w:p>
    <w:p>
      <w:pPr>
        <w:spacing w:after="0" w:line="70" w:lineRule="exact"/>
        <w:rPr>
          <w:rFonts w:ascii="Times New Roman" w:cs="Times New Roman" w:eastAsia="Times New Roman" w:hAnsi="Times New Roman"/>
          <w:sz w:val="18"/>
          <w:szCs w:val="18"/>
          <w:color w:val="auto"/>
        </w:rPr>
      </w:pPr>
    </w:p>
    <w:p>
      <w:pPr>
        <w:ind w:left="780" w:hanging="262"/>
        <w:spacing w:after="0" w:line="284"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 Independent Director. </w:t>
      </w:r>
      <w:r>
        <w:rPr>
          <w:rFonts w:ascii="Times New Roman" w:cs="Times New Roman" w:eastAsia="Times New Roman" w:hAnsi="Times New Roman"/>
          <w:sz w:val="18"/>
          <w:szCs w:val="18"/>
          <w:color w:val="auto"/>
        </w:rPr>
        <w:t>On February 2, 2017, the Board approved the addition of a Lead Independent Director position, if the Chairman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is not independent. Accordingly, on February 2, 2017, Mr. Kyees was appointed Lead Independent Director.</w:t>
      </w:r>
    </w:p>
    <w:p>
      <w:pPr>
        <w:spacing w:after="0" w:line="47" w:lineRule="exact"/>
        <w:rPr>
          <w:rFonts w:ascii="Times New Roman" w:cs="Times New Roman" w:eastAsia="Times New Roman" w:hAnsi="Times New Roman"/>
          <w:sz w:val="18"/>
          <w:szCs w:val="18"/>
          <w:color w:val="auto"/>
        </w:rPr>
      </w:pPr>
    </w:p>
    <w:p>
      <w:pPr>
        <w:ind w:left="780" w:right="200" w:hanging="262"/>
        <w:spacing w:after="0" w:line="267"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Executive Sessions. </w:t>
      </w:r>
      <w:r>
        <w:rPr>
          <w:rFonts w:ascii="Times New Roman" w:cs="Times New Roman" w:eastAsia="Times New Roman" w:hAnsi="Times New Roman"/>
          <w:sz w:val="18"/>
          <w:szCs w:val="18"/>
          <w:color w:val="auto"/>
        </w:rPr>
        <w:t>Our Board holds executive sessions on at least a semi-annual basis, where independent directors meet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Chairman or Mr. Levin. In addition, periodically throughout the year, the full Board, including the Executive Chairman, may meet without management participation.</w:t>
      </w:r>
    </w:p>
    <w:p>
      <w:pPr>
        <w:spacing w:after="0" w:line="61" w:lineRule="exact"/>
        <w:rPr>
          <w:rFonts w:ascii="Times New Roman" w:cs="Times New Roman" w:eastAsia="Times New Roman" w:hAnsi="Times New Roman"/>
          <w:sz w:val="18"/>
          <w:szCs w:val="18"/>
          <w:color w:val="auto"/>
        </w:rPr>
      </w:pPr>
    </w:p>
    <w:p>
      <w:pPr>
        <w:ind w:left="780" w:right="160" w:hanging="262"/>
        <w:spacing w:after="0" w:line="261"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Each non-employee director is required to receive at least 50% of his or her retainer in equity,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shares or deferred stock or any combination thereof. Such equity may not be sold by the director without the approval of the Board while each director is still serving on the Board. While we do not have any required guidelines for stock ownership for members of senior management, we do encourage our senior management to have ownership in our Company.</w:t>
      </w:r>
    </w:p>
    <w:p>
      <w:pPr>
        <w:spacing w:after="0" w:line="67" w:lineRule="exact"/>
        <w:rPr>
          <w:rFonts w:ascii="Times New Roman" w:cs="Times New Roman" w:eastAsia="Times New Roman" w:hAnsi="Times New Roman"/>
          <w:sz w:val="18"/>
          <w:szCs w:val="18"/>
          <w:color w:val="auto"/>
        </w:rPr>
      </w:pPr>
    </w:p>
    <w:p>
      <w:pPr>
        <w:ind w:left="780" w:right="40" w:hanging="262"/>
        <w:spacing w:after="0" w:line="267"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Hedging of Company Securities. </w:t>
      </w:r>
      <w:r>
        <w:rPr>
          <w:rFonts w:ascii="Times New Roman" w:cs="Times New Roman" w:eastAsia="Times New Roman" w:hAnsi="Times New Roman"/>
          <w:sz w:val="18"/>
          <w:szCs w:val="18"/>
          <w:color w:val="auto"/>
        </w:rPr>
        <w:t>Our Insider Trading Policy prohibits our directors, officers and employees from engaging in various hedging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with Company securities, including short sales and any transaction involving a publicly traded option, such as a put, call or other derivative security.</w:t>
      </w:r>
    </w:p>
    <w:p>
      <w:pPr>
        <w:spacing w:after="0" w:line="61"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Stockholder Rights Plan. </w:t>
      </w:r>
      <w:r>
        <w:rPr>
          <w:rFonts w:ascii="Times New Roman" w:cs="Times New Roman" w:eastAsia="Times New Roman" w:hAnsi="Times New Roman"/>
          <w:sz w:val="18"/>
          <w:szCs w:val="18"/>
          <w:color w:val="auto"/>
        </w:rPr>
        <w:t>We do not currently have a stockholder rights plan in effect and are not currently considering adopting one.</w:t>
      </w:r>
    </w:p>
    <w:p>
      <w:pPr>
        <w:spacing w:after="0" w:line="115" w:lineRule="exact"/>
        <w:rPr>
          <w:rFonts w:ascii="Times New Roman" w:cs="Times New Roman" w:eastAsia="Times New Roman" w:hAnsi="Times New Roman"/>
          <w:sz w:val="18"/>
          <w:szCs w:val="18"/>
          <w:color w:val="auto"/>
        </w:rPr>
      </w:pPr>
    </w:p>
    <w:p>
      <w:pPr>
        <w:ind w:left="780" w:right="100" w:hanging="262"/>
        <w:spacing w:after="0" w:line="284"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Required for Merger or Business Combination</w:t>
      </w:r>
      <w:r>
        <w:rPr>
          <w:rFonts w:ascii="Times New Roman" w:cs="Times New Roman" w:eastAsia="Times New Roman" w:hAnsi="Times New Roman"/>
          <w:sz w:val="18"/>
          <w:szCs w:val="18"/>
          <w:color w:val="auto"/>
        </w:rPr>
        <w:t>. A majority vote of the outstanding shares entitled to vote is needed for the stockholders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 a merger or business combination.</w:t>
      </w:r>
    </w:p>
    <w:p>
      <w:pPr>
        <w:spacing w:after="0" w:line="47" w:lineRule="exact"/>
        <w:rPr>
          <w:rFonts w:ascii="Times New Roman" w:cs="Times New Roman" w:eastAsia="Times New Roman" w:hAnsi="Times New Roman"/>
          <w:sz w:val="18"/>
          <w:szCs w:val="18"/>
          <w:color w:val="auto"/>
        </w:rPr>
      </w:pPr>
    </w:p>
    <w:p>
      <w:pPr>
        <w:ind w:left="780" w:right="200" w:hanging="262"/>
        <w:spacing w:after="0" w:line="258"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Claw-back Policy. </w:t>
      </w:r>
      <w:r>
        <w:rPr>
          <w:rFonts w:ascii="Times New Roman" w:cs="Times New Roman" w:eastAsia="Times New Roman" w:hAnsi="Times New Roman"/>
          <w:sz w:val="18"/>
          <w:szCs w:val="18"/>
          <w:color w:val="auto"/>
        </w:rPr>
        <w:t>Our employment agreements with members of our senior management and our long-term incentive plans contain 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that provide for remedies in the event we learn, after the senior executive is terminated by us other than for “justifiable cause,” that the senior executive could have been terminated for “justifiable cause.” Although the final rules have not yet been promulgated, the Dodd-Frank Act will also require that we implement a policy providing for the recovery of erroneously paid incentive-based compensation following a required accounting restatement.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 w:name="page12"/>
    <w:bookmarkEnd w:id="11"/>
    <w:p>
      <w:pPr>
        <w:ind w:left="780" w:hanging="262"/>
        <w:spacing w:after="0" w:line="284"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Overboarding Policy. </w:t>
      </w:r>
      <w:r>
        <w:rPr>
          <w:rFonts w:ascii="Times New Roman" w:cs="Times New Roman" w:eastAsia="Times New Roman" w:hAnsi="Times New Roman"/>
          <w:sz w:val="18"/>
          <w:szCs w:val="18"/>
          <w:color w:val="auto"/>
        </w:rPr>
        <w:t>No director can serve on more than five public company boards. In addition, no director who is a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can serve on more than one public company board besides that of our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 majority of the members of the Board are “independent” under the rules of the Nasdaq Global Select Market (“Nasdaq”). The Board has determined that the following directors are independent: Messrs. Boyle, Conacher, Kyees, Mesdag, Mooney, Presser and Ross. Mr. Walsh has been an independent director of the Cybersecurity and Data Privacy Committee and the Marketing Strategy Committee. However, during the period August 14, 2017 to December 18, 2017, he served as our Interim Chief Marketing Officer, and during that time he was not deemed independent and did not receive any compensation for his services as a director.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Our Board has five standing committees: the Nominating and Corporate Governance Committee, the Audit Committee, the Compensation Committee, the Cybersecurity and Data Privacy Committee and the Marketing Strategy Committee. Each committee is comprised of directors who are “independent” under the rules of Nasdaq.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Messrs. Presser and Boyle and Ms. Ross, each of whom is “independent” under the rules of Nasdaq. The Nominating Committee met eight times during fiscal 2017.</w:t>
      </w:r>
    </w:p>
    <w:p>
      <w:pPr>
        <w:spacing w:after="0" w:line="19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82" w:lineRule="exact"/>
        <w:rPr>
          <w:sz w:val="20"/>
          <w:szCs w:val="20"/>
          <w:color w:val="auto"/>
        </w:rPr>
      </w:pPr>
    </w:p>
    <w:p>
      <w:pPr>
        <w:ind w:right="880"/>
        <w:spacing w:after="0" w:line="280" w:lineRule="auto"/>
        <w:rPr>
          <w:sz w:val="20"/>
          <w:szCs w:val="20"/>
          <w:color w:val="auto"/>
        </w:rPr>
      </w:pPr>
      <w:r>
        <w:rPr>
          <w:rFonts w:ascii="Times New Roman" w:cs="Times New Roman" w:eastAsia="Times New Roman" w:hAnsi="Times New Roman"/>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55" w:lineRule="exact"/>
        <w:rPr>
          <w:sz w:val="20"/>
          <w:szCs w:val="20"/>
          <w:color w:val="auto"/>
        </w:rPr>
      </w:pPr>
    </w:p>
    <w:p>
      <w:pPr>
        <w:ind w:left="780" w:hanging="262"/>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reputation for integrity, honesty and adherence to high ethical standards.</w:t>
      </w:r>
    </w:p>
    <w:p>
      <w:pPr>
        <w:spacing w:after="0" w:line="115" w:lineRule="exact"/>
        <w:rPr>
          <w:rFonts w:ascii="Times New Roman" w:cs="Times New Roman" w:eastAsia="Times New Roman" w:hAnsi="Times New Roman"/>
          <w:sz w:val="18"/>
          <w:szCs w:val="18"/>
          <w:color w:val="auto"/>
        </w:rPr>
      </w:pPr>
    </w:p>
    <w:p>
      <w:pPr>
        <w:ind w:left="780" w:right="260" w:hanging="262"/>
        <w:spacing w:after="0" w:line="280"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54" w:lineRule="exact"/>
        <w:rPr>
          <w:rFonts w:ascii="Times New Roman" w:cs="Times New Roman" w:eastAsia="Times New Roman" w:hAnsi="Times New Roman"/>
          <w:sz w:val="18"/>
          <w:szCs w:val="18"/>
          <w:color w:val="auto"/>
        </w:rPr>
      </w:pPr>
    </w:p>
    <w:p>
      <w:pPr>
        <w:ind w:left="780" w:right="360" w:hanging="262"/>
        <w:spacing w:after="0" w:line="280"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commitment to understand our Company and our industry and to regularly attend and participate in meetings of the Board and its committees.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12" w:name="page13"/>
    <w:bookmarkEnd w:id="12"/>
    <w:p>
      <w:pPr>
        <w:ind w:left="780" w:right="440" w:hanging="262"/>
        <w:spacing w:after="0" w:line="264"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69" w:lineRule="exact"/>
        <w:rPr>
          <w:rFonts w:ascii="Times New Roman" w:cs="Times New Roman" w:eastAsia="Times New Roman" w:hAnsi="Times New Roman"/>
          <w:sz w:val="18"/>
          <w:szCs w:val="18"/>
          <w:color w:val="auto"/>
        </w:rPr>
      </w:pPr>
    </w:p>
    <w:p>
      <w:pPr>
        <w:ind w:left="780" w:right="40" w:hanging="262"/>
        <w:spacing w:after="0" w:line="280"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procedures to be followed by stockholders in submitting recommendations for director candidates can be found in Section 4.15 of our By-Laws.</w:t>
      </w:r>
    </w:p>
    <w:p>
      <w:pPr>
        <w:spacing w:after="0" w:line="22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Except where we are legally required by contract or otherwise to provide third parties with the ability to nominate directors, 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We have a separately-designated standing Audit Committee established in accordance with section 3(a)(58)(A) of the Exchange Act. The Audit Committee is currently comprised of Messrs. Kyees, Mesdag and Mooney. Each of the members of the Audit Committee is independent, as independence for Audit Committee members is defined under the rules of Nasdaq. Messrs. Mooney and Kyees each qualify as an audit committee financial expert under the rules of the SEC.</w:t>
      </w:r>
    </w:p>
    <w:p>
      <w:pPr>
        <w:spacing w:after="0" w:line="18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2017, the Audit Committee met six times.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the Audit Committee, see the “</w:t>
      </w:r>
      <w:r>
        <w:rPr>
          <w:rFonts w:ascii="Times New Roman" w:cs="Times New Roman" w:eastAsia="Times New Roman" w:hAnsi="Times New Roman"/>
          <w:sz w:val="18"/>
          <w:szCs w:val="18"/>
          <w:i w:val="1"/>
          <w:iCs w:val="1"/>
          <w:color w:val="auto"/>
        </w:rPr>
        <w:t>Report of the Audit Committee</w:t>
      </w:r>
      <w:r>
        <w:rPr>
          <w:rFonts w:ascii="Times New Roman" w:cs="Times New Roman" w:eastAsia="Times New Roman" w:hAnsi="Times New Roman"/>
          <w:sz w:val="18"/>
          <w:szCs w:val="18"/>
          <w:color w:val="auto"/>
        </w:rPr>
        <w:t>” included elsewhere in this Proxy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six times during fiscal 2017. The current members of the Compensation Committee are Messrs. Mesdag, Mooney and Presser, each of whom is “independent” under the rules of the Nasdaq. Mr. Kyees served on the Compensation Committee until February 2, 2017 and his seat was not filled.</w:t>
      </w:r>
    </w:p>
    <w:p>
      <w:pPr>
        <w:spacing w:after="0" w:line="186"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 xml:space="preserve">The Compensation Committee operates under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13" w:name="page14"/>
    <w:bookmarkEnd w:id="13"/>
    <w:p>
      <w:pPr>
        <w:jc w:val="both"/>
        <w:ind w:right="240"/>
        <w:spacing w:after="0" w:line="264" w:lineRule="auto"/>
        <w:rPr>
          <w:sz w:val="20"/>
          <w:szCs w:val="20"/>
          <w:color w:val="auto"/>
        </w:rPr>
      </w:pPr>
      <w:r>
        <w:rPr>
          <w:rFonts w:ascii="Times New Roman" w:cs="Times New Roman" w:eastAsia="Times New Roman" w:hAnsi="Times New Roman"/>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and Data Privacy Committee</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On January 28, 2016, upon the recommendation of the Nominating Committee, the Board of Directors approved the formation of the Cybersecurity and Data Privacy Committee (the “Cybersecurity Committee”) to oversee the monitoring and management of cyber risk and data privacy in the Company. The Cybersecurity Committee has the authority to retain independent advisors, with all fees and expenses to be paid by the Company. The current members of the Cybersecurity Committee are Messrs. Kyees and Walsh and Ms. Ross. The Cybersecurity Committee met three times during fiscal 2017.</w:t>
      </w:r>
    </w:p>
    <w:p>
      <w:pPr>
        <w:spacing w:after="0" w:line="182"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 xml:space="preserve">The Cybersecurity Committee operates under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Strategy Committee</w:t>
      </w:r>
    </w:p>
    <w:p>
      <w:pPr>
        <w:spacing w:after="0" w:line="22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On August 3, 2017, the Board of Directors approved the formation of the Marketing Strategy Committee to assist the Board in its oversight of the strategic goals and objectives of the Company’s marketing and brand development programs, including digital and social media initiatives and the alignment of those initiatives with the Company’s strategic goals. The current members of the Marketing Strategy Committee are Ms. Ross, Messrs. Boyle and Walsh. The Marketing Strategy Committee met five times during fiscal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We currently separate the positions of Chief Executive Officer and Executive Chairman of the Board of Directors. Since 2002, Mr. Holtzman has served as our Chairman and since August 2014 as Executive Chairman. The responsibilities of the Executive Chairman are to preside at all meetings of the Board and stockholders of the Company and perform any such duties and functions as may from time to time be assigned by the Board.</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Separating the positions of Chief Executive Officer and Executive Chairman allows our Chief Executive Officer to focus on our day-to-day business, while allowing the Board to provide independent advice to and oversight of management. Although Mr. Holtzman is not an independent director, our Board believes that having Mr. Holtzman serve as Executive Chairman allows the Company to draw upon his wealth of retail experience, extensive knowledge of the Company and history of innovative and strategic thinking.</w:t>
      </w:r>
    </w:p>
    <w:p>
      <w:pPr>
        <w:spacing w:after="0" w:line="182"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In February 2017, the Board established the Lead Independent Director role and revised the Corporate Governance Guidelines to add the position if the Chairman of the Board is not independent, and appointed Mr. Kyees as Lead Independent Director.</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As described above, our Board also has five standing committees. Our Board delegates substantial responsibility to each Board committee, which reports their activities and actions back to the full Board. We believe that the independent committees of our Board and their chairpersons are an important aspect of the leadership structure of our Board.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as a whole and through its committees, has responsibility for the oversight of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The results of this risk assessment are then presented to the full Board.</w:t>
      </w:r>
    </w:p>
    <w:p>
      <w:pPr>
        <w:spacing w:after="0" w:line="18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risks associated with our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adopted Corporate Governance Guidelines, which set forth our governance principles relating to, among other things:</w:t>
      </w:r>
    </w:p>
    <w:p>
      <w:pPr>
        <w:spacing w:after="0" w:line="116" w:lineRule="exact"/>
        <w:rPr>
          <w:sz w:val="20"/>
          <w:szCs w:val="20"/>
          <w:color w:val="auto"/>
        </w:rPr>
      </w:pPr>
    </w:p>
    <w:p>
      <w:pPr>
        <w:ind w:left="760" w:hanging="376"/>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independence;</w:t>
      </w:r>
    </w:p>
    <w:p>
      <w:pPr>
        <w:spacing w:after="0" w:line="115"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qualifications and responsibilities;</w:t>
      </w:r>
    </w:p>
    <w:p>
      <w:pPr>
        <w:spacing w:after="0" w:line="115"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structure and meetings; and</w:t>
      </w:r>
    </w:p>
    <w:p>
      <w:pPr>
        <w:spacing w:after="0" w:line="115"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succession.</w:t>
      </w:r>
    </w:p>
    <w:p>
      <w:pPr>
        <w:spacing w:after="0" w:line="223"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 xml:space="preserve">A copy of the Governance Guidelines can be found under “Corporate Governance –Charters &amp; Policies” on the Investor Relations page of our corporate website, which is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None of the members of the Compensation Committee who served on the Compensation Committee during fiscal 2017 was at any time during fiscal 2017 or at any other time an officer or employee of our Company, other than Mr. Kyees, who was a member of the Compensation Committee until February 2,</w:t>
      </w:r>
    </w:p>
    <w:p>
      <w:pPr>
        <w:ind w:right="80"/>
        <w:spacing w:after="0" w:line="254" w:lineRule="auto"/>
        <w:rPr>
          <w:sz w:val="20"/>
          <w:szCs w:val="20"/>
          <w:color w:val="auto"/>
        </w:rPr>
      </w:pPr>
      <w:r>
        <w:rPr>
          <w:rFonts w:ascii="Times New Roman" w:cs="Times New Roman" w:eastAsia="Times New Roman" w:hAnsi="Times New Roman"/>
          <w:sz w:val="18"/>
          <w:szCs w:val="18"/>
          <w:color w:val="auto"/>
        </w:rPr>
        <w:t>2017. Mr. Kyees served as the Company’s interim CFO from February 2014 until May 2014. None of our executive officers serves as a member of the board of directors or compensation committee of any other entity that has one or more executive officers serving as a member of our Board or Compensation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of Directors with respect to the compensation paid to our non-employee directors.</w:t>
      </w:r>
    </w:p>
    <w:p>
      <w:pPr>
        <w:spacing w:after="0" w:line="16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Third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291,409 shares remain available for future issuances at February 3,</w:t>
      </w:r>
    </w:p>
    <w:p>
      <w:pPr>
        <w:spacing w:after="0" w:line="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2018.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fiscal 2017, our Non-Employee Director Compensation Plan provided that non-employee directors receive an annual retainer of $102,250, which is paid in quarterly installments of $25,562.50. Each director receives $1,500 for participation in each in-person meeting of the Board and its committees and $750 for participation in each telephonic meeting. In addition, the Chairperson of the Audit Committee receives annual compensation of $10,000, and the Chairpersons of the Compensation Committee, Nominating and Corporate Governance Committee, Cybersecurity and Data Privacy Committee and Marketing Strategy Committee each receive annual compensation of $5,000, which is paid quarterly. Upon the initial election to the Board, a non-employee director will receive a stock option grant of 15,000 shares under the 2016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5" w:name="page16"/>
    <w:bookmarkEnd w:id="15"/>
    <w:p>
      <w:pPr>
        <w:spacing w:after="0" w:line="257" w:lineRule="auto"/>
        <w:rPr>
          <w:sz w:val="20"/>
          <w:szCs w:val="20"/>
          <w:color w:val="auto"/>
        </w:rPr>
      </w:pPr>
      <w:r>
        <w:rPr>
          <w:rFonts w:ascii="Times New Roman" w:cs="Times New Roman" w:eastAsia="Times New Roman" w:hAnsi="Times New Roman"/>
          <w:sz w:val="18"/>
          <w:szCs w:val="18"/>
          <w:color w:val="auto"/>
        </w:rPr>
        <w:t>Each non-employee director is required to receive 50% of his or her annual retainer in equity, in the form of stock options, stock or deferred shares. Because the Non-Employee Director Compensation Plan is not a shareholder-approved plan and the acquisition of equity must be voluntary under NASDAQ rules, we cannot utilize shares under this plan to satisfy this mandated election. Therefore, in fiscal 2017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8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On February 2, 2017, the Board approved the addition of a Lead Independent Director position, if the Chairman of the Board is not independent. On February 2, 2017, the Board appointed Mr. Kyees as Lead Independent Director. Pursuant to the Non-Employee Director Compensation Plan, the Lead Independent Director will receive an additional annual retainer of $18,000, to be paid quarterly.</w:t>
      </w:r>
    </w:p>
    <w:p>
      <w:pPr>
        <w:spacing w:after="0" w:line="17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2017. David A. Levin is not included in the following table as he is a Named Executive Officer and, accordingly, received no compensation for his services as a director. Compensation earned by Mr. Levin is included below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DIRECTOR COMPENSATION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3"/>
                <w:szCs w:val="13"/>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040" w:type="dxa"/>
            <w:vAlign w:val="bottom"/>
          </w:tcPr>
          <w:p>
            <w:pPr>
              <w:jc w:val="center"/>
              <w:ind w:right="28"/>
              <w:spacing w:after="0" w:line="148"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20"/>
              <w:spacing w:after="0" w:line="148"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100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1000" w:type="dxa"/>
            <w:vAlign w:val="bottom"/>
          </w:tcPr>
          <w:p>
            <w:pPr>
              <w:jc w:val="center"/>
              <w:ind w:right="28"/>
              <w:spacing w:after="0" w:line="14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($)(3)(4)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Seymour Holtzman, Executive Chairman</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281,583</w:t>
            </w:r>
          </w:p>
        </w:tc>
        <w:tc>
          <w:tcPr>
            <w:tcW w:w="320" w:type="dxa"/>
            <w:vAlign w:val="bottom"/>
            <w:tcBorders>
              <w:top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281,583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E. Kyees, Lead Independent Director</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89,875</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Jack Boyle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27,032</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Lionel F. Conacher </w:t>
            </w:r>
            <w:r>
              <w:rPr>
                <w:rFonts w:ascii="Times New Roman" w:cs="Times New Roman" w:eastAsia="Times New Roman" w:hAnsi="Times New Roman"/>
                <w:sz w:val="12"/>
                <w:szCs w:val="12"/>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Willem Mesdag</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80,375</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Ward K. Mooney</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80,125</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Mitchell S. Presser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81,625</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Ivy Ross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79,375</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Oliver Walsh, former director </w:t>
            </w:r>
            <w:r>
              <w:rPr>
                <w:rFonts w:ascii="Times New Roman" w:cs="Times New Roman" w:eastAsia="Times New Roman" w:hAnsi="Times New Roman"/>
                <w:sz w:val="12"/>
                <w:szCs w:val="12"/>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127,400</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140,840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Alan S. Bernikow, former director</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17,282</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12,781</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Jesse Choper, former director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56,094</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38,344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T. Porter, Jr., former director</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50,094</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38,344</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760" w:hanging="376"/>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are required to receive at least 50% of their annual retainer in the form of equity. For fiscal 2017, Mr. Presser elected to receive all compensation, including his retainer, in unrestricted shares of our common stock and Mr. Mesdag elected to receive all compensation, including his retainer, in deferred stock. Because Messrs. Boyle and Walsh, were not elected directors until August 3, 2017, they were unable to make an irrevocable election of equity prior to the start of 2017, and therefore, all fees earned were paid in cash. Messrs. Bernikow, Choper, Mooney and Ms. Ross elected to receive 50% of their retainer in unrestricted shares of our common stock and Messrs. Kyees and Porter elected to receive 50% of their retainer in deferred stock. As for committee meetings, Messrs. Bernikow, Choper, Porter and Ms. Ross elected to receive cash for all meetings. Mr. Kyees elected to receive his fees for meetings in a combination of 50% cash and 50% deferred shares of our common stock and Mr. Mooney elected to receive his fees in a combination of 50% cash and 50% in unrestricted shares of common stock. If a director is entitled to a chairperson fee, Messrs. Choper and Porter and Ms. Ross elected to receive any fees in cash, Mr. Mooney elected a combination of 50% cash and 50% unrestricted shares and Mr. Kyees elected a combination of 50% cash and 50% deferred stock. The number of shares issued as payment for an earned director fee is determined by taking the director fee earned and dividing by the consolidated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Mr. Holtzman did not receive any payment for director meetings.</w:t>
      </w:r>
    </w:p>
    <w:p>
      <w:pPr>
        <w:spacing w:after="0" w:line="1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quarterly retainer that is required to be in the form of equity.</w:t>
      </w:r>
    </w:p>
    <w:p>
      <w:pPr>
        <w:spacing w:after="0" w:line="8" w:lineRule="exact"/>
        <w:rPr>
          <w:rFonts w:ascii="Times New Roman" w:cs="Times New Roman" w:eastAsia="Times New Roman" w:hAnsi="Times New Roman"/>
          <w:sz w:val="18"/>
          <w:szCs w:val="18"/>
          <w:color w:val="auto"/>
        </w:rPr>
      </w:pPr>
    </w:p>
    <w:p>
      <w:pPr>
        <w:ind w:left="760" w:right="40" w:hanging="376"/>
        <w:spacing w:after="0" w:line="25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Boyle and Walsh were elected directors of the Company on August 3, 2017 and, accordingly, each received a stock option grant to purchase 15,000 shares of the Company stock. The amount in the Option Award column reflects the aggregate grant date fair value of the stock option computed in accordance with ASC Topic 718. The fair value is estimated as of the date of grant using a Black-Scholes valuation model. Additional information regarding the assumptions used to estimate fair value of all stock option grants is included in Note A to the Consolidated Financial Statement contained in our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6" w:name="page17"/>
    <w:bookmarkEnd w:id="16"/>
    <w:p>
      <w:pPr>
        <w:ind w:left="760" w:right="120"/>
        <w:spacing w:after="0" w:line="271" w:lineRule="auto"/>
        <w:rPr>
          <w:sz w:val="20"/>
          <w:szCs w:val="20"/>
          <w:color w:val="auto"/>
        </w:rPr>
      </w:pPr>
      <w:r>
        <w:rPr>
          <w:rFonts w:ascii="Times New Roman" w:cs="Times New Roman" w:eastAsia="Times New Roman" w:hAnsi="Times New Roman"/>
          <w:sz w:val="17"/>
          <w:szCs w:val="17"/>
          <w:color w:val="auto"/>
        </w:rPr>
        <w:t>Annual Report on Form 10-K for the fiscal year ended February 3, 2018. There were no other grants to any of the directors in fiscal 2017. Each director had the following number of stock options outstanding at February 3, 2018: Mr. Kyees: 43,648; Mr. Boyle: 15,000; Mr. Mesdag: 15,000; Mr. Mooney: 25,000; Mr. Presser: 25,000; Ms. Ross: 15,000; Mr. Walsh 15,000; Mr. Bernikow 25,000; Mr. Choper: 25,000 and Mr. Porter 44,136.</w:t>
      </w:r>
    </w:p>
    <w:p>
      <w:pPr>
        <w:spacing w:after="0" w:line="2" w:lineRule="exact"/>
        <w:rPr>
          <w:sz w:val="20"/>
          <w:szCs w:val="20"/>
          <w:color w:val="auto"/>
        </w:rPr>
      </w:pPr>
    </w:p>
    <w:p>
      <w:pPr>
        <w:ind w:left="760" w:right="160" w:hanging="376"/>
        <w:spacing w:after="0" w:line="249"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retirement of Messrs. Bernikow, Choper and Porter, the Board of Directors approved the modification of their outstanding options to extend the expiration date until July 31, 2018. In fiscal 2017, the Company recorded additional compensation of $16,932 in connection with these modifications.</w:t>
      </w:r>
    </w:p>
    <w:p>
      <w:pPr>
        <w:spacing w:after="0" w:line="1" w:lineRule="exact"/>
        <w:rPr>
          <w:rFonts w:ascii="Times New Roman" w:cs="Times New Roman" w:eastAsia="Times New Roman" w:hAnsi="Times New Roman"/>
          <w:sz w:val="18"/>
          <w:szCs w:val="18"/>
          <w:color w:val="auto"/>
        </w:rPr>
      </w:pPr>
    </w:p>
    <w:p>
      <w:pPr>
        <w:ind w:left="760" w:right="560" w:hanging="376"/>
        <w:spacing w:after="0" w:line="249"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Holtzman received compensation from us pursuant to Employment and Chairman Compensation Agreement. See “</w:t>
      </w:r>
      <w:r>
        <w:rPr>
          <w:rFonts w:ascii="Times New Roman" w:cs="Times New Roman" w:eastAsia="Times New Roman" w:hAnsi="Times New Roman"/>
          <w:sz w:val="18"/>
          <w:szCs w:val="18"/>
          <w:i w:val="1"/>
          <w:iCs w:val="1"/>
          <w:color w:val="auto"/>
        </w:rPr>
        <w:t>Executive Chairman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below for additional information.</w:t>
      </w:r>
    </w:p>
    <w:p>
      <w:pPr>
        <w:ind w:left="760" w:hanging="376"/>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Conacher was not a director during fiscal 2017 and therefore received no compensation.</w:t>
      </w:r>
    </w:p>
    <w:p>
      <w:pPr>
        <w:spacing w:after="0" w:line="8" w:lineRule="exact"/>
        <w:rPr>
          <w:rFonts w:ascii="Times New Roman" w:cs="Times New Roman" w:eastAsia="Times New Roman" w:hAnsi="Times New Roman"/>
          <w:sz w:val="18"/>
          <w:szCs w:val="18"/>
          <w:color w:val="auto"/>
        </w:rPr>
      </w:pPr>
    </w:p>
    <w:p>
      <w:pPr>
        <w:ind w:left="760" w:right="180" w:hanging="376"/>
        <w:spacing w:after="0" w:line="249"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Ross received a cash payment of $3,750, paid in three quarterly installments, to serve as Chair to the Company’s Interim Marketing Advisory Group, prior to the formation of the Marketing Advisory Committee on August 3, 2017.</w:t>
      </w:r>
    </w:p>
    <w:p>
      <w:pPr>
        <w:ind w:left="760" w:hanging="376"/>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2017, Mr. Walsh entered into a temporary consulting agreement with the Company to serve as the Interim Chief Marketing Officer, while the Company searched for a Chief Marketing Officer. Pursuant to the terms of the temporary consulting agreement, Mr. Walsh was entitled to receive compensation at a rate of $7,000 per week plus reimbursement for all business and travel expenses. Because of the related party relationship, the temporary consulting agreement was approved by the Company’s Audit Committee. The temporary consulting agreement ended on December 18, 2017. For fiscal 2017, Mr. Walsh received total compensation pursuant to the temporary consulting agreement, excluding reimbursement of expenses, of $127,400. While Mr. Walsh was serving as Interim Chief Marketing Officer he did not receive any director compensation for this attendance at board meetings or committee meetings.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Chairman Compensation</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our By-Laws. The initial term of the agreement is for two years. The agreement can be automatically extended for an additional one-year term on each anniversary date. Accordingly, the current expiration date of the agreement is August 7, 2019. As compensation, Mr. Holtzman receives an annual base salary of $24,000 for his employment services and an annual compensation of $200,000 for his services as Executive Chairman.</w:t>
      </w:r>
    </w:p>
    <w:p>
      <w:pPr>
        <w:spacing w:after="0" w:line="182" w:lineRule="exact"/>
        <w:rPr>
          <w:sz w:val="20"/>
          <w:szCs w:val="20"/>
          <w:color w:val="auto"/>
        </w:rPr>
      </w:pPr>
    </w:p>
    <w:p>
      <w:pPr>
        <w:ind w:right="880"/>
        <w:spacing w:after="0" w:line="280" w:lineRule="auto"/>
        <w:rPr>
          <w:sz w:val="20"/>
          <w:szCs w:val="20"/>
          <w:color w:val="auto"/>
        </w:rPr>
      </w:pPr>
      <w:r>
        <w:rPr>
          <w:rFonts w:ascii="Times New Roman" w:cs="Times New Roman" w:eastAsia="Times New Roman" w:hAnsi="Times New Roman"/>
          <w:sz w:val="18"/>
          <w:szCs w:val="18"/>
          <w:color w:val="auto"/>
        </w:rPr>
        <w:t>Section 6.2(A) of our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This Compensation Discussion and Analysis provides a summary of our executive compensation philosophy and programs, and discusses the compensation paid to our Chief Executive Officer (“CEO”), our Chief Financial Officer (“CFO”) and other executive officers for fiscal 2017 (collectively, our “Named Executive Officers”). While not mandated by SEC rules, we have voluntarily chosen to disclose the compensation of Mr. Reaves because two of our three most highly compensated executive officers in fiscal 2017 left the Company in May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2017 were:</w:t>
      </w:r>
    </w:p>
    <w:p>
      <w:pPr>
        <w:spacing w:after="0" w:line="223" w:lineRule="exact"/>
        <w:rPr>
          <w:sz w:val="20"/>
          <w:szCs w:val="20"/>
          <w:color w:val="auto"/>
        </w:rPr>
      </w:pPr>
    </w:p>
    <w:p>
      <w:pPr>
        <w:ind w:left="1140" w:hanging="380"/>
        <w:spacing w:after="0"/>
        <w:tabs>
          <w:tab w:leader="none" w:pos="11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David A. Levin, President and CEO</w:t>
      </w:r>
    </w:p>
    <w:p>
      <w:pPr>
        <w:spacing w:after="0" w:line="2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Peter H. Stratton, Jr., Executive Vice President, Chief Financial Officer and Treasurer</w:t>
      </w:r>
    </w:p>
    <w:p>
      <w:pPr>
        <w:spacing w:after="0" w:line="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Brian S. Reaves, Executive Vice President and Chief Customer Officer</w:t>
      </w:r>
    </w:p>
    <w:p>
      <w:pPr>
        <w:spacing w:after="0" w:line="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Robert S. Molloy, Senior Vice President, Chief Administrative Officer, General Counsel and Secretary</w:t>
      </w:r>
    </w:p>
    <w:p>
      <w:pPr>
        <w:spacing w:after="0" w:line="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Kenneth M. Ederle, Former Senior Vice President and Chief Merchandising Officer</w:t>
      </w:r>
    </w:p>
    <w:p>
      <w:pPr>
        <w:spacing w:after="0" w:line="8" w:lineRule="exact"/>
        <w:rPr>
          <w:rFonts w:ascii="MS PGothic" w:cs="MS PGothic" w:eastAsia="MS PGothic" w:hAnsi="MS PGothic"/>
          <w:sz w:val="18"/>
          <w:szCs w:val="18"/>
          <w:color w:val="auto"/>
        </w:rPr>
      </w:pPr>
    </w:p>
    <w:p>
      <w:pPr>
        <w:ind w:left="1140" w:hanging="380"/>
        <w:spacing w:after="0"/>
        <w:tabs>
          <w:tab w:leader="none" w:pos="11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Sahal S. Laher, Former Senior Vice President, Chief Digital and Information Officer</w:t>
      </w:r>
    </w:p>
    <w:p>
      <w:pPr>
        <w:spacing w:after="0" w:line="24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color w:val="auto"/>
        </w:rPr>
        <w:t>On March 23, 2018, we announced Mr. Levin’s plan to retire as President, CEO and director of the Company by the end of 2018. In connection with this announcement, we entered into a Transition Agreement with Mr. Levin, which modifies and supplements certain terms of Mr. Levin’s existing employment agreement. See “</w:t>
      </w:r>
      <w:r>
        <w:rPr>
          <w:rFonts w:ascii="Times New Roman" w:cs="Times New Roman" w:eastAsia="Times New Roman" w:hAnsi="Times New Roman"/>
          <w:sz w:val="18"/>
          <w:szCs w:val="18"/>
          <w:i w:val="1"/>
          <w:iCs w:val="1"/>
          <w:color w:val="auto"/>
        </w:rPr>
        <w:t>Employment Agreements-Chief Executive Officer</w:t>
      </w:r>
      <w:r>
        <w:rPr>
          <w:rFonts w:ascii="Times New Roman" w:cs="Times New Roman" w:eastAsia="Times New Roman" w:hAnsi="Times New Roman"/>
          <w:sz w:val="18"/>
          <w:szCs w:val="18"/>
          <w:color w:val="auto"/>
        </w:rPr>
        <w:t>” below for a detailed discussion of the transition and its associated costs.</w:t>
      </w:r>
    </w:p>
    <w:p>
      <w:pPr>
        <w:spacing w:after="0" w:line="17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On May 16, 2018, we committed to a corporate restructuring plan (“Restructuring”) to better align the Company’s expense structure with its revenues. The Restructuring eliminated approximately 56 corporate positions, which represented 15% of the Company’s corporate workforce, or 2% of its total workforce. Approximately 36 corporate employees were notified of their terminations on May 16, 2018, including Messrs. Ederle and Laher, and 20 open corporate positions will not be filled.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2017 Financial Highlights</w:t>
      </w:r>
    </w:p>
    <w:p>
      <w:pPr>
        <w:spacing w:after="0" w:line="118"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The Company’s key objective for fiscal 2017 was to grow revenue through new marketing initiatives to build brand awareness, increase store traffic, acquire new customers and grow our e-commerce business. We significantly increased our marketing budget in fiscal 2017 in order to drive traffic to our stores and website through enhanced media and digital strategies. While our aided brand awareness increased to 42% by the end of fiscal 2017 from 34% at the end of fiscal 2016, our marketing initiatives did not drive the increase in customer traffic we had anticipated and resulted in comparable sales growth of 0.9%. For fiscal 2017, we increased the number of customers by 3.2% from fiscal 2016.</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fiscal 2017, we had a net loss of $(18.8) million, or $(0.39) per diluted share, compared with a net loss of $(2.3) million, or $(0.05) per diluted share, in fiscal 2016. The decrease of $(0.34) per diluted share was primarily due to an increase of $11.3 million, or $(0.23) per diluted share, in marketing expense and $3.7 million, or $(0.08) per diluted share, of impairment charges. EBITDA excluding impairment charges (“Adjusted EBITDA”), a non-GAAP measure, decreased $14.5 million to $17.1 million, compared to $31.6 million in fiscal 2016, primarily due to the increase in marketing expense and, to a lesser extent, increases in store payroll and other supporting costs associated with a larger DXL store base and e-commerce initiatives. EBITDA in fiscal 2016 benefited from a significantly reduced marketing budget, which had a negative impact on brand awareness, customer traffic and customer acquisition.</w:t>
      </w:r>
    </w:p>
    <w:p>
      <w:pPr>
        <w:spacing w:after="0" w:line="18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After accounting for the increased marketing expense, inventory management and a reduction in capital expenditures, we generated $8.4 million of free cash flow, a non-GAAP measure, in fiscal 2017, compared to $5.8 million in fiscal 2016, with which we reduced our total debt by $3.7 million and repurchased $4.7 million of our common stock. </w:t>
      </w:r>
      <w:r>
        <w:rPr>
          <w:rFonts w:ascii="Times New Roman" w:cs="Times New Roman" w:eastAsia="Times New Roman" w:hAnsi="Times New Roman"/>
          <w:sz w:val="18"/>
          <w:szCs w:val="18"/>
          <w:b w:val="1"/>
          <w:bCs w:val="1"/>
          <w:color w:val="auto"/>
        </w:rPr>
        <w:t>Please see “Appendix B-Non-GAAP Financial Measures” for a reconciliation of Net Loss to EBITDA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Flow from Operating Activities to Free Cash Flow.</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2017 Executive Compensation Highlights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the compensation of our Named Executive Officers should be aligned with the performance of the Company. The Company’s financial performance in fiscal 2017 did not meet expectations and, consequently, total compensation earned by our Named Executive Officers in fiscal 2017 decreased significantly from fiscal 2016. We do believe, however, that our executives have implemented several key initiatives that will be beneficial to revenue growth and profitability in fiscal 2018, including restructuring our corporate cost base, improving our inventory efficiency, driving in-store and e-commerce conversion, growing our direct business and building brand awareness. The following table shows total compensation earned for each Named Executive Officer for fiscal 2017, compared to fiscal 2016.</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Fiscal 2017 (1)</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Fiscal 2016</w:t>
            </w:r>
          </w:p>
        </w:tc>
        <w:tc>
          <w:tcPr>
            <w:tcW w:w="22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20" w:type="dxa"/>
            <w:vAlign w:val="bottom"/>
            <w:tcBorders>
              <w:bottom w:val="single" w:sz="8" w:color="CFF0FC"/>
            </w:tcBorders>
          </w:tcPr>
          <w:p>
            <w:pPr>
              <w:spacing w:after="0"/>
              <w:rPr>
                <w:sz w:val="14"/>
                <w:szCs w:val="14"/>
                <w:color w:val="auto"/>
              </w:rPr>
            </w:pPr>
          </w:p>
        </w:tc>
      </w:tr>
      <w:tr>
        <w:trPr>
          <w:trHeight w:val="222"/>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1,665,320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2,132,001</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611,119</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629,989</w:t>
            </w:r>
          </w:p>
        </w:tc>
        <w:tc>
          <w:tcPr>
            <w:tcW w:w="2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518,574</w:t>
            </w:r>
          </w:p>
        </w:tc>
        <w:tc>
          <w:tcPr>
            <w:tcW w:w="4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613,118</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573,061</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698,522</w:t>
            </w:r>
          </w:p>
        </w:tc>
        <w:tc>
          <w:tcPr>
            <w:tcW w:w="2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Kenneth M. Ederle</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640,025</w:t>
            </w:r>
          </w:p>
        </w:tc>
        <w:tc>
          <w:tcPr>
            <w:tcW w:w="4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767,168</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Sahal S. Laher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2" w:lineRule="exact"/>
        <w:rPr>
          <w:sz w:val="20"/>
          <w:szCs w:val="20"/>
          <w:color w:val="auto"/>
        </w:rPr>
      </w:pPr>
    </w:p>
    <w:p>
      <w:pPr>
        <w:ind w:left="580" w:right="60" w:hanging="371"/>
        <w:spacing w:after="0" w:line="280"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Stratton received a salary increase in May 2017 to bring him in line with external peers and, in November 2017, Messrs. Stratton and Reaves each received a salary adjustment in connection with their respective promotions to Executive Vice President.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Realizable Pay of CEO</w:t>
      </w:r>
    </w:p>
    <w:p>
      <w:pPr>
        <w:spacing w:after="0" w:line="22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The following chart shows the Company’s Adjusted EBITDA over the past five years in relation to Mr. Levin’s compensation on both a Total Direct Compensation (“TDC”) basis, as reported in the Summary Compensation Table, and also on a Realized Pay basis. Realized Pay reflects base salary, cash-based Annual Incentive Compensation paid and cash-based Long-Term Incentive earned, plus the value realized upon vesting of any Restricted Shares and Options exercised. We believe that Mr. Levin’s TDC and Realized Pay correlate to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332105</wp:posOffset>
            </wp:positionV>
            <wp:extent cx="3593465" cy="1903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9346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16" w:lineRule="exact"/>
        <w:rPr>
          <w:sz w:val="20"/>
          <w:szCs w:val="20"/>
          <w:color w:val="auto"/>
        </w:rPr>
      </w:pPr>
    </w:p>
    <w:p>
      <w:pPr>
        <w:ind w:left="780" w:hanging="26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15" w:lineRule="exact"/>
        <w:rPr>
          <w:rFonts w:ascii="Times New Roman" w:cs="Times New Roman" w:eastAsia="Times New Roman" w:hAnsi="Times New Roman"/>
          <w:sz w:val="18"/>
          <w:szCs w:val="18"/>
          <w:color w:val="auto"/>
        </w:rPr>
      </w:pPr>
    </w:p>
    <w:p>
      <w:pPr>
        <w:ind w:left="780" w:right="300" w:hanging="262"/>
        <w:spacing w:after="0" w:line="28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objectives goals through a combination of cash and stock-based compensation;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9" w:name="page20"/>
    <w:bookmarkEnd w:id="19"/>
    <w:p>
      <w:pPr>
        <w:ind w:left="780" w:hanging="262"/>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22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total direct compensation. Total direct compensation consists of total cash compensation (base salary and annual performance-based cash incentive awards), long-term incentive awards (which are primarily stock-based) and other compensation (which includes 401(k) match and other benefits). Every year, we assess the effectiveness of our compensation plans and are continually working to strengthen our overall compensation program by adjusting performance metrics to better align compensation with performance that drives stockholder value. We also compare our performance metrics to those used by our peers, and take into consideration the recommendations of proxy advisory 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13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the Named Executive Officers with the interests of our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gridSpan w:val="3"/>
          </w:tcPr>
          <w:p>
            <w:pPr>
              <w:ind w:left="2420"/>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306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20"/>
        </w:trPr>
        <w:tc>
          <w:tcPr>
            <w:tcW w:w="2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23"/>
        </w:trPr>
        <w:tc>
          <w:tcPr>
            <w:tcW w:w="48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Focus on performance-based pay</w:t>
            </w:r>
          </w:p>
        </w:tc>
        <w:tc>
          <w:tcPr>
            <w:tcW w:w="6580" w:type="dxa"/>
            <w:vAlign w:val="bottom"/>
            <w:gridSpan w:val="3"/>
            <w:shd w:val="clear" w:color="auto" w:fill="CFF0FC"/>
          </w:tcPr>
          <w:p>
            <w:pPr>
              <w:ind w:left="1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re-pricing of underwater options</w:t>
            </w:r>
          </w:p>
        </w:tc>
      </w:tr>
      <w:tr>
        <w:trPr>
          <w:trHeight w:val="323"/>
        </w:trPr>
        <w:tc>
          <w:tcPr>
            <w:tcW w:w="48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Balance short-term and long-term incentives</w:t>
            </w:r>
          </w:p>
        </w:tc>
        <w:tc>
          <w:tcPr>
            <w:tcW w:w="6580" w:type="dxa"/>
            <w:vAlign w:val="bottom"/>
            <w:gridSpan w:val="3"/>
          </w:tcPr>
          <w:p>
            <w:pPr>
              <w:ind w:left="1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hedging of Company stock</w:t>
            </w:r>
          </w:p>
        </w:tc>
      </w:tr>
      <w:tr>
        <w:trPr>
          <w:trHeight w:val="323"/>
        </w:trPr>
        <w:tc>
          <w:tcPr>
            <w:tcW w:w="48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multiple targets for performance awards</w:t>
            </w:r>
          </w:p>
        </w:tc>
        <w:tc>
          <w:tcPr>
            <w:tcW w:w="6580" w:type="dxa"/>
            <w:vAlign w:val="bottom"/>
            <w:gridSpan w:val="3"/>
            <w:shd w:val="clear" w:color="auto" w:fill="CFF0FC"/>
          </w:tcPr>
          <w:p>
            <w:pPr>
              <w:ind w:left="1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tax gross-up on severance payments</w:t>
            </w:r>
          </w:p>
        </w:tc>
      </w:tr>
      <w:tr>
        <w:trPr>
          <w:trHeight w:val="343"/>
        </w:trPr>
        <w:tc>
          <w:tcPr>
            <w:tcW w:w="48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Cap all incentive awards at 150% payout</w:t>
            </w:r>
          </w:p>
        </w:tc>
        <w:tc>
          <w:tcPr>
            <w:tcW w:w="6580" w:type="dxa"/>
            <w:vAlign w:val="bottom"/>
            <w:gridSpan w:val="3"/>
          </w:tcPr>
          <w:p>
            <w:pPr>
              <w:ind w:left="1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7255" cy="2051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205105"/>
                    </a:xfrm>
                    <a:prstGeom prst="rect">
                      <a:avLst/>
                    </a:prstGeom>
                    <a:noFill/>
                  </pic:spPr>
                </pic:pic>
              </a:graphicData>
            </a:graphic>
          </wp:anchor>
        </w:drawing>
      </w:r>
    </w:p>
    <w:p>
      <w:pPr>
        <w:spacing w:after="0" w:line="49" w:lineRule="exact"/>
        <w:rPr>
          <w:sz w:val="20"/>
          <w:szCs w:val="20"/>
          <w:color w:val="auto"/>
        </w:rPr>
      </w:pPr>
    </w:p>
    <w:p>
      <w:pPr>
        <w:ind w:left="460" w:hanging="285"/>
        <w:spacing w:after="0"/>
        <w:tabs>
          <w:tab w:leader="none" w:pos="46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Extended long-term incentive plan to three years beginning Fiscal 2018</w:t>
      </w:r>
    </w:p>
    <w:p>
      <w:pPr>
        <w:spacing w:after="0" w:line="115" w:lineRule="exact"/>
        <w:rPr>
          <w:rFonts w:ascii="MS PGothic" w:cs="MS PGothic" w:eastAsia="MS PGothic" w:hAnsi="MS PGothic"/>
          <w:sz w:val="18"/>
          <w:szCs w:val="18"/>
          <w:color w:val="auto"/>
        </w:rPr>
      </w:pPr>
    </w:p>
    <w:p>
      <w:pPr>
        <w:ind w:left="460" w:hanging="285"/>
        <w:spacing w:after="0"/>
        <w:tabs>
          <w:tab w:leader="none" w:pos="46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“double-trigger” change-in-control provisions</w:t>
      </w:r>
    </w:p>
    <w:p>
      <w:pPr>
        <w:spacing w:after="0" w:line="115" w:lineRule="exact"/>
        <w:rPr>
          <w:rFonts w:ascii="MS PGothic" w:cs="MS PGothic" w:eastAsia="MS PGothic" w:hAnsi="MS PGothic"/>
          <w:sz w:val="18"/>
          <w:szCs w:val="18"/>
          <w:color w:val="auto"/>
        </w:rPr>
      </w:pPr>
    </w:p>
    <w:p>
      <w:pPr>
        <w:ind w:left="460" w:hanging="285"/>
        <w:spacing w:after="0"/>
        <w:tabs>
          <w:tab w:leader="none" w:pos="46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“Claw-back” policy</w:t>
      </w:r>
    </w:p>
    <w:p>
      <w:pPr>
        <w:spacing w:after="0" w:line="115" w:lineRule="exact"/>
        <w:rPr>
          <w:rFonts w:ascii="MS PGothic" w:cs="MS PGothic" w:eastAsia="MS PGothic" w:hAnsi="MS PGothic"/>
          <w:sz w:val="18"/>
          <w:szCs w:val="18"/>
          <w:color w:val="auto"/>
        </w:rPr>
      </w:pPr>
    </w:p>
    <w:p>
      <w:pPr>
        <w:ind w:left="460" w:hanging="285"/>
        <w:spacing w:after="0"/>
        <w:tabs>
          <w:tab w:leader="none" w:pos="46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Seek to mitigate undue risk in compensation plans</w:t>
      </w:r>
    </w:p>
    <w:p>
      <w:pPr>
        <w:spacing w:after="0" w:line="115" w:lineRule="exact"/>
        <w:rPr>
          <w:rFonts w:ascii="MS PGothic" w:cs="MS PGothic" w:eastAsia="MS PGothic" w:hAnsi="MS PGothic"/>
          <w:sz w:val="18"/>
          <w:szCs w:val="18"/>
          <w:color w:val="auto"/>
        </w:rPr>
      </w:pPr>
    </w:p>
    <w:p>
      <w:pPr>
        <w:ind w:left="460" w:hanging="285"/>
        <w:spacing w:after="0"/>
        <w:tabs>
          <w:tab w:leader="none" w:pos="46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Utilize an independent compensation consultant</w:t>
      </w:r>
    </w:p>
    <w:p>
      <w:pPr>
        <w:spacing w:after="0" w:line="115" w:lineRule="exact"/>
        <w:rPr>
          <w:rFonts w:ascii="MS PGothic" w:cs="MS PGothic" w:eastAsia="MS PGothic" w:hAnsi="MS PGothic"/>
          <w:sz w:val="18"/>
          <w:szCs w:val="18"/>
          <w:color w:val="auto"/>
        </w:rPr>
      </w:pPr>
    </w:p>
    <w:p>
      <w:pPr>
        <w:ind w:left="460" w:hanging="285"/>
        <w:spacing w:after="0"/>
        <w:tabs>
          <w:tab w:leader="none" w:pos="46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executives with very limited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247255" cy="205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205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7255" cy="205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2051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The Compensation Committee has the authority to retain compensation consultants and other outside advisors to assist in carrying out its duties, including the compensation of our Named Executive Officers. The Compensation Committee may accept, reject or modify any recommendations by compensation consultants or other outside advisors.</w:t>
      </w:r>
    </w:p>
    <w:p>
      <w:pPr>
        <w:spacing w:after="0" w:line="177"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7"/>
          <w:szCs w:val="17"/>
          <w:color w:val="auto"/>
        </w:rPr>
        <w:t>The Compensation Committee periodically consults with Sibson Consulting (“Sibson”), an independent firm that specializes in benefits and compensation, with respect to the structure and competitiveness of the Company’s executive compensation program compared to its proxy peer group. The Compensation Committee has assessed Sibson’s independence, and has concluded that no conflict of interest exists with respect to the services that it performs. In early fiscal 2018, the Compensation Committee engaged Sibson to evaluate the compensation of our CEO in comparison to the fiscal 2018 proxy peer group.</w:t>
      </w:r>
    </w:p>
    <w:p>
      <w:pPr>
        <w:spacing w:after="0" w:line="16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In fiscal 2017, at the request of the Compensation Committee, the Company engaged Korn Ferry Hay Group (“Korn Ferry”), an independent compensation consultant, to review the base salaries and annual incentives for the Company’s senior executives other than its CEO. Korn Ferry compared the compensation of our senior executives to that of 23 retail companies, with whom we believe we compete directly when hiring executive-level talent (“market peers”).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2017 Target Compensation</w:t>
      </w:r>
    </w:p>
    <w:p>
      <w:pPr>
        <w:spacing w:after="0" w:line="1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CEO Compensation</w:t>
      </w:r>
      <w:r>
        <w:rPr>
          <w:rFonts w:ascii="Times New Roman" w:cs="Times New Roman" w:eastAsia="Times New Roman" w:hAnsi="Times New Roman"/>
          <w:sz w:val="18"/>
          <w:szCs w:val="18"/>
          <w:color w:val="auto"/>
        </w:rPr>
        <w:t>. The Compensation Committee is responsible for determining the target compensation of our CEO. Working with Sibson,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compared each element of the CEO’s compensation (base salary, annual and long-term incentive compensation (“Direct Compensation”)) to published survey data and data from its proxy peer groups. The following table illustrates that Mr. Levin’s target Direct Compensation for fiscal 2017 was at 91% of the 2017 median of the 2018 proxy peer group. Mr. Levin’s actual Direct Compensation in fiscal 2017 was at 61% of the median target compensation of that peer group.</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763270</wp:posOffset>
            </wp:positionH>
            <wp:positionV relativeFrom="page">
              <wp:posOffset>294005</wp:posOffset>
            </wp:positionV>
            <wp:extent cx="4985385" cy="3021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4985385" cy="302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CEO and our Senior Vice President of Human Resources are primarily responsible for determining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to our other Named Executive Officers, subject to the review and approval of the Compensation Committee. Our other Named Executive Officers are provided with a competitive base salary and an opportunity to earn performance awards each year, which are driven by our overall financial targets. As part of the Sibson engagement, Sibson reviewed Mr. Levin’s compensation in relation to the compensation paid to our other Named Executive Officers, and concluded that the relationship was within the median of the 2018 proxy peer group. In addition, Korn Ferry reviewed the base salaries and annual incentive compensation plan for the Company’s senior executives other than its CEO, and concluded that the target Direct Compensation of such executives was between the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and the median of its market peer group. See “</w:t>
      </w:r>
      <w:r>
        <w:rPr>
          <w:rFonts w:ascii="Times New Roman" w:cs="Times New Roman" w:eastAsia="Times New Roman" w:hAnsi="Times New Roman"/>
          <w:sz w:val="18"/>
          <w:szCs w:val="18"/>
          <w:i w:val="1"/>
          <w:iCs w:val="1"/>
          <w:color w:val="auto"/>
        </w:rPr>
        <w:t>Compensation Components, Fiscal 2017 Compensation Decisions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Peers</w:t>
      </w:r>
    </w:p>
    <w:p>
      <w:pPr>
        <w:spacing w:after="0" w:line="120"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2017 peer group are listed below.</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bebe, inc.</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Cato Group</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MarineMax, Inc.</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Big 5 Sporting Goods</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Christopher &amp; Banks</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Sportsman’s Warehouse</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Blue Nile</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Citi Trends</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Tilly’s Inc.</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Boot Barn Holding, Inc.</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Destination Maternity</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Zumiez, Inc.</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Buckle</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Hibbett Sports</w:t>
            </w: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Build-A-Bear Workshop, Inc.</w:t>
            </w: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Kirkland’s, Inc.</w:t>
            </w: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For fiscal 2018, we updated our peer group to create a better alignment with our Company’s revenues and/or market capitalization with the median of the peer group. As a result, we removed larger companies, including MarineMax, Inc., Big 5 Sporting Goods, The Buckle and Hibbett Sports. In addition, we removed Blue Nile, which went private, and bebe, inc., which filed for bankruptcy. We added Trans World Entertainment, Movado Group, Tile Shop Holdings, Francesca’s Holding Corp., Vince Holding Corp. and Vera Bradley.</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In order to develop an appropriate peer group, we consider companies with a range of revenues and market capitalizations that may differ from those included by independent analysts such as Institutional Shareholder Services (ISS).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 and Shareholder Engagement</w:t>
      </w:r>
    </w:p>
    <w:p>
      <w:pPr>
        <w:spacing w:after="0" w:line="22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At our 2017 Annual Meeting, stockholders had an opportunity to cast a non-binding advisory vote on executive compensation as disclosed in the 2017 Proxy Statement. Of the votes cast on the say-on-pay proposal, 94.0% voted in favor of the proposal. The Compensation Committee considered the results of the 2017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Members of management regularly engage with our institutional investors throughout the year, including with its top six institutional investors, who hold approximately 70% of our outstanding common stock and include affiliates of the Company who are represented on the Board and hold approximately 25%. The Chairman of the Compensation Committee and the Lead Independent Director also make themselves available for discussions with our stockholders. The Board and management carefully consider the feedback from our engagements when reviewing our executive compensation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Assessment/Claw-Back</w:t>
      </w:r>
    </w:p>
    <w:p>
      <w:pPr>
        <w:spacing w:after="0" w:line="12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We believe that the Company’s compensation programs do not provide incentives for unnecessary risk-taking by our employees. Our performance-based annual and long-term incentive awards are also designed to align executives with preserving stockholder value. Based on these considerations, among others, we do not believe that our compensation policies and practices create risks that are likely to have a material adverse effect on our Company.</w:t>
      </w:r>
    </w:p>
    <w:p>
      <w:pPr>
        <w:spacing w:after="0" w:line="70"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7"/>
          <w:szCs w:val="17"/>
          <w:color w:val="auto"/>
        </w:rPr>
        <w:t>Our employment agreements with each of our Named Executive Officers include a “claw-back” provision that permits us to demand full repayment of all amounts paid to the executive in the event we learn, after the executive’s termination, that the executive could have been terminated for “justifiable cause.”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2017 Compensation Decisions</w:t>
      </w:r>
    </w:p>
    <w:p>
      <w:pPr>
        <w:spacing w:after="0" w:line="120"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0"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40"/>
          </w:cols>
          <w:pgMar w:left="240" w:top="551" w:right="3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908685</wp:posOffset>
            </wp:positionH>
            <wp:positionV relativeFrom="page">
              <wp:posOffset>498475</wp:posOffset>
            </wp:positionV>
            <wp:extent cx="5915660" cy="179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566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14" w:lineRule="exact"/>
        <w:rPr>
          <w:sz w:val="20"/>
          <w:szCs w:val="20"/>
          <w:color w:val="auto"/>
        </w:rPr>
      </w:pPr>
    </w:p>
    <w:p>
      <w:pPr>
        <w:ind w:left="780" w:hanging="262"/>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18" w:lineRule="exact"/>
        <w:rPr>
          <w:sz w:val="20"/>
          <w:szCs w:val="20"/>
          <w:color w:val="auto"/>
        </w:rPr>
      </w:pPr>
    </w:p>
    <w:p>
      <w:pPr>
        <w:ind w:left="640" w:right="20"/>
        <w:spacing w:after="0" w:line="280" w:lineRule="auto"/>
        <w:rPr>
          <w:sz w:val="20"/>
          <w:szCs w:val="20"/>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5" w:lineRule="exact"/>
        <w:rPr>
          <w:sz w:val="20"/>
          <w:szCs w:val="20"/>
          <w:color w:val="auto"/>
        </w:rPr>
      </w:pPr>
    </w:p>
    <w:p>
      <w:pPr>
        <w:ind w:left="640" w:right="120"/>
        <w:spacing w:after="0" w:line="259" w:lineRule="auto"/>
        <w:rPr>
          <w:sz w:val="20"/>
          <w:szCs w:val="20"/>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4" w:lineRule="exact"/>
        <w:rPr>
          <w:sz w:val="20"/>
          <w:szCs w:val="20"/>
          <w:color w:val="auto"/>
        </w:rPr>
      </w:pPr>
    </w:p>
    <w:p>
      <w:pPr>
        <w:ind w:left="640"/>
        <w:spacing w:after="0" w:line="259" w:lineRule="auto"/>
        <w:rPr>
          <w:sz w:val="20"/>
          <w:szCs w:val="20"/>
          <w:color w:val="auto"/>
        </w:rPr>
      </w:pPr>
      <w:r>
        <w:rPr>
          <w:rFonts w:ascii="Times New Roman" w:cs="Times New Roman" w:eastAsia="Times New Roman" w:hAnsi="Times New Roman"/>
          <w:sz w:val="18"/>
          <w:szCs w:val="18"/>
          <w:color w:val="auto"/>
        </w:rPr>
        <w:t>The Compensation Committee expects the CEO’s base salary to be at or near the peer group median, and to be approximately one-third of his target Direct Compensation. Our CEO and our Senior Vice President of Human Resources determine the base salary of our other Named Executive Officers, subject to the review and approval of the Compensation Committee. In doing so, they rely on published industry compensation surveys and target the peer group median.</w:t>
      </w:r>
    </w:p>
    <w:p>
      <w:pPr>
        <w:spacing w:after="0" w:line="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summary of each Named Executive Officer’s base salary for fiscal 2018, compared to fiscal 2017, and based on a 52-week period:</w:t>
      </w:r>
    </w:p>
    <w:p>
      <w:pPr>
        <w:spacing w:after="0" w:line="36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Fiscal 2018</w:t>
            </w:r>
          </w:p>
        </w:tc>
        <w:tc>
          <w:tcPr>
            <w:tcW w:w="340" w:type="dxa"/>
            <w:vAlign w:val="bottom"/>
          </w:tcPr>
          <w:p>
            <w:pPr>
              <w:spacing w:after="0"/>
              <w:rPr>
                <w:sz w:val="13"/>
                <w:szCs w:val="13"/>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Fiscal 2017</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 change</w:t>
            </w:r>
          </w:p>
        </w:tc>
      </w:tr>
      <w:tr>
        <w:trPr>
          <w:trHeight w:val="222"/>
        </w:trPr>
        <w:tc>
          <w:tcPr>
            <w:tcW w:w="2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 (1)</w:t>
            </w:r>
          </w:p>
        </w:tc>
        <w:tc>
          <w:tcPr>
            <w:tcW w:w="5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Borders>
              <w:top w:val="single" w:sz="8" w:color="auto"/>
            </w:tcBorders>
            <w:shd w:val="clear" w:color="auto" w:fill="CFF0FC"/>
          </w:tcPr>
          <w:p>
            <w:pPr>
              <w:jc w:val="right"/>
              <w:ind w:right="895"/>
              <w:spacing w:after="0"/>
              <w:rPr>
                <w:sz w:val="20"/>
                <w:szCs w:val="20"/>
                <w:color w:val="auto"/>
              </w:rPr>
            </w:pPr>
            <w:r>
              <w:rPr>
                <w:rFonts w:ascii="Times New Roman" w:cs="Times New Roman" w:eastAsia="Times New Roman" w:hAnsi="Times New Roman"/>
                <w:sz w:val="18"/>
                <w:szCs w:val="18"/>
                <w:color w:val="auto"/>
              </w:rPr>
              <w:t>811,200</w:t>
            </w:r>
          </w:p>
        </w:tc>
        <w:tc>
          <w:tcPr>
            <w:tcW w:w="4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811,200</w:t>
            </w:r>
          </w:p>
        </w:tc>
        <w:tc>
          <w:tcPr>
            <w:tcW w:w="3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 (2)</w:t>
            </w:r>
          </w:p>
        </w:tc>
        <w:tc>
          <w:tcPr>
            <w:tcW w:w="112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395,000</w:t>
            </w:r>
          </w:p>
        </w:tc>
        <w:tc>
          <w:tcPr>
            <w:tcW w:w="4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370,000</w:t>
            </w:r>
          </w:p>
        </w:tc>
        <w:tc>
          <w:tcPr>
            <w:tcW w:w="3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 (2)</w:t>
            </w:r>
          </w:p>
        </w:tc>
        <w:tc>
          <w:tcPr>
            <w:tcW w:w="112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ind w:right="895"/>
              <w:spacing w:after="0"/>
              <w:rPr>
                <w:sz w:val="20"/>
                <w:szCs w:val="20"/>
                <w:color w:val="auto"/>
              </w:rPr>
            </w:pPr>
            <w:r>
              <w:rPr>
                <w:rFonts w:ascii="Times New Roman" w:cs="Times New Roman" w:eastAsia="Times New Roman" w:hAnsi="Times New Roman"/>
                <w:sz w:val="18"/>
                <w:szCs w:val="18"/>
                <w:color w:val="auto"/>
              </w:rPr>
              <w:t>400,000</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300,000</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 (3)</w:t>
            </w:r>
          </w:p>
        </w:tc>
        <w:tc>
          <w:tcPr>
            <w:tcW w:w="112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375,000</w:t>
            </w:r>
          </w:p>
        </w:tc>
        <w:tc>
          <w:tcPr>
            <w:tcW w:w="4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345,000</w:t>
            </w:r>
          </w:p>
        </w:tc>
        <w:tc>
          <w:tcPr>
            <w:tcW w:w="3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bl>
    <w:p>
      <w:pPr>
        <w:spacing w:after="0" w:line="313" w:lineRule="exact"/>
        <w:rPr>
          <w:sz w:val="20"/>
          <w:szCs w:val="20"/>
          <w:color w:val="auto"/>
        </w:rPr>
      </w:pPr>
    </w:p>
    <w:p>
      <w:pPr>
        <w:ind w:left="1160" w:right="460" w:hanging="386"/>
        <w:spacing w:after="0" w:line="260" w:lineRule="auto"/>
        <w:tabs>
          <w:tab w:leader="none" w:pos="1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Levin’s base salary is stated in his employment agreement and has remained unchanged since fiscal 2010 and is modestly above the median of the 2018 proxy peer group.</w:t>
      </w:r>
    </w:p>
    <w:p>
      <w:pPr>
        <w:ind w:left="1160" w:right="420" w:hanging="386"/>
        <w:spacing w:after="0" w:line="249" w:lineRule="auto"/>
        <w:tabs>
          <w:tab w:leader="none" w:pos="1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Stratton received a salary increase in May 2017 to bring him in line with external peers and in November 2017, Messrs. Stratton and Reaves each received a salary adjustment in connection with their respective promotions to Executive Vice President and added responsibilities.</w:t>
      </w:r>
    </w:p>
    <w:p>
      <w:pPr>
        <w:spacing w:after="0" w:line="1" w:lineRule="exact"/>
        <w:rPr>
          <w:rFonts w:ascii="Times New Roman" w:cs="Times New Roman" w:eastAsia="Times New Roman" w:hAnsi="Times New Roman"/>
          <w:sz w:val="18"/>
          <w:szCs w:val="18"/>
          <w:color w:val="auto"/>
        </w:rPr>
      </w:pPr>
    </w:p>
    <w:p>
      <w:pPr>
        <w:ind w:left="1160" w:hanging="386"/>
        <w:spacing w:after="0"/>
        <w:tabs>
          <w:tab w:leader="none" w:pos="1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Molloy received a salary adjustment in May 2018 in connection with his additional responsibilities.</w:t>
      </w:r>
    </w:p>
    <w:p>
      <w:pPr>
        <w:spacing w:after="0" w:line="108"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w:t>
      </w:r>
    </w:p>
    <w:p>
      <w:pPr>
        <w:spacing w:after="0" w:line="225" w:lineRule="exact"/>
        <w:rPr>
          <w:rFonts w:ascii="Times New Roman" w:cs="Times New Roman" w:eastAsia="Times New Roman" w:hAnsi="Times New Roman"/>
          <w:sz w:val="18"/>
          <w:szCs w:val="18"/>
          <w:color w:val="auto"/>
        </w:rPr>
      </w:pPr>
    </w:p>
    <w:p>
      <w:pPr>
        <w:ind w:left="760" w:right="6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 Company’s financial performance. Our Annual Incentive Plan (“AIP”) provides for an annual performance-based cash incentive for all executives as well as certain non-executive employees.</w:t>
      </w:r>
    </w:p>
    <w:p>
      <w:pPr>
        <w:spacing w:after="0" w:line="69" w:lineRule="exact"/>
        <w:rPr>
          <w:rFonts w:ascii="Times New Roman" w:cs="Times New Roman" w:eastAsia="Times New Roman" w:hAnsi="Times New Roman"/>
          <w:sz w:val="18"/>
          <w:szCs w:val="18"/>
          <w:color w:val="auto"/>
        </w:rPr>
      </w:pPr>
    </w:p>
    <w:p>
      <w:pPr>
        <w:ind w:left="760" w:right="18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2017, Mr. Levin’s target participation in the AIP was at 100% of his annual salary, whereas our other Named Executive Officers’ target participation in the AIP was at 40% of their respective salaries.</w:t>
      </w:r>
    </w:p>
    <w:p>
      <w:pPr>
        <w:spacing w:after="0" w:line="162" w:lineRule="exact"/>
        <w:rPr>
          <w:rFonts w:ascii="Times New Roman" w:cs="Times New Roman" w:eastAsia="Times New Roman" w:hAnsi="Times New Roman"/>
          <w:sz w:val="18"/>
          <w:szCs w:val="18"/>
          <w:color w:val="auto"/>
        </w:rPr>
      </w:pPr>
    </w:p>
    <w:p>
      <w:pPr>
        <w:ind w:left="780" w:right="54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metrics in our 2017 AIP reflected the Board’s objective to drive profitability and free cash flow through revenue growth at acceptable margins. Key areas of focus for fiscal 2017 were the growth of our direct business and our</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3" w:name="page24"/>
    <w:bookmarkEnd w:id="23"/>
    <w:p>
      <w:pPr>
        <w:ind w:left="400" w:right="40"/>
        <w:spacing w:after="0" w:line="264" w:lineRule="auto"/>
        <w:rPr>
          <w:sz w:val="20"/>
          <w:szCs w:val="20"/>
          <w:color w:val="auto"/>
        </w:rPr>
      </w:pPr>
      <w:r>
        <w:rPr>
          <w:rFonts w:ascii="Times New Roman" w:cs="Times New Roman" w:eastAsia="Times New Roman" w:hAnsi="Times New Roman"/>
          <w:sz w:val="18"/>
          <w:szCs w:val="18"/>
          <w:color w:val="auto"/>
        </w:rPr>
        <w:t>customer base through new marketing initiatives. Specific performance metrics for “Sales”, “Direct Comparable Sales”, and “Customer Count” were intended to drive revenue, whereas specific performance metrics for “Adjusted EBITDA”, “Merchandise Margin” and “Free Cash Flow” were intended to drive profitability and free cash flow.</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2017 AIP targets approved by the Compensation Committee and actual results against these targets were as follows:</w:t>
      </w:r>
    </w:p>
    <w:p>
      <w:pPr>
        <w:spacing w:after="0" w:line="221"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i w:val="1"/>
          <w:iCs w:val="1"/>
          <w:color w:val="auto"/>
        </w:rPr>
        <w:t>2017 Annual Incentive Plan</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Award %</w:t>
            </w:r>
          </w:p>
        </w:tc>
        <w:tc>
          <w:tcPr>
            <w:tcW w:w="36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220" w:type="dxa"/>
            <w:vAlign w:val="bottom"/>
            <w:vMerge w:val="restart"/>
          </w:tcPr>
          <w:p>
            <w:pPr>
              <w:spacing w:after="0"/>
              <w:rPr>
                <w:sz w:val="12"/>
                <w:szCs w:val="12"/>
                <w:color w:val="auto"/>
              </w:rPr>
            </w:pPr>
          </w:p>
        </w:tc>
        <w:tc>
          <w:tcPr>
            <w:tcW w:w="94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36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2017 Target</w:t>
            </w:r>
          </w:p>
        </w:tc>
        <w:tc>
          <w:tcPr>
            <w:tcW w:w="19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2017 Actual</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4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Target</w:t>
            </w:r>
          </w:p>
        </w:tc>
        <w:tc>
          <w:tcPr>
            <w:tcW w:w="1220" w:type="dxa"/>
            <w:vAlign w:val="bottom"/>
          </w:tcPr>
          <w:p>
            <w:pPr>
              <w:spacing w:after="0"/>
              <w:rPr>
                <w:sz w:val="13"/>
                <w:szCs w:val="13"/>
                <w:color w:val="auto"/>
              </w:rPr>
            </w:pPr>
          </w:p>
        </w:tc>
        <w:tc>
          <w:tcPr>
            <w:tcW w:w="2400" w:type="dxa"/>
            <w:vAlign w:val="bottom"/>
            <w:gridSpan w:val="2"/>
          </w:tcPr>
          <w:p>
            <w:pPr>
              <w:jc w:val="center"/>
              <w:ind w:right="1400"/>
              <w:spacing w:after="0" w:line="15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3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960" w:type="dxa"/>
            <w:vAlign w:val="bottom"/>
            <w:gridSpan w:val="3"/>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6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Target 1</w:t>
            </w:r>
          </w:p>
        </w:tc>
        <w:tc>
          <w:tcPr>
            <w:tcW w:w="980" w:type="dxa"/>
            <w:vAlign w:val="bottom"/>
            <w:gridSpan w:val="3"/>
            <w:shd w:val="clear" w:color="auto" w:fill="CFF0FC"/>
          </w:tcPr>
          <w:p>
            <w:pPr>
              <w:ind w:left="100"/>
              <w:spacing w:after="0" w:line="119" w:lineRule="exact"/>
              <w:rPr>
                <w:sz w:val="20"/>
                <w:szCs w:val="20"/>
                <w:color w:val="auto"/>
              </w:rPr>
            </w:pPr>
            <w:r>
              <w:rPr>
                <w:rFonts w:ascii="Times New Roman" w:cs="Times New Roman" w:eastAsia="Times New Roman" w:hAnsi="Times New Roman"/>
                <w:sz w:val="13"/>
                <w:szCs w:val="13"/>
                <w:color w:val="auto"/>
              </w:rPr>
              <w:t>Sales</w:t>
            </w:r>
          </w:p>
        </w:tc>
        <w:tc>
          <w:tcPr>
            <w:tcW w:w="780" w:type="dxa"/>
            <w:vAlign w:val="bottom"/>
            <w:gridSpan w:val="2"/>
            <w:shd w:val="clear" w:color="auto" w:fill="CFF0FC"/>
          </w:tcPr>
          <w:p>
            <w:pPr>
              <w:jc w:val="center"/>
              <w:ind w:left="129"/>
              <w:spacing w:after="0" w:line="119" w:lineRule="exact"/>
              <w:rPr>
                <w:sz w:val="20"/>
                <w:szCs w:val="20"/>
                <w:color w:val="auto"/>
              </w:rPr>
            </w:pPr>
            <w:r>
              <w:rPr>
                <w:rFonts w:ascii="Times New Roman" w:cs="Times New Roman" w:eastAsia="Times New Roman" w:hAnsi="Times New Roman"/>
                <w:sz w:val="13"/>
                <w:szCs w:val="13"/>
                <w:color w:val="auto"/>
              </w:rPr>
              <w:t>20.0%</w:t>
            </w:r>
          </w:p>
        </w:tc>
        <w:tc>
          <w:tcPr>
            <w:tcW w:w="160" w:type="dxa"/>
            <w:vAlign w:val="bottom"/>
            <w:shd w:val="clear" w:color="auto" w:fill="CFF0FC"/>
          </w:tcPr>
          <w:p>
            <w:pPr>
              <w:spacing w:after="0"/>
              <w:rPr>
                <w:sz w:val="10"/>
                <w:szCs w:val="10"/>
                <w:color w:val="auto"/>
              </w:rPr>
            </w:pPr>
          </w:p>
        </w:tc>
        <w:tc>
          <w:tcPr>
            <w:tcW w:w="3620" w:type="dxa"/>
            <w:vAlign w:val="bottom"/>
            <w:gridSpan w:val="3"/>
            <w:shd w:val="clear" w:color="auto" w:fill="CFF0FC"/>
          </w:tcPr>
          <w:p>
            <w:pPr>
              <w:ind w:left="40"/>
              <w:spacing w:after="0" w:line="119" w:lineRule="exact"/>
              <w:rPr>
                <w:sz w:val="20"/>
                <w:szCs w:val="20"/>
                <w:color w:val="auto"/>
              </w:rPr>
            </w:pPr>
            <w:r>
              <w:rPr>
                <w:rFonts w:ascii="Times New Roman" w:cs="Times New Roman" w:eastAsia="Times New Roman" w:hAnsi="Times New Roman"/>
                <w:sz w:val="13"/>
                <w:szCs w:val="13"/>
                <w:color w:val="auto"/>
              </w:rPr>
              <w:t>100% payout at set target, with 50% payout at 98.9% of</w:t>
            </w:r>
          </w:p>
        </w:tc>
        <w:tc>
          <w:tcPr>
            <w:tcW w:w="1460" w:type="dxa"/>
            <w:vAlign w:val="bottom"/>
            <w:gridSpan w:val="3"/>
            <w:shd w:val="clear" w:color="auto" w:fill="CFF0FC"/>
          </w:tcPr>
          <w:p>
            <w:pPr>
              <w:jc w:val="center"/>
              <w:ind w:right="100"/>
              <w:spacing w:after="0" w:line="119" w:lineRule="exact"/>
              <w:rPr>
                <w:sz w:val="20"/>
                <w:szCs w:val="20"/>
                <w:color w:val="auto"/>
              </w:rPr>
            </w:pPr>
            <w:r>
              <w:rPr>
                <w:rFonts w:ascii="Times New Roman" w:cs="Times New Roman" w:eastAsia="Times New Roman" w:hAnsi="Times New Roman"/>
                <w:sz w:val="13"/>
                <w:szCs w:val="13"/>
                <w:color w:val="auto"/>
              </w:rPr>
              <w:t>$475.0 million</w:t>
            </w:r>
          </w:p>
        </w:tc>
        <w:tc>
          <w:tcPr>
            <w:tcW w:w="1960" w:type="dxa"/>
            <w:vAlign w:val="bottom"/>
            <w:gridSpan w:val="3"/>
            <w:shd w:val="clear" w:color="auto" w:fill="CFF0FC"/>
          </w:tcPr>
          <w:p>
            <w:pPr>
              <w:jc w:val="center"/>
              <w:ind w:right="400"/>
              <w:spacing w:after="0" w:line="119" w:lineRule="exact"/>
              <w:rPr>
                <w:sz w:val="20"/>
                <w:szCs w:val="20"/>
                <w:color w:val="auto"/>
              </w:rPr>
            </w:pPr>
            <w:r>
              <w:rPr>
                <w:rFonts w:ascii="Times New Roman" w:cs="Times New Roman" w:eastAsia="Times New Roman" w:hAnsi="Times New Roman"/>
                <w:sz w:val="13"/>
                <w:szCs w:val="13"/>
                <w:color w:val="auto"/>
              </w:rPr>
              <w:t>$468.0 million</w:t>
            </w:r>
          </w:p>
        </w:tc>
        <w:tc>
          <w:tcPr>
            <w:tcW w:w="1100" w:type="dxa"/>
            <w:vAlign w:val="bottom"/>
            <w:gridSpan w:val="2"/>
            <w:shd w:val="clear" w:color="auto" w:fill="CFF0FC"/>
          </w:tcPr>
          <w:p>
            <w:pPr>
              <w:jc w:val="center"/>
              <w:ind w:right="5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set target and 150% payout at 101.1%.</w:t>
            </w:r>
          </w:p>
        </w:tc>
        <w:tc>
          <w:tcPr>
            <w:tcW w:w="3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60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980" w:type="dxa"/>
            <w:vAlign w:val="bottom"/>
            <w:gridSpan w:val="3"/>
          </w:tcPr>
          <w:p>
            <w:pPr>
              <w:ind w:left="100"/>
              <w:spacing w:after="0" w:line="125" w:lineRule="exact"/>
              <w:rPr>
                <w:sz w:val="20"/>
                <w:szCs w:val="20"/>
                <w:color w:val="auto"/>
              </w:rPr>
            </w:pPr>
            <w:r>
              <w:rPr>
                <w:rFonts w:ascii="Times New Roman" w:cs="Times New Roman" w:eastAsia="Times New Roman" w:hAnsi="Times New Roman"/>
                <w:sz w:val="14"/>
                <w:szCs w:val="14"/>
                <w:color w:val="auto"/>
              </w:rPr>
              <w:t>Adjusted</w:t>
            </w:r>
          </w:p>
        </w:tc>
        <w:tc>
          <w:tcPr>
            <w:tcW w:w="780" w:type="dxa"/>
            <w:vAlign w:val="bottom"/>
            <w:gridSpan w:val="2"/>
          </w:tcPr>
          <w:p>
            <w:pPr>
              <w:jc w:val="center"/>
              <w:ind w:left="129"/>
              <w:spacing w:after="0" w:line="125" w:lineRule="exact"/>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0"/>
                <w:szCs w:val="10"/>
                <w:color w:val="auto"/>
              </w:rPr>
            </w:pPr>
          </w:p>
        </w:tc>
        <w:tc>
          <w:tcPr>
            <w:tcW w:w="362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color w:val="auto"/>
              </w:rPr>
              <w:t>100% payout out at set target, with 50% payout at 88.9%</w:t>
            </w:r>
          </w:p>
        </w:tc>
        <w:tc>
          <w:tcPr>
            <w:tcW w:w="146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$27.0 million</w:t>
            </w:r>
          </w:p>
        </w:tc>
        <w:tc>
          <w:tcPr>
            <w:tcW w:w="1960" w:type="dxa"/>
            <w:vAlign w:val="bottom"/>
            <w:gridSpan w:val="3"/>
          </w:tcPr>
          <w:p>
            <w:pPr>
              <w:jc w:val="center"/>
              <w:ind w:right="420"/>
              <w:spacing w:after="0" w:line="125" w:lineRule="exact"/>
              <w:rPr>
                <w:sz w:val="20"/>
                <w:szCs w:val="20"/>
                <w:color w:val="auto"/>
              </w:rPr>
            </w:pPr>
            <w:r>
              <w:rPr>
                <w:rFonts w:ascii="Times New Roman" w:cs="Times New Roman" w:eastAsia="Times New Roman" w:hAnsi="Times New Roman"/>
                <w:sz w:val="14"/>
                <w:szCs w:val="14"/>
                <w:color w:val="auto"/>
              </w:rPr>
              <w:t>$17.1 million</w:t>
            </w:r>
          </w:p>
        </w:tc>
        <w:tc>
          <w:tcPr>
            <w:tcW w:w="1100" w:type="dxa"/>
            <w:vAlign w:val="bottom"/>
            <w:gridSpan w:val="2"/>
          </w:tcPr>
          <w:p>
            <w:pPr>
              <w:jc w:val="center"/>
              <w:ind w:right="520"/>
              <w:spacing w:after="0" w:line="12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of set target and 150% payout at 111.1%.</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6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3</w:t>
            </w:r>
          </w:p>
        </w:tc>
        <w:tc>
          <w:tcPr>
            <w:tcW w:w="980" w:type="dxa"/>
            <w:vAlign w:val="bottom"/>
            <w:gridSpan w:val="3"/>
            <w:shd w:val="clear" w:color="auto" w:fill="CFF0FC"/>
          </w:tcPr>
          <w:p>
            <w:pPr>
              <w:ind w:left="100"/>
              <w:spacing w:after="0" w:line="125" w:lineRule="exact"/>
              <w:rPr>
                <w:sz w:val="20"/>
                <w:szCs w:val="20"/>
                <w:color w:val="auto"/>
              </w:rPr>
            </w:pPr>
            <w:r>
              <w:rPr>
                <w:rFonts w:ascii="Times New Roman" w:cs="Times New Roman" w:eastAsia="Times New Roman" w:hAnsi="Times New Roman"/>
                <w:sz w:val="14"/>
                <w:szCs w:val="14"/>
                <w:color w:val="auto"/>
              </w:rPr>
              <w:t>Merchandise</w:t>
            </w:r>
          </w:p>
        </w:tc>
        <w:tc>
          <w:tcPr>
            <w:tcW w:w="780" w:type="dxa"/>
            <w:vAlign w:val="bottom"/>
            <w:gridSpan w:val="2"/>
            <w:shd w:val="clear" w:color="auto" w:fill="CFF0FC"/>
          </w:tcPr>
          <w:p>
            <w:pPr>
              <w:jc w:val="center"/>
              <w:ind w:left="129"/>
              <w:spacing w:after="0" w:line="125" w:lineRule="exact"/>
              <w:rPr>
                <w:sz w:val="20"/>
                <w:szCs w:val="20"/>
                <w:color w:val="auto"/>
              </w:rPr>
            </w:pPr>
            <w:r>
              <w:rPr>
                <w:rFonts w:ascii="Times New Roman" w:cs="Times New Roman" w:eastAsia="Times New Roman" w:hAnsi="Times New Roman"/>
                <w:sz w:val="14"/>
                <w:szCs w:val="14"/>
                <w:color w:val="auto"/>
              </w:rPr>
              <w:t>20.0%</w:t>
            </w:r>
          </w:p>
        </w:tc>
        <w:tc>
          <w:tcPr>
            <w:tcW w:w="160" w:type="dxa"/>
            <w:vAlign w:val="bottom"/>
            <w:shd w:val="clear" w:color="auto" w:fill="CFF0FC"/>
          </w:tcPr>
          <w:p>
            <w:pPr>
              <w:spacing w:after="0"/>
              <w:rPr>
                <w:sz w:val="10"/>
                <w:szCs w:val="10"/>
                <w:color w:val="auto"/>
              </w:rPr>
            </w:pPr>
          </w:p>
        </w:tc>
        <w:tc>
          <w:tcPr>
            <w:tcW w:w="3620" w:type="dxa"/>
            <w:vAlign w:val="bottom"/>
            <w:gridSpan w:val="3"/>
            <w:shd w:val="clear" w:color="auto" w:fill="CFF0FC"/>
          </w:tcPr>
          <w:p>
            <w:pPr>
              <w:ind w:left="40"/>
              <w:spacing w:after="0" w:line="125" w:lineRule="exact"/>
              <w:rPr>
                <w:sz w:val="20"/>
                <w:szCs w:val="20"/>
                <w:color w:val="auto"/>
              </w:rPr>
            </w:pPr>
            <w:r>
              <w:rPr>
                <w:rFonts w:ascii="Times New Roman" w:cs="Times New Roman" w:eastAsia="Times New Roman" w:hAnsi="Times New Roman"/>
                <w:sz w:val="14"/>
                <w:szCs w:val="14"/>
                <w:color w:val="auto"/>
              </w:rPr>
              <w:t>Target must be achieved for a minimum payout of 100%,</w:t>
            </w:r>
          </w:p>
        </w:tc>
        <w:tc>
          <w:tcPr>
            <w:tcW w:w="1040" w:type="dxa"/>
            <w:vAlign w:val="bottom"/>
            <w:gridSpan w:val="2"/>
            <w:shd w:val="clear" w:color="auto" w:fill="CFF0FC"/>
          </w:tcPr>
          <w:p>
            <w:pPr>
              <w:jc w:val="center"/>
              <w:ind w:left="249"/>
              <w:spacing w:after="0" w:line="12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0"/>
                <w:szCs w:val="10"/>
                <w:color w:val="auto"/>
              </w:rPr>
            </w:pPr>
          </w:p>
        </w:tc>
        <w:tc>
          <w:tcPr>
            <w:tcW w:w="1960" w:type="dxa"/>
            <w:vAlign w:val="bottom"/>
            <w:gridSpan w:val="3"/>
            <w:shd w:val="clear" w:color="auto" w:fill="CFF0FC"/>
          </w:tcPr>
          <w:p>
            <w:pPr>
              <w:jc w:val="center"/>
              <w:ind w:right="420"/>
              <w:spacing w:after="0" w:line="125" w:lineRule="exact"/>
              <w:rPr>
                <w:sz w:val="20"/>
                <w:szCs w:val="20"/>
                <w:color w:val="auto"/>
              </w:rPr>
            </w:pPr>
            <w:r>
              <w:rPr>
                <w:rFonts w:ascii="Times New Roman" w:cs="Times New Roman" w:eastAsia="Times New Roman" w:hAnsi="Times New Roman"/>
                <w:sz w:val="14"/>
                <w:szCs w:val="14"/>
                <w:color w:val="auto"/>
              </w:rPr>
              <w:t>70 basis points</w:t>
            </w:r>
          </w:p>
        </w:tc>
        <w:tc>
          <w:tcPr>
            <w:tcW w:w="6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4"/>
                <w:szCs w:val="14"/>
                <w:color w:val="auto"/>
              </w:rPr>
              <w:t>113.3%</w:t>
            </w: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80" w:type="dxa"/>
            <w:vAlign w:val="bottom"/>
            <w:gridSpan w:val="3"/>
            <w:shd w:val="clear" w:color="auto" w:fill="CFF0FC"/>
          </w:tcPr>
          <w:p>
            <w:pPr>
              <w:ind w:left="100"/>
              <w:spacing w:after="0" w:line="148" w:lineRule="exact"/>
              <w:rPr>
                <w:sz w:val="20"/>
                <w:szCs w:val="20"/>
                <w:color w:val="auto"/>
              </w:rPr>
            </w:pPr>
            <w:r>
              <w:rPr>
                <w:rFonts w:ascii="Times New Roman" w:cs="Times New Roman" w:eastAsia="Times New Roman" w:hAnsi="Times New Roman"/>
                <w:sz w:val="14"/>
                <w:szCs w:val="14"/>
                <w:color w:val="auto"/>
              </w:rPr>
              <w:t>Margin</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20" w:type="dxa"/>
            <w:vAlign w:val="bottom"/>
            <w:gridSpan w:val="3"/>
            <w:shd w:val="clear" w:color="auto" w:fill="CFF0FC"/>
          </w:tcPr>
          <w:p>
            <w:pPr>
              <w:ind w:left="40"/>
              <w:spacing w:after="0" w:line="148" w:lineRule="exact"/>
              <w:rPr>
                <w:sz w:val="20"/>
                <w:szCs w:val="20"/>
                <w:color w:val="auto"/>
              </w:rPr>
            </w:pPr>
            <w:r>
              <w:rPr>
                <w:rFonts w:ascii="Times New Roman" w:cs="Times New Roman" w:eastAsia="Times New Roman" w:hAnsi="Times New Roman"/>
                <w:sz w:val="14"/>
                <w:szCs w:val="14"/>
                <w:color w:val="auto"/>
              </w:rPr>
              <w:t>with 125% payout at 102.2% of target and 150% of</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center"/>
              <w:ind w:right="820"/>
              <w:spacing w:after="0" w:line="148" w:lineRule="exact"/>
              <w:rPr>
                <w:sz w:val="20"/>
                <w:szCs w:val="20"/>
                <w:color w:val="auto"/>
              </w:rPr>
            </w:pPr>
            <w:r>
              <w:rPr>
                <w:rFonts w:ascii="Times New Roman" w:cs="Times New Roman" w:eastAsia="Times New Roman" w:hAnsi="Times New Roman"/>
                <w:sz w:val="14"/>
                <w:szCs w:val="14"/>
                <w:color w:val="auto"/>
              </w:rPr>
              <w:t>above</w:t>
            </w:r>
          </w:p>
        </w:tc>
        <w:tc>
          <w:tcPr>
            <w:tcW w:w="6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payout at 104.2% of target.</w:t>
            </w:r>
          </w:p>
        </w:tc>
        <w:tc>
          <w:tcPr>
            <w:tcW w:w="3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center"/>
              <w:ind w:right="800"/>
              <w:spacing w:after="0"/>
              <w:rPr>
                <w:sz w:val="20"/>
                <w:szCs w:val="20"/>
                <w:color w:val="auto"/>
              </w:rPr>
            </w:pPr>
            <w:r>
              <w:rPr>
                <w:rFonts w:ascii="Times New Roman" w:cs="Times New Roman" w:eastAsia="Times New Roman" w:hAnsi="Times New Roman"/>
                <w:sz w:val="14"/>
                <w:szCs w:val="14"/>
                <w:color w:val="auto"/>
              </w:rPr>
              <w:t>minimum</w:t>
            </w:r>
          </w:p>
        </w:tc>
        <w:tc>
          <w:tcPr>
            <w:tcW w:w="6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60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4</w:t>
            </w:r>
          </w:p>
        </w:tc>
        <w:tc>
          <w:tcPr>
            <w:tcW w:w="980" w:type="dxa"/>
            <w:vAlign w:val="bottom"/>
            <w:gridSpan w:val="3"/>
          </w:tcPr>
          <w:p>
            <w:pPr>
              <w:ind w:left="100"/>
              <w:spacing w:after="0" w:line="125" w:lineRule="exact"/>
              <w:rPr>
                <w:sz w:val="20"/>
                <w:szCs w:val="20"/>
                <w:color w:val="auto"/>
              </w:rPr>
            </w:pPr>
            <w:r>
              <w:rPr>
                <w:rFonts w:ascii="Times New Roman" w:cs="Times New Roman" w:eastAsia="Times New Roman" w:hAnsi="Times New Roman"/>
                <w:sz w:val="14"/>
                <w:szCs w:val="14"/>
                <w:color w:val="auto"/>
              </w:rPr>
              <w:t>Free Cash</w:t>
            </w:r>
          </w:p>
        </w:tc>
        <w:tc>
          <w:tcPr>
            <w:tcW w:w="780" w:type="dxa"/>
            <w:vAlign w:val="bottom"/>
            <w:gridSpan w:val="2"/>
          </w:tcPr>
          <w:p>
            <w:pPr>
              <w:jc w:val="center"/>
              <w:ind w:left="129"/>
              <w:spacing w:after="0" w:line="125" w:lineRule="exact"/>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0"/>
                <w:szCs w:val="10"/>
                <w:color w:val="auto"/>
              </w:rPr>
            </w:pPr>
          </w:p>
        </w:tc>
        <w:tc>
          <w:tcPr>
            <w:tcW w:w="362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color w:val="auto"/>
              </w:rPr>
              <w:t>100% payout at set target, with 50% payout at 85.7% of</w:t>
            </w:r>
          </w:p>
        </w:tc>
        <w:tc>
          <w:tcPr>
            <w:tcW w:w="146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$17.5 million</w:t>
            </w:r>
          </w:p>
        </w:tc>
        <w:tc>
          <w:tcPr>
            <w:tcW w:w="400" w:type="dxa"/>
            <w:vAlign w:val="bottom"/>
          </w:tcPr>
          <w:p>
            <w:pPr>
              <w:spacing w:after="0"/>
              <w:rPr>
                <w:sz w:val="10"/>
                <w:szCs w:val="10"/>
                <w:color w:val="auto"/>
              </w:rPr>
            </w:pPr>
          </w:p>
        </w:tc>
        <w:tc>
          <w:tcPr>
            <w:tcW w:w="1560" w:type="dxa"/>
            <w:vAlign w:val="bottom"/>
            <w:gridSpan w:val="2"/>
          </w:tcPr>
          <w:p>
            <w:pPr>
              <w:jc w:val="center"/>
              <w:ind w:right="820"/>
              <w:spacing w:after="0" w:line="125" w:lineRule="exact"/>
              <w:rPr>
                <w:sz w:val="20"/>
                <w:szCs w:val="20"/>
                <w:color w:val="auto"/>
              </w:rPr>
            </w:pPr>
            <w:r>
              <w:rPr>
                <w:rFonts w:ascii="Times New Roman" w:cs="Times New Roman" w:eastAsia="Times New Roman" w:hAnsi="Times New Roman"/>
                <w:sz w:val="14"/>
                <w:szCs w:val="14"/>
                <w:color w:val="auto"/>
              </w:rPr>
              <w:t>$8.4 million</w:t>
            </w:r>
          </w:p>
        </w:tc>
        <w:tc>
          <w:tcPr>
            <w:tcW w:w="1100" w:type="dxa"/>
            <w:vAlign w:val="bottom"/>
            <w:gridSpan w:val="2"/>
          </w:tcPr>
          <w:p>
            <w:pPr>
              <w:jc w:val="center"/>
              <w:ind w:right="520"/>
              <w:spacing w:after="0" w:line="12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Flow</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target and 150% payout at 114.3% of target.</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Target 5</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Direct</w:t>
            </w:r>
          </w:p>
        </w:tc>
        <w:tc>
          <w:tcPr>
            <w:tcW w:w="78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22"/>
                <w:szCs w:val="22"/>
                <w:color w:val="auto"/>
              </w:rPr>
            </w:pPr>
          </w:p>
        </w:tc>
        <w:tc>
          <w:tcPr>
            <w:tcW w:w="3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100% payout at set target, with 50% payout at 65.5% of</w:t>
            </w:r>
          </w:p>
        </w:tc>
        <w:tc>
          <w:tcPr>
            <w:tcW w:w="104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14.5%</w:t>
            </w:r>
          </w:p>
        </w:tc>
        <w:tc>
          <w:tcPr>
            <w:tcW w:w="420" w:type="dxa"/>
            <w:vAlign w:val="bottom"/>
          </w:tcPr>
          <w:p>
            <w:pPr>
              <w:spacing w:after="0"/>
              <w:rPr>
                <w:sz w:val="22"/>
                <w:szCs w:val="22"/>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8.4%</w:t>
            </w:r>
          </w:p>
        </w:tc>
        <w:tc>
          <w:tcPr>
            <w:tcW w:w="820" w:type="dxa"/>
            <w:vAlign w:val="bottom"/>
          </w:tcPr>
          <w:p>
            <w:pPr>
              <w:spacing w:after="0"/>
              <w:rPr>
                <w:sz w:val="22"/>
                <w:szCs w:val="22"/>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3"/>
          </w:tcPr>
          <w:p>
            <w:pPr>
              <w:ind w:left="100"/>
              <w:spacing w:after="0" w:line="148" w:lineRule="exact"/>
              <w:rPr>
                <w:sz w:val="20"/>
                <w:szCs w:val="20"/>
                <w:color w:val="auto"/>
              </w:rPr>
            </w:pPr>
            <w:r>
              <w:rPr>
                <w:rFonts w:ascii="Times New Roman" w:cs="Times New Roman" w:eastAsia="Times New Roman" w:hAnsi="Times New Roman"/>
                <w:sz w:val="14"/>
                <w:szCs w:val="14"/>
                <w:color w:val="auto"/>
              </w:rPr>
              <w:t>Comparable</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2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4"/>
                <w:szCs w:val="14"/>
                <w:color w:val="auto"/>
              </w:rPr>
              <w:t>target and 150% payout at 134.5% of target.</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Sales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6</w:t>
            </w:r>
          </w:p>
        </w:tc>
        <w:tc>
          <w:tcPr>
            <w:tcW w:w="980" w:type="dxa"/>
            <w:vAlign w:val="bottom"/>
            <w:gridSpan w:val="3"/>
            <w:shd w:val="clear" w:color="auto" w:fill="CFF0FC"/>
          </w:tcPr>
          <w:p>
            <w:pPr>
              <w:ind w:left="100"/>
              <w:spacing w:after="0" w:line="125" w:lineRule="exact"/>
              <w:rPr>
                <w:sz w:val="20"/>
                <w:szCs w:val="20"/>
                <w:color w:val="auto"/>
              </w:rPr>
            </w:pPr>
            <w:r>
              <w:rPr>
                <w:rFonts w:ascii="Times New Roman" w:cs="Times New Roman" w:eastAsia="Times New Roman" w:hAnsi="Times New Roman"/>
                <w:sz w:val="14"/>
                <w:szCs w:val="14"/>
                <w:color w:val="auto"/>
              </w:rPr>
              <w:t>Customer</w:t>
            </w:r>
          </w:p>
        </w:tc>
        <w:tc>
          <w:tcPr>
            <w:tcW w:w="780" w:type="dxa"/>
            <w:vAlign w:val="bottom"/>
            <w:gridSpan w:val="2"/>
            <w:shd w:val="clear" w:color="auto" w:fill="CFF0FC"/>
          </w:tcPr>
          <w:p>
            <w:pPr>
              <w:jc w:val="center"/>
              <w:ind w:left="129"/>
              <w:spacing w:after="0" w:line="125"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0"/>
                <w:szCs w:val="10"/>
                <w:color w:val="auto"/>
              </w:rPr>
            </w:pPr>
          </w:p>
        </w:tc>
        <w:tc>
          <w:tcPr>
            <w:tcW w:w="3620" w:type="dxa"/>
            <w:vAlign w:val="bottom"/>
            <w:gridSpan w:val="3"/>
            <w:shd w:val="clear" w:color="auto" w:fill="CFF0FC"/>
          </w:tcPr>
          <w:p>
            <w:pPr>
              <w:ind w:left="40"/>
              <w:spacing w:after="0" w:line="125" w:lineRule="exact"/>
              <w:rPr>
                <w:sz w:val="20"/>
                <w:szCs w:val="20"/>
                <w:color w:val="auto"/>
              </w:rPr>
            </w:pPr>
            <w:r>
              <w:rPr>
                <w:rFonts w:ascii="Times New Roman" w:cs="Times New Roman" w:eastAsia="Times New Roman" w:hAnsi="Times New Roman"/>
                <w:sz w:val="14"/>
                <w:szCs w:val="14"/>
                <w:color w:val="auto"/>
              </w:rPr>
              <w:t>100% payout at set target, with 50% payout at 99.0%% of</w:t>
            </w:r>
          </w:p>
        </w:tc>
        <w:tc>
          <w:tcPr>
            <w:tcW w:w="1040" w:type="dxa"/>
            <w:vAlign w:val="bottom"/>
            <w:gridSpan w:val="2"/>
            <w:shd w:val="clear" w:color="auto" w:fill="CFF0FC"/>
          </w:tcPr>
          <w:p>
            <w:pPr>
              <w:jc w:val="center"/>
              <w:ind w:left="249"/>
              <w:spacing w:after="0" w:line="125" w:lineRule="exact"/>
              <w:rPr>
                <w:sz w:val="20"/>
                <w:szCs w:val="20"/>
                <w:color w:val="auto"/>
              </w:rPr>
            </w:pPr>
            <w:r>
              <w:rPr>
                <w:rFonts w:ascii="Times New Roman" w:cs="Times New Roman" w:eastAsia="Times New Roman" w:hAnsi="Times New Roman"/>
                <w:sz w:val="14"/>
                <w:szCs w:val="14"/>
                <w:color w:val="auto"/>
                <w:w w:val="99"/>
              </w:rPr>
              <w:t>1,530,000</w:t>
            </w:r>
          </w:p>
        </w:tc>
        <w:tc>
          <w:tcPr>
            <w:tcW w:w="42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
              <w:spacing w:after="0" w:line="125" w:lineRule="exact"/>
              <w:rPr>
                <w:sz w:val="20"/>
                <w:szCs w:val="20"/>
                <w:color w:val="auto"/>
              </w:rPr>
            </w:pPr>
            <w:r>
              <w:rPr>
                <w:rFonts w:ascii="Times New Roman" w:cs="Times New Roman" w:eastAsia="Times New Roman" w:hAnsi="Times New Roman"/>
                <w:sz w:val="14"/>
                <w:szCs w:val="14"/>
                <w:color w:val="auto"/>
              </w:rPr>
              <w:t>1,535,544</w:t>
            </w:r>
          </w:p>
        </w:tc>
        <w:tc>
          <w:tcPr>
            <w:tcW w:w="820" w:type="dxa"/>
            <w:vAlign w:val="bottom"/>
            <w:shd w:val="clear" w:color="auto" w:fill="CFF0FC"/>
          </w:tcPr>
          <w:p>
            <w:pPr>
              <w:spacing w:after="0"/>
              <w:rPr>
                <w:sz w:val="10"/>
                <w:szCs w:val="10"/>
                <w:color w:val="auto"/>
              </w:rPr>
            </w:pPr>
          </w:p>
        </w:tc>
        <w:tc>
          <w:tcPr>
            <w:tcW w:w="6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4"/>
                <w:szCs w:val="14"/>
                <w:color w:val="auto"/>
              </w:rPr>
              <w:t>118.5%</w:t>
            </w: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Counts</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target and 150% of payout at 101.0% of target.</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right="700" w:firstLine="9"/>
        <w:spacing w:after="0" w:line="280" w:lineRule="auto"/>
        <w:tabs>
          <w:tab w:leader="none" w:pos="9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margin is a component of gross margin, net of occupancy costs and is not disclosed because we believe it would be a competitive disadvantage to do so.</w:t>
      </w:r>
    </w:p>
    <w:p>
      <w:pPr>
        <w:spacing w:after="0" w:line="377" w:lineRule="exact"/>
        <w:rPr>
          <w:sz w:val="20"/>
          <w:szCs w:val="20"/>
          <w:color w:val="auto"/>
        </w:rPr>
      </w:pPr>
    </w:p>
    <w:p>
      <w:pPr>
        <w:ind w:left="400" w:right="160"/>
        <w:spacing w:after="0" w:line="257" w:lineRule="auto"/>
        <w:rPr>
          <w:sz w:val="20"/>
          <w:szCs w:val="20"/>
          <w:color w:val="auto"/>
        </w:rPr>
      </w:pPr>
      <w:r>
        <w:rPr>
          <w:rFonts w:ascii="Times New Roman" w:cs="Times New Roman" w:eastAsia="Times New Roman" w:hAnsi="Times New Roman"/>
          <w:sz w:val="18"/>
          <w:szCs w:val="18"/>
          <w:color w:val="auto"/>
        </w:rPr>
        <w:t>The performance targets were derived from the Company’s operating plan for fiscal 2017, and the Compensation Committee believed that it was possible, with an approximate 50% probability, to meet or exceed each of the targets. As a result of achieving some of the performance targets for fiscal 2017, as shown above, on March 31, 2018 the Compensation Committee approved a cash bonus payout of 34.5% of target under the 2017 AIP. The total cash award paid to 103 participants was approximately $1.3 million, with $546,252 of that amount being paid to the Named Executive Officers.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Changes to AIP for Fiscal 2018</w:t>
      </w:r>
    </w:p>
    <w:p>
      <w:pPr>
        <w:spacing w:after="0" w:line="116"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8"/>
          <w:szCs w:val="18"/>
          <w:color w:val="auto"/>
        </w:rPr>
        <w:t>The Compensation Committee modified the 2018 AIP performance metrics in keeping with the Board’s objective to drive profitability and free cash flow through revenue growth at acceptable margins. In addition to overall financial and operating performance metrics, we added specific departmental metrics for our marketing, digital, store operations and merchandising, as well as a discretionary component based on individual performance targets. The overall financial and operating performance metrics will represent 80% of the AIP for our executives, including our Named Executive Officers, whereas they will represent 60% of the AIP for certain departmental employees and the departmental metrics will represent 20%. For all employees, the remaining 20% of the AIP award will be discretionary based on individual performance targets. We believe that these modifications will better align the compensation of our employees with their contribution to our business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72390</wp:posOffset>
            </wp:positionV>
            <wp:extent cx="728980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040"/>
          </w:cols>
          <w:pgMar w:left="620" w:top="551" w:right="239" w:bottom="1440" w:gutter="0" w:footer="0" w:header="0"/>
        </w:sectPr>
      </w:pPr>
    </w:p>
    <w:bookmarkStart w:id="24" w:name="page25"/>
    <w:bookmarkEnd w:id="24"/>
    <w:p>
      <w:pPr>
        <w:ind w:left="460" w:right="580"/>
        <w:spacing w:after="0" w:line="280" w:lineRule="auto"/>
        <w:rPr>
          <w:sz w:val="20"/>
          <w:szCs w:val="20"/>
          <w:color w:val="auto"/>
        </w:rPr>
      </w:pPr>
      <w:r>
        <w:rPr>
          <w:rFonts w:ascii="Times New Roman" w:cs="Times New Roman" w:eastAsia="Times New Roman" w:hAnsi="Times New Roman"/>
          <w:sz w:val="18"/>
          <w:szCs w:val="18"/>
          <w:color w:val="auto"/>
        </w:rPr>
        <w:t>The 2018 AIP performance metrics, as they relate to our Named Executive Officers and as approved by the Compensation Committee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0" w:type="dxa"/>
            <w:vAlign w:val="bottom"/>
            <w:gridSpan w:val="3"/>
          </w:tcPr>
          <w:p>
            <w:pPr>
              <w:ind w:left="960"/>
              <w:spacing w:after="0"/>
              <w:rPr>
                <w:sz w:val="20"/>
                <w:szCs w:val="20"/>
                <w:color w:val="auto"/>
              </w:rPr>
            </w:pPr>
            <w:r>
              <w:rPr>
                <w:rFonts w:ascii="Times New Roman" w:cs="Times New Roman" w:eastAsia="Times New Roman" w:hAnsi="Times New Roman"/>
                <w:sz w:val="18"/>
                <w:szCs w:val="18"/>
                <w:i w:val="1"/>
                <w:iCs w:val="1"/>
                <w:color w:val="auto"/>
              </w:rPr>
              <w:t>2018 Annual Incentive Plan</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7000" w:type="dxa"/>
            <w:vAlign w:val="bottom"/>
            <w:gridSpan w:val="3"/>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26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Attributable to</w:t>
            </w:r>
          </w:p>
        </w:tc>
        <w:tc>
          <w:tcPr>
            <w:tcW w:w="3060" w:type="dxa"/>
            <w:vAlign w:val="bottom"/>
          </w:tcPr>
          <w:p>
            <w:pPr>
              <w:spacing w:after="0"/>
              <w:rPr>
                <w:sz w:val="9"/>
                <w:szCs w:val="9"/>
                <w:color w:val="auto"/>
              </w:rPr>
            </w:pPr>
          </w:p>
        </w:tc>
        <w:tc>
          <w:tcPr>
            <w:tcW w:w="3940" w:type="dxa"/>
            <w:vAlign w:val="bottom"/>
            <w:gridSpan w:val="2"/>
            <w:vMerge w:val="restart"/>
          </w:tcPr>
          <w:p>
            <w:pPr>
              <w:jc w:val="center"/>
              <w:ind w:right="2920"/>
              <w:spacing w:after="0"/>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6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3060" w:type="dxa"/>
            <w:vAlign w:val="bottom"/>
          </w:tcPr>
          <w:p>
            <w:pPr>
              <w:spacing w:after="0"/>
              <w:rPr>
                <w:sz w:val="13"/>
                <w:szCs w:val="13"/>
                <w:color w:val="auto"/>
              </w:rPr>
            </w:pPr>
          </w:p>
        </w:tc>
        <w:tc>
          <w:tcPr>
            <w:tcW w:w="3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Target 1</w:t>
            </w:r>
          </w:p>
        </w:tc>
        <w:tc>
          <w:tcPr>
            <w:tcW w:w="18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Sales</w:t>
            </w:r>
          </w:p>
        </w:tc>
        <w:tc>
          <w:tcPr>
            <w:tcW w:w="12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70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100% payout at set target, with 50% payout at 98.5% of set target and 150% payout at 102.1% of target.</w:t>
            </w:r>
          </w:p>
        </w:tc>
        <w:tc>
          <w:tcPr>
            <w:tcW w:w="0" w:type="dxa"/>
            <w:vAlign w:val="bottom"/>
          </w:tcPr>
          <w:p>
            <w:pPr>
              <w:spacing w:after="0"/>
              <w:rPr>
                <w:sz w:val="1"/>
                <w:szCs w:val="1"/>
                <w:color w:val="auto"/>
              </w:rPr>
            </w:pPr>
          </w:p>
        </w:tc>
      </w:tr>
      <w:tr>
        <w:trPr>
          <w:trHeight w:val="323"/>
        </w:trPr>
        <w:tc>
          <w:tcPr>
            <w:tcW w:w="20" w:type="dxa"/>
            <w:vAlign w:val="bottom"/>
            <w:vMerge w:val="restart"/>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306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9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Target 2</w:t>
            </w:r>
          </w:p>
        </w:tc>
        <w:tc>
          <w:tcPr>
            <w:tcW w:w="18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Adjusted EBITDA</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70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100% payout at set target, with 50% payout at 86.0% of set target and 150% payout at 120.0% of target.</w:t>
            </w:r>
          </w:p>
        </w:tc>
        <w:tc>
          <w:tcPr>
            <w:tcW w:w="0" w:type="dxa"/>
            <w:vAlign w:val="bottom"/>
          </w:tcPr>
          <w:p>
            <w:pPr>
              <w:spacing w:after="0"/>
              <w:rPr>
                <w:sz w:val="1"/>
                <w:szCs w:val="1"/>
                <w:color w:val="auto"/>
              </w:rPr>
            </w:pPr>
          </w:p>
        </w:tc>
      </w:tr>
      <w:tr>
        <w:trPr>
          <w:trHeight w:val="323"/>
        </w:trPr>
        <w:tc>
          <w:tcPr>
            <w:tcW w:w="20" w:type="dxa"/>
            <w:vAlign w:val="bottom"/>
            <w:vMerge w:val="restart"/>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Target 3</w:t>
            </w:r>
          </w:p>
        </w:tc>
        <w:tc>
          <w:tcPr>
            <w:tcW w:w="18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Gross Margin (dollars)</w:t>
            </w:r>
          </w:p>
        </w:tc>
        <w:tc>
          <w:tcPr>
            <w:tcW w:w="12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15.0%</w:t>
            </w:r>
          </w:p>
        </w:tc>
        <w:tc>
          <w:tcPr>
            <w:tcW w:w="70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100% payout at set target, with 50% payout at 96.9% of set target and 150% payout at 103.1% of target.</w:t>
            </w:r>
          </w:p>
        </w:tc>
        <w:tc>
          <w:tcPr>
            <w:tcW w:w="0" w:type="dxa"/>
            <w:vAlign w:val="bottom"/>
          </w:tcPr>
          <w:p>
            <w:pPr>
              <w:spacing w:after="0"/>
              <w:rPr>
                <w:sz w:val="1"/>
                <w:szCs w:val="1"/>
                <w:color w:val="auto"/>
              </w:rPr>
            </w:pPr>
          </w:p>
        </w:tc>
      </w:tr>
      <w:tr>
        <w:trPr>
          <w:trHeight w:val="323"/>
        </w:trPr>
        <w:tc>
          <w:tcPr>
            <w:tcW w:w="20" w:type="dxa"/>
            <w:vAlign w:val="bottom"/>
            <w:vMerge w:val="restart"/>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306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9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Target 4</w:t>
            </w:r>
          </w:p>
        </w:tc>
        <w:tc>
          <w:tcPr>
            <w:tcW w:w="18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Free Cash Flow</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15.0%</w:t>
            </w:r>
          </w:p>
        </w:tc>
        <w:tc>
          <w:tcPr>
            <w:tcW w:w="70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100% payout at set target, with 50% payout at 76.9% of target and 150% payout at 123.1% of target.</w:t>
            </w:r>
          </w:p>
        </w:tc>
        <w:tc>
          <w:tcPr>
            <w:tcW w:w="0" w:type="dxa"/>
            <w:vAlign w:val="bottom"/>
          </w:tcPr>
          <w:p>
            <w:pPr>
              <w:spacing w:after="0"/>
              <w:rPr>
                <w:sz w:val="1"/>
                <w:szCs w:val="1"/>
                <w:color w:val="auto"/>
              </w:rPr>
            </w:pPr>
          </w:p>
        </w:tc>
      </w:tr>
      <w:tr>
        <w:trPr>
          <w:trHeight w:val="323"/>
        </w:trPr>
        <w:tc>
          <w:tcPr>
            <w:tcW w:w="20" w:type="dxa"/>
            <w:vAlign w:val="bottom"/>
            <w:vMerge w:val="restart"/>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7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Target 5</w:t>
            </w:r>
          </w:p>
        </w:tc>
        <w:tc>
          <w:tcPr>
            <w:tcW w:w="1840" w:type="dxa"/>
            <w:vAlign w:val="bottom"/>
            <w:gridSpan w:val="3"/>
            <w:shd w:val="clear" w:color="auto" w:fill="CFF0FC"/>
          </w:tcPr>
          <w:p>
            <w:pPr>
              <w:ind w:left="240"/>
              <w:spacing w:after="0" w:line="125" w:lineRule="exact"/>
              <w:rPr>
                <w:sz w:val="20"/>
                <w:szCs w:val="20"/>
                <w:color w:val="auto"/>
              </w:rPr>
            </w:pPr>
            <w:r>
              <w:rPr>
                <w:rFonts w:ascii="Times New Roman" w:cs="Times New Roman" w:eastAsia="Times New Roman" w:hAnsi="Times New Roman"/>
                <w:sz w:val="14"/>
                <w:szCs w:val="14"/>
                <w:color w:val="auto"/>
              </w:rPr>
              <w:t>Discretionary – Personal</w:t>
            </w:r>
          </w:p>
        </w:tc>
        <w:tc>
          <w:tcPr>
            <w:tcW w:w="1260" w:type="dxa"/>
            <w:vAlign w:val="bottom"/>
            <w:gridSpan w:val="3"/>
            <w:shd w:val="clear" w:color="auto" w:fill="CFF0FC"/>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20.0%</w:t>
            </w:r>
          </w:p>
        </w:tc>
        <w:tc>
          <w:tcPr>
            <w:tcW w:w="7000" w:type="dxa"/>
            <w:vAlign w:val="bottom"/>
            <w:gridSpan w:val="3"/>
            <w:shd w:val="clear" w:color="auto" w:fill="CFF0FC"/>
          </w:tcPr>
          <w:p>
            <w:pPr>
              <w:ind w:left="140"/>
              <w:spacing w:after="0" w:line="125" w:lineRule="exact"/>
              <w:rPr>
                <w:sz w:val="20"/>
                <w:szCs w:val="20"/>
                <w:color w:val="auto"/>
              </w:rPr>
            </w:pPr>
            <w:r>
              <w:rPr>
                <w:rFonts w:ascii="Times New Roman" w:cs="Times New Roman" w:eastAsia="Times New Roman" w:hAnsi="Times New Roman"/>
                <w:sz w:val="14"/>
                <w:szCs w:val="14"/>
                <w:color w:val="auto"/>
              </w:rPr>
              <w:t>Discretionary, based upon individual performance, as evaluated by the CEO (except with respect to the CEO whose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Goals</w:t>
            </w:r>
          </w:p>
        </w:tc>
        <w:tc>
          <w:tcPr>
            <w:tcW w:w="4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individual performance will be evaluated by the Compensation Committee).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06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9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40" w:right="100"/>
        <w:spacing w:after="0" w:line="264" w:lineRule="auto"/>
        <w:rPr>
          <w:sz w:val="20"/>
          <w:szCs w:val="20"/>
          <w:color w:val="auto"/>
        </w:rPr>
      </w:pPr>
      <w:r>
        <w:rPr>
          <w:rFonts w:ascii="Times New Roman" w:cs="Times New Roman" w:eastAsia="Times New Roman" w:hAnsi="Times New Roman"/>
          <w:sz w:val="18"/>
          <w:szCs w:val="18"/>
          <w:color w:val="auto"/>
        </w:rPr>
        <w:t>The target levels for each performance metric are derived from the Company’s annual operating plan and budget for the fiscal year, and are intended to be achievable, with an approximate 50% probability. The likelihood of achieving the 2018 targets reflects the challenges inherent in achieving the goals and objectives of an ambitious operating plan and budget.</w:t>
      </w:r>
    </w:p>
    <w:p>
      <w:pPr>
        <w:spacing w:after="0" w:line="70" w:lineRule="exact"/>
        <w:rPr>
          <w:sz w:val="20"/>
          <w:szCs w:val="20"/>
          <w:color w:val="auto"/>
        </w:rPr>
      </w:pPr>
    </w:p>
    <w:p>
      <w:pPr>
        <w:ind w:left="340" w:right="280"/>
        <w:spacing w:after="0" w:line="264" w:lineRule="auto"/>
        <w:rPr>
          <w:sz w:val="20"/>
          <w:szCs w:val="20"/>
          <w:color w:val="auto"/>
        </w:rPr>
      </w:pPr>
      <w:r>
        <w:rPr>
          <w:rFonts w:ascii="Times New Roman" w:cs="Times New Roman" w:eastAsia="Times New Roman" w:hAnsi="Times New Roman"/>
          <w:sz w:val="18"/>
          <w:szCs w:val="18"/>
          <w:color w:val="auto"/>
        </w:rPr>
        <w:t>For fiscal 2018, Mr. Levin’s participation in the annual incentive plan is at 100% of his annual salary (as stipulated in his employment contract), whereas Messrs. Stratton and Reaves, as Executive Vice Presidents, will participate at 55% of their respective salaries and Mr. Molloy, as a Senior Vice President, will participate at 40% of his salary.</w:t>
      </w:r>
    </w:p>
    <w:p>
      <w:pPr>
        <w:spacing w:after="0" w:line="177" w:lineRule="exact"/>
        <w:rPr>
          <w:sz w:val="20"/>
          <w:szCs w:val="20"/>
          <w:color w:val="auto"/>
        </w:rPr>
      </w:pPr>
    </w:p>
    <w:p>
      <w:pPr>
        <w:jc w:val="both"/>
        <w:ind w:left="340" w:right="120"/>
        <w:spacing w:after="0" w:line="259" w:lineRule="auto"/>
        <w:rPr>
          <w:sz w:val="20"/>
          <w:szCs w:val="20"/>
          <w:color w:val="auto"/>
        </w:rPr>
      </w:pPr>
      <w:r>
        <w:rPr>
          <w:rFonts w:ascii="Times New Roman" w:cs="Times New Roman" w:eastAsia="Times New Roman" w:hAnsi="Times New Roman"/>
          <w:sz w:val="18"/>
          <w:szCs w:val="18"/>
          <w:color w:val="auto"/>
        </w:rPr>
        <w:t>Assuming we achieve 100% of the 2018 AIP targets and each participant earns 100% of their individual performance target, the total payout under the 2018 AIP would be approximately $4.0 million, of which $1.4 million would be paid to Messrs. Levin, Stratton, Reaves and Molloy as set forth below. The remaining amount would be paid to approximately 90 other participants. The cost of the 2018 AIP is reflected in the Adjusted EBITDA metric for the 2018 AIP.</w:t>
      </w:r>
    </w:p>
    <w:p>
      <w:pPr>
        <w:spacing w:after="0" w:line="155"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Fiscal 2018</w:t>
            </w:r>
          </w:p>
        </w:tc>
      </w:tr>
      <w:tr>
        <w:trPr>
          <w:trHeight w:val="148"/>
        </w:trPr>
        <w:tc>
          <w:tcPr>
            <w:tcW w:w="810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3"/>
                <w:szCs w:val="13"/>
                <w:b w:val="1"/>
                <w:bCs w:val="1"/>
                <w:color w:val="auto"/>
              </w:rPr>
              <w:t>Potential Payout</w:t>
            </w:r>
          </w:p>
        </w:tc>
      </w:tr>
      <w:tr>
        <w:trPr>
          <w:trHeight w:val="165"/>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at Target</w:t>
            </w:r>
          </w:p>
        </w:tc>
      </w:tr>
      <w:tr>
        <w:trPr>
          <w:trHeight w:val="222"/>
        </w:trPr>
        <w:tc>
          <w:tcPr>
            <w:tcW w:w="20" w:type="dxa"/>
            <w:vAlign w:val="bottom"/>
          </w:tcPr>
          <w:p>
            <w:pPr>
              <w:spacing w:after="0"/>
              <w:rPr>
                <w:sz w:val="19"/>
                <w:szCs w:val="19"/>
                <w:color w:val="auto"/>
              </w:rPr>
            </w:pPr>
          </w:p>
        </w:tc>
        <w:tc>
          <w:tcPr>
            <w:tcW w:w="8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811,200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217,250</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w:t>
            </w:r>
          </w:p>
        </w:tc>
        <w:tc>
          <w:tcPr>
            <w:tcW w:w="4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0"/>
                <w:szCs w:val="20"/>
                <w:color w:val="auto"/>
              </w:rPr>
            </w:pPr>
          </w:p>
        </w:tc>
      </w:tr>
    </w:tbl>
    <w:p>
      <w:pPr>
        <w:spacing w:after="0" w:line="82" w:lineRule="exact"/>
        <w:rPr>
          <w:sz w:val="20"/>
          <w:szCs w:val="20"/>
          <w:color w:val="auto"/>
        </w:rPr>
      </w:pPr>
    </w:p>
    <w:p>
      <w:pPr>
        <w:ind w:left="480" w:hanging="26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w:t>
      </w:r>
    </w:p>
    <w:p>
      <w:pPr>
        <w:spacing w:after="0" w:line="225" w:lineRule="exact"/>
        <w:rPr>
          <w:sz w:val="20"/>
          <w:szCs w:val="20"/>
          <w:color w:val="auto"/>
        </w:rPr>
      </w:pPr>
    </w:p>
    <w:p>
      <w:pPr>
        <w:jc w:val="both"/>
        <w:ind w:left="80"/>
        <w:spacing w:after="0" w:line="280" w:lineRule="auto"/>
        <w:rPr>
          <w:sz w:val="20"/>
          <w:szCs w:val="20"/>
          <w:color w:val="auto"/>
        </w:rPr>
      </w:pPr>
      <w:r>
        <w:rPr>
          <w:rFonts w:ascii="Times New Roman" w:cs="Times New Roman" w:eastAsia="Times New Roman" w:hAnsi="Times New Roman"/>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189" w:lineRule="exact"/>
        <w:rPr>
          <w:sz w:val="20"/>
          <w:szCs w:val="20"/>
          <w:color w:val="auto"/>
        </w:rPr>
      </w:pPr>
    </w:p>
    <w:p>
      <w:pPr>
        <w:jc w:val="both"/>
        <w:ind w:left="80"/>
        <w:spacing w:after="0" w:line="257" w:lineRule="auto"/>
        <w:rPr>
          <w:sz w:val="20"/>
          <w:szCs w:val="20"/>
          <w:color w:val="auto"/>
        </w:rPr>
      </w:pPr>
      <w:r>
        <w:rPr>
          <w:rFonts w:ascii="Times New Roman" w:cs="Times New Roman" w:eastAsia="Times New Roman" w:hAnsi="Times New Roman"/>
          <w:sz w:val="18"/>
          <w:szCs w:val="18"/>
          <w:color w:val="auto"/>
        </w:rPr>
        <w:t>In March 2016, the Compensation Committee approved the Destination XL Group, Inc. Long-Term Incentive Plan (“LTIP”). Under the terms of that LTIP, which govern the “2016-2017 LTIP” and “2017-2018 LTIP” discussed below, the Compensation Committee established performance targets covering two overlapping two-year performance periods (each a “Performance Period”). In June 2018, as discussed more fully below under “Amended LTIP”, the Compensation Committee amended the LTIP for grants made starting in fiscal 2018 to, among other things, change the performance period from a two-year to a three-year period.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72390</wp:posOffset>
            </wp:positionV>
            <wp:extent cx="728980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120"/>
          </w:cols>
          <w:pgMar w:left="540" w:top="33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Existing LTIP cycles</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the 2016-2017 LTIP and the 2017-2018 LTIP, each participant is entitled to receive an award based on his or her “Target Cash Value” which is defined as the participant’s annual base salary (on the participant’s effective date) multiplied by his or her LTIP percentage, which is 100% for the Company’s CEO and 70% for other senior executives.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each participant, 50% of the Target Cash Value is subject to time-based vesting and 50% is subject to performance-based vesting. In addition to being subject to forfeiture, the time-based vesting portion of the award vests in two installments with 50% vesting on April 1 following the fiscal year-end which marks the end of the applicable Performance Period and 50% vesting on April 1 of the succeeding year. The performance-based vesting portion of the award is subject to the achievement of the performance target(s) for the applicable Performance Period. Any award for performance will be granted after the end of the Performance Period and will vest on August 31 following the end of the applicable Performance Period. There is no opportunity to earn any awards for performance in the first year of a Performance Period.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2016-2017 Performance Period</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15, 2016, the Compensation Committee established two performance targets for the 2016-2017 Performance Period under the LTIP (the “2016-2017 LTIP”), each weighted 50%, and further approved that all awards under the 2016-2017 LTIP would be issued in restricted stock units (“RSUs”). With the substantial store growth over the past several years, depreciation costs have increased sharply, which has had a negative impact on net income (loss) and, therefore, Adjusted EBITDA has been a more meaningful performance measure. The cash-over- cash return metric was established as a performance goal for fiscal 2017 to reflect the rigorous cash flow hurdle that every store opening had to meet. The following is a summary of the performance targets under the 2016-2017 Performance Period and actual performance achieved:</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28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80" w:type="dxa"/>
            <w:vAlign w:val="bottom"/>
          </w:tcPr>
          <w:p>
            <w:pPr>
              <w:spacing w:after="0"/>
              <w:rPr>
                <w:sz w:val="13"/>
                <w:szCs w:val="13"/>
                <w:color w:val="auto"/>
              </w:rPr>
            </w:pPr>
          </w:p>
        </w:tc>
        <w:tc>
          <w:tcPr>
            <w:tcW w:w="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28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Metric</w:t>
            </w:r>
          </w:p>
        </w:tc>
        <w:tc>
          <w:tcPr>
            <w:tcW w:w="480" w:type="dxa"/>
            <w:vAlign w:val="bottom"/>
          </w:tcPr>
          <w:p>
            <w:pPr>
              <w:spacing w:after="0"/>
              <w:rPr>
                <w:sz w:val="11"/>
                <w:szCs w:val="11"/>
                <w:color w:val="auto"/>
              </w:rPr>
            </w:pPr>
          </w:p>
        </w:tc>
        <w:tc>
          <w:tcPr>
            <w:tcW w:w="100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4"/>
                <w:szCs w:val="14"/>
                <w:b w:val="1"/>
                <w:bCs w:val="1"/>
                <w:color w:val="auto"/>
              </w:rPr>
              <w:t>to Target</w:t>
            </w:r>
          </w:p>
        </w:tc>
        <w:tc>
          <w:tcPr>
            <w:tcW w:w="2880" w:type="dxa"/>
            <w:vAlign w:val="bottom"/>
            <w:gridSpan w:val="3"/>
          </w:tcPr>
          <w:p>
            <w:pPr>
              <w:ind w:left="940"/>
              <w:spacing w:after="0" w:line="128"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1340" w:type="dxa"/>
            <w:vAlign w:val="bottom"/>
            <w:gridSpan w:val="3"/>
          </w:tcPr>
          <w:p>
            <w:pPr>
              <w:jc w:val="center"/>
              <w:ind w:left="50"/>
              <w:spacing w:after="0" w:line="128" w:lineRule="exact"/>
              <w:rPr>
                <w:sz w:val="20"/>
                <w:szCs w:val="20"/>
                <w:color w:val="auto"/>
              </w:rPr>
            </w:pPr>
            <w:r>
              <w:rPr>
                <w:rFonts w:ascii="Times New Roman" w:cs="Times New Roman" w:eastAsia="Times New Roman" w:hAnsi="Times New Roman"/>
                <w:sz w:val="14"/>
                <w:szCs w:val="14"/>
                <w:b w:val="1"/>
                <w:bCs w:val="1"/>
                <w:color w:val="auto"/>
              </w:rPr>
              <w:t>2017 Target</w:t>
            </w:r>
          </w:p>
        </w:tc>
        <w:tc>
          <w:tcPr>
            <w:tcW w:w="280" w:type="dxa"/>
            <w:vAlign w:val="bottom"/>
          </w:tcPr>
          <w:p>
            <w:pPr>
              <w:spacing w:after="0"/>
              <w:rPr>
                <w:sz w:val="11"/>
                <w:szCs w:val="11"/>
                <w:color w:val="auto"/>
              </w:rPr>
            </w:pPr>
          </w:p>
        </w:tc>
        <w:tc>
          <w:tcPr>
            <w:tcW w:w="34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70"/>
              </w:rPr>
              <w:t>Actual</w:t>
            </w:r>
          </w:p>
        </w:tc>
        <w:tc>
          <w:tcPr>
            <w:tcW w:w="480" w:type="dxa"/>
            <w:vAlign w:val="bottom"/>
          </w:tcPr>
          <w:p>
            <w:pPr>
              <w:spacing w:after="0"/>
              <w:rPr>
                <w:sz w:val="11"/>
                <w:szCs w:val="11"/>
                <w:color w:val="auto"/>
              </w:rPr>
            </w:pPr>
          </w:p>
        </w:tc>
        <w:tc>
          <w:tcPr>
            <w:tcW w:w="440" w:type="dxa"/>
            <w:vAlign w:val="bottom"/>
            <w:tcBorders>
              <w:top w:val="single" w:sz="8" w:color="auto"/>
            </w:tcBorders>
            <w:gridSpan w:val="3"/>
          </w:tcPr>
          <w:p>
            <w:pPr>
              <w:jc w:val="right"/>
              <w:ind w:right="140"/>
              <w:spacing w:after="0" w:line="128"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060" w:type="dxa"/>
            <w:vAlign w:val="bottom"/>
            <w:shd w:val="clear" w:color="auto" w:fill="CFF0FC"/>
          </w:tcPr>
          <w:p>
            <w:pPr>
              <w:ind w:left="320"/>
              <w:spacing w:after="0" w:line="117" w:lineRule="exact"/>
              <w:rPr>
                <w:sz w:val="20"/>
                <w:szCs w:val="20"/>
                <w:color w:val="auto"/>
              </w:rPr>
            </w:pPr>
            <w:r>
              <w:rPr>
                <w:rFonts w:ascii="Times New Roman" w:cs="Times New Roman" w:eastAsia="Times New Roman" w:hAnsi="Times New Roman"/>
                <w:sz w:val="13"/>
                <w:szCs w:val="13"/>
                <w:b w:val="1"/>
                <w:bCs w:val="1"/>
                <w:color w:val="auto"/>
              </w:rPr>
              <w:t>Target</w:t>
            </w:r>
          </w:p>
        </w:tc>
        <w:tc>
          <w:tcPr>
            <w:tcW w:w="1400" w:type="dxa"/>
            <w:vAlign w:val="bottom"/>
            <w:gridSpan w:val="3"/>
            <w:shd w:val="clear" w:color="auto" w:fill="CFF0FC"/>
          </w:tcPr>
          <w:p>
            <w:pPr>
              <w:ind w:left="340"/>
              <w:spacing w:after="0" w:line="117" w:lineRule="exact"/>
              <w:rPr>
                <w:sz w:val="20"/>
                <w:szCs w:val="20"/>
                <w:color w:val="auto"/>
              </w:rPr>
            </w:pPr>
            <w:r>
              <w:rPr>
                <w:rFonts w:ascii="Times New Roman" w:cs="Times New Roman" w:eastAsia="Times New Roman" w:hAnsi="Times New Roman"/>
                <w:sz w:val="13"/>
                <w:szCs w:val="13"/>
                <w:color w:val="auto"/>
              </w:rPr>
              <w:t>Adjusted</w:t>
            </w:r>
          </w:p>
        </w:tc>
        <w:tc>
          <w:tcPr>
            <w:tcW w:w="1040" w:type="dxa"/>
            <w:vAlign w:val="bottom"/>
            <w:gridSpan w:val="2"/>
            <w:shd w:val="clear" w:color="auto" w:fill="CFF0FC"/>
          </w:tcPr>
          <w:p>
            <w:pPr>
              <w:jc w:val="center"/>
              <w:ind w:left="390"/>
              <w:spacing w:after="0" w:line="117" w:lineRule="exact"/>
              <w:rPr>
                <w:sz w:val="20"/>
                <w:szCs w:val="20"/>
                <w:color w:val="auto"/>
              </w:rPr>
            </w:pPr>
            <w:r>
              <w:rPr>
                <w:rFonts w:ascii="Times New Roman" w:cs="Times New Roman" w:eastAsia="Times New Roman" w:hAnsi="Times New Roman"/>
                <w:sz w:val="13"/>
                <w:szCs w:val="13"/>
                <w:color w:val="auto"/>
              </w:rPr>
              <w:t>50.0%</w:t>
            </w:r>
          </w:p>
        </w:tc>
        <w:tc>
          <w:tcPr>
            <w:tcW w:w="440" w:type="dxa"/>
            <w:vAlign w:val="bottom"/>
            <w:shd w:val="clear" w:color="auto" w:fill="CFF0FC"/>
          </w:tcPr>
          <w:p>
            <w:pPr>
              <w:spacing w:after="0"/>
              <w:rPr>
                <w:sz w:val="10"/>
                <w:szCs w:val="10"/>
                <w:color w:val="auto"/>
              </w:rPr>
            </w:pPr>
          </w:p>
        </w:tc>
        <w:tc>
          <w:tcPr>
            <w:tcW w:w="2880" w:type="dxa"/>
            <w:vAlign w:val="bottom"/>
            <w:gridSpan w:val="3"/>
            <w:shd w:val="clear" w:color="auto" w:fill="CFF0FC"/>
          </w:tcPr>
          <w:p>
            <w:pPr>
              <w:ind w:left="340"/>
              <w:spacing w:after="0" w:line="117" w:lineRule="exact"/>
              <w:rPr>
                <w:sz w:val="20"/>
                <w:szCs w:val="20"/>
                <w:color w:val="auto"/>
              </w:rPr>
            </w:pPr>
            <w:r>
              <w:rPr>
                <w:rFonts w:ascii="Times New Roman" w:cs="Times New Roman" w:eastAsia="Times New Roman" w:hAnsi="Times New Roman"/>
                <w:sz w:val="13"/>
                <w:szCs w:val="13"/>
                <w:color w:val="auto"/>
              </w:rPr>
              <w:t>100% payout at set target, with 50%</w:t>
            </w:r>
          </w:p>
        </w:tc>
        <w:tc>
          <w:tcPr>
            <w:tcW w:w="1340" w:type="dxa"/>
            <w:vAlign w:val="bottom"/>
            <w:gridSpan w:val="3"/>
            <w:shd w:val="clear" w:color="auto" w:fill="CFF0FC"/>
          </w:tcPr>
          <w:p>
            <w:pPr>
              <w:jc w:val="center"/>
              <w:ind w:left="50"/>
              <w:spacing w:after="0" w:line="117" w:lineRule="exact"/>
              <w:rPr>
                <w:sz w:val="20"/>
                <w:szCs w:val="20"/>
                <w:color w:val="auto"/>
              </w:rPr>
            </w:pPr>
            <w:r>
              <w:rPr>
                <w:rFonts w:ascii="Times New Roman" w:cs="Times New Roman" w:eastAsia="Times New Roman" w:hAnsi="Times New Roman"/>
                <w:sz w:val="13"/>
                <w:szCs w:val="13"/>
                <w:color w:val="auto"/>
              </w:rPr>
              <w:t>$41.9 million</w:t>
            </w:r>
          </w:p>
        </w:tc>
        <w:tc>
          <w:tcPr>
            <w:tcW w:w="620" w:type="dxa"/>
            <w:vAlign w:val="bottom"/>
            <w:tcBorders>
              <w:right w:val="single" w:sz="8" w:color="CFF0FC"/>
            </w:tcBorders>
            <w:gridSpan w:val="2"/>
            <w:shd w:val="clear" w:color="auto" w:fill="CFF0FC"/>
          </w:tcPr>
          <w:p>
            <w:pPr>
              <w:jc w:val="center"/>
              <w:ind w:left="150"/>
              <w:spacing w:after="0" w:line="117" w:lineRule="exact"/>
              <w:rPr>
                <w:sz w:val="20"/>
                <w:szCs w:val="20"/>
                <w:color w:val="auto"/>
              </w:rPr>
            </w:pPr>
            <w:r>
              <w:rPr>
                <w:rFonts w:ascii="Times New Roman" w:cs="Times New Roman" w:eastAsia="Times New Roman" w:hAnsi="Times New Roman"/>
                <w:sz w:val="13"/>
                <w:szCs w:val="13"/>
                <w:color w:val="auto"/>
              </w:rPr>
              <w:t>$17.1</w:t>
            </w:r>
          </w:p>
        </w:tc>
        <w:tc>
          <w:tcPr>
            <w:tcW w:w="480" w:type="dxa"/>
            <w:vAlign w:val="bottom"/>
            <w:shd w:val="clear" w:color="auto" w:fill="CFF0FC"/>
          </w:tcPr>
          <w:p>
            <w:pPr>
              <w:spacing w:after="0"/>
              <w:rPr>
                <w:sz w:val="10"/>
                <w:szCs w:val="10"/>
                <w:color w:val="auto"/>
              </w:rPr>
            </w:pPr>
          </w:p>
        </w:tc>
        <w:tc>
          <w:tcPr>
            <w:tcW w:w="500" w:type="dxa"/>
            <w:vAlign w:val="bottom"/>
            <w:gridSpan w:val="4"/>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1060" w:type="dxa"/>
            <w:vAlign w:val="bottom"/>
            <w:shd w:val="clear" w:color="auto" w:fill="CFF0FC"/>
          </w:tcPr>
          <w:p>
            <w:pPr>
              <w:ind w:left="320"/>
              <w:spacing w:after="0" w:line="150" w:lineRule="exact"/>
              <w:rPr>
                <w:sz w:val="20"/>
                <w:szCs w:val="20"/>
                <w:color w:val="auto"/>
              </w:rPr>
            </w:pPr>
            <w:r>
              <w:rPr>
                <w:rFonts w:ascii="Times New Roman" w:cs="Times New Roman" w:eastAsia="Times New Roman" w:hAnsi="Times New Roman"/>
                <w:sz w:val="14"/>
                <w:szCs w:val="14"/>
                <w:b w:val="1"/>
                <w:bCs w:val="1"/>
                <w:color w:val="auto"/>
              </w:rPr>
              <w:t>1</w:t>
            </w:r>
          </w:p>
        </w:tc>
        <w:tc>
          <w:tcPr>
            <w:tcW w:w="1400" w:type="dxa"/>
            <w:vAlign w:val="bottom"/>
            <w:gridSpan w:val="3"/>
            <w:shd w:val="clear" w:color="auto" w:fill="CFF0FC"/>
          </w:tcPr>
          <w:p>
            <w:pPr>
              <w:ind w:left="340"/>
              <w:spacing w:after="0" w:line="150" w:lineRule="exact"/>
              <w:rPr>
                <w:sz w:val="20"/>
                <w:szCs w:val="20"/>
                <w:color w:val="auto"/>
              </w:rPr>
            </w:pPr>
            <w:r>
              <w:rPr>
                <w:rFonts w:ascii="Times New Roman" w:cs="Times New Roman" w:eastAsia="Times New Roman" w:hAnsi="Times New Roman"/>
                <w:sz w:val="14"/>
                <w:szCs w:val="14"/>
                <w:color w:val="auto"/>
              </w:rPr>
              <w:t>EBITDA</w:t>
            </w:r>
          </w:p>
        </w:tc>
        <w:tc>
          <w:tcPr>
            <w:tcW w:w="4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880" w:type="dxa"/>
            <w:vAlign w:val="bottom"/>
            <w:gridSpan w:val="3"/>
            <w:shd w:val="clear" w:color="auto" w:fill="CFF0FC"/>
          </w:tcPr>
          <w:p>
            <w:pPr>
              <w:ind w:left="340"/>
              <w:spacing w:after="0" w:line="150" w:lineRule="exact"/>
              <w:rPr>
                <w:sz w:val="20"/>
                <w:szCs w:val="20"/>
                <w:color w:val="auto"/>
              </w:rPr>
            </w:pPr>
            <w:r>
              <w:rPr>
                <w:rFonts w:ascii="Times New Roman" w:cs="Times New Roman" w:eastAsia="Times New Roman" w:hAnsi="Times New Roman"/>
                <w:sz w:val="14"/>
                <w:szCs w:val="14"/>
                <w:color w:val="auto"/>
              </w:rPr>
              <w:t>payout at 85.0% of set target and</w:t>
            </w:r>
          </w:p>
        </w:tc>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center"/>
              <w:ind w:right="260"/>
              <w:spacing w:after="0" w:line="150" w:lineRule="exact"/>
              <w:rPr>
                <w:sz w:val="20"/>
                <w:szCs w:val="20"/>
                <w:color w:val="auto"/>
              </w:rPr>
            </w:pPr>
            <w:r>
              <w:rPr>
                <w:rFonts w:ascii="Times New Roman" w:cs="Times New Roman" w:eastAsia="Times New Roman" w:hAnsi="Times New Roman"/>
                <w:sz w:val="14"/>
                <w:szCs w:val="14"/>
                <w:color w:val="auto"/>
                <w:w w:val="98"/>
              </w:rPr>
              <w:t>million</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150% payout at 115.0%.</w:t>
            </w: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340" w:type="dxa"/>
            <w:vAlign w:val="bottom"/>
            <w:tcBorders>
              <w:right w:val="single" w:sz="8" w:color="CFF0FC"/>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320"/>
              <w:spacing w:after="0" w:line="123" w:lineRule="exact"/>
              <w:rPr>
                <w:sz w:val="20"/>
                <w:szCs w:val="20"/>
                <w:color w:val="auto"/>
              </w:rPr>
            </w:pPr>
            <w:r>
              <w:rPr>
                <w:rFonts w:ascii="Times New Roman" w:cs="Times New Roman" w:eastAsia="Times New Roman" w:hAnsi="Times New Roman"/>
                <w:sz w:val="14"/>
                <w:szCs w:val="14"/>
                <w:b w:val="1"/>
                <w:bCs w:val="1"/>
                <w:color w:val="auto"/>
              </w:rPr>
              <w:t>Target</w:t>
            </w:r>
          </w:p>
        </w:tc>
        <w:tc>
          <w:tcPr>
            <w:tcW w:w="1400" w:type="dxa"/>
            <w:vAlign w:val="bottom"/>
            <w:gridSpan w:val="3"/>
          </w:tcPr>
          <w:p>
            <w:pPr>
              <w:ind w:left="340"/>
              <w:spacing w:after="0" w:line="123" w:lineRule="exact"/>
              <w:rPr>
                <w:sz w:val="20"/>
                <w:szCs w:val="20"/>
                <w:color w:val="auto"/>
              </w:rPr>
            </w:pPr>
            <w:r>
              <w:rPr>
                <w:rFonts w:ascii="Times New Roman" w:cs="Times New Roman" w:eastAsia="Times New Roman" w:hAnsi="Times New Roman"/>
                <w:sz w:val="14"/>
                <w:szCs w:val="14"/>
                <w:color w:val="auto"/>
              </w:rPr>
              <w:t>DXL</w:t>
            </w:r>
          </w:p>
        </w:tc>
        <w:tc>
          <w:tcPr>
            <w:tcW w:w="1040" w:type="dxa"/>
            <w:vAlign w:val="bottom"/>
            <w:gridSpan w:val="2"/>
          </w:tcPr>
          <w:p>
            <w:pPr>
              <w:jc w:val="center"/>
              <w:ind w:left="390"/>
              <w:spacing w:after="0" w:line="123" w:lineRule="exact"/>
              <w:rPr>
                <w:sz w:val="20"/>
                <w:szCs w:val="20"/>
                <w:color w:val="auto"/>
              </w:rPr>
            </w:pPr>
            <w:r>
              <w:rPr>
                <w:rFonts w:ascii="Times New Roman" w:cs="Times New Roman" w:eastAsia="Times New Roman" w:hAnsi="Times New Roman"/>
                <w:sz w:val="14"/>
                <w:szCs w:val="14"/>
                <w:color w:val="auto"/>
              </w:rPr>
              <w:t>50.0%</w:t>
            </w:r>
          </w:p>
        </w:tc>
        <w:tc>
          <w:tcPr>
            <w:tcW w:w="440" w:type="dxa"/>
            <w:vAlign w:val="bottom"/>
          </w:tcPr>
          <w:p>
            <w:pPr>
              <w:spacing w:after="0"/>
              <w:rPr>
                <w:sz w:val="10"/>
                <w:szCs w:val="10"/>
                <w:color w:val="auto"/>
              </w:rPr>
            </w:pPr>
          </w:p>
        </w:tc>
        <w:tc>
          <w:tcPr>
            <w:tcW w:w="2880" w:type="dxa"/>
            <w:vAlign w:val="bottom"/>
            <w:gridSpan w:val="3"/>
          </w:tcPr>
          <w:p>
            <w:pPr>
              <w:ind w:left="340"/>
              <w:spacing w:after="0" w:line="123" w:lineRule="exact"/>
              <w:rPr>
                <w:sz w:val="20"/>
                <w:szCs w:val="20"/>
                <w:color w:val="auto"/>
              </w:rPr>
            </w:pPr>
            <w:r>
              <w:rPr>
                <w:rFonts w:ascii="Times New Roman" w:cs="Times New Roman" w:eastAsia="Times New Roman" w:hAnsi="Times New Roman"/>
                <w:sz w:val="14"/>
                <w:szCs w:val="14"/>
                <w:color w:val="auto"/>
              </w:rPr>
              <w:t>100% payout out at set target, with</w:t>
            </w:r>
          </w:p>
        </w:tc>
        <w:tc>
          <w:tcPr>
            <w:tcW w:w="1100" w:type="dxa"/>
            <w:vAlign w:val="bottom"/>
            <w:gridSpan w:val="2"/>
          </w:tcPr>
          <w:p>
            <w:pPr>
              <w:jc w:val="center"/>
              <w:ind w:left="290"/>
              <w:spacing w:after="0" w:line="123" w:lineRule="exact"/>
              <w:rPr>
                <w:sz w:val="20"/>
                <w:szCs w:val="20"/>
                <w:color w:val="auto"/>
              </w:rPr>
            </w:pPr>
            <w:r>
              <w:rPr>
                <w:rFonts w:ascii="Times New Roman" w:cs="Times New Roman" w:eastAsia="Times New Roman" w:hAnsi="Times New Roman"/>
                <w:sz w:val="14"/>
                <w:szCs w:val="14"/>
                <w:color w:val="auto"/>
              </w:rPr>
              <w:t>65.0%</w:t>
            </w:r>
          </w:p>
        </w:tc>
        <w:tc>
          <w:tcPr>
            <w:tcW w:w="240" w:type="dxa"/>
            <w:vAlign w:val="bottom"/>
          </w:tcPr>
          <w:p>
            <w:pPr>
              <w:spacing w:after="0"/>
              <w:rPr>
                <w:sz w:val="10"/>
                <w:szCs w:val="10"/>
                <w:color w:val="auto"/>
              </w:rPr>
            </w:pPr>
          </w:p>
        </w:tc>
        <w:tc>
          <w:tcPr>
            <w:tcW w:w="620" w:type="dxa"/>
            <w:vAlign w:val="bottom"/>
            <w:gridSpan w:val="2"/>
          </w:tcPr>
          <w:p>
            <w:pPr>
              <w:jc w:val="center"/>
              <w:ind w:left="150"/>
              <w:spacing w:after="0" w:line="123" w:lineRule="exact"/>
              <w:rPr>
                <w:sz w:val="20"/>
                <w:szCs w:val="20"/>
                <w:color w:val="auto"/>
              </w:rPr>
            </w:pPr>
            <w:r>
              <w:rPr>
                <w:rFonts w:ascii="Times New Roman" w:cs="Times New Roman" w:eastAsia="Times New Roman" w:hAnsi="Times New Roman"/>
                <w:sz w:val="14"/>
                <w:szCs w:val="14"/>
                <w:color w:val="auto"/>
                <w:w w:val="99"/>
              </w:rPr>
              <w:t>60.4%</w:t>
            </w:r>
          </w:p>
        </w:tc>
        <w:tc>
          <w:tcPr>
            <w:tcW w:w="480" w:type="dxa"/>
            <w:vAlign w:val="bottom"/>
          </w:tcPr>
          <w:p>
            <w:pPr>
              <w:spacing w:after="0"/>
              <w:rPr>
                <w:sz w:val="10"/>
                <w:szCs w:val="10"/>
                <w:color w:val="auto"/>
              </w:rPr>
            </w:pPr>
          </w:p>
        </w:tc>
        <w:tc>
          <w:tcPr>
            <w:tcW w:w="440" w:type="dxa"/>
            <w:vAlign w:val="bottom"/>
            <w:gridSpan w:val="3"/>
          </w:tcPr>
          <w:p>
            <w:pPr>
              <w:jc w:val="right"/>
              <w:ind w:right="40"/>
              <w:spacing w:after="0" w:line="123" w:lineRule="exact"/>
              <w:rPr>
                <w:sz w:val="20"/>
                <w:szCs w:val="20"/>
                <w:color w:val="auto"/>
              </w:rPr>
            </w:pPr>
            <w:r>
              <w:rPr>
                <w:rFonts w:ascii="Times New Roman" w:cs="Times New Roman" w:eastAsia="Times New Roman" w:hAnsi="Times New Roman"/>
                <w:sz w:val="14"/>
                <w:szCs w:val="14"/>
                <w:color w:val="auto"/>
              </w:rPr>
              <w:t>54.4%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60" w:type="dxa"/>
            <w:vAlign w:val="bottom"/>
          </w:tcPr>
          <w:p>
            <w:pPr>
              <w:ind w:left="320"/>
              <w:spacing w:after="0" w:line="150" w:lineRule="exact"/>
              <w:rPr>
                <w:sz w:val="20"/>
                <w:szCs w:val="20"/>
                <w:color w:val="auto"/>
              </w:rPr>
            </w:pPr>
            <w:r>
              <w:rPr>
                <w:rFonts w:ascii="Times New Roman" w:cs="Times New Roman" w:eastAsia="Times New Roman" w:hAnsi="Times New Roman"/>
                <w:sz w:val="14"/>
                <w:szCs w:val="14"/>
                <w:b w:val="1"/>
                <w:bCs w:val="1"/>
                <w:color w:val="auto"/>
              </w:rPr>
              <w:t>2</w:t>
            </w:r>
          </w:p>
        </w:tc>
        <w:tc>
          <w:tcPr>
            <w:tcW w:w="1400" w:type="dxa"/>
            <w:vAlign w:val="bottom"/>
            <w:gridSpan w:val="3"/>
          </w:tcPr>
          <w:p>
            <w:pPr>
              <w:ind w:left="340"/>
              <w:spacing w:after="0" w:line="150" w:lineRule="exact"/>
              <w:rPr>
                <w:sz w:val="20"/>
                <w:szCs w:val="20"/>
                <w:color w:val="auto"/>
              </w:rPr>
            </w:pPr>
            <w:r>
              <w:rPr>
                <w:rFonts w:ascii="Times New Roman" w:cs="Times New Roman" w:eastAsia="Times New Roman" w:hAnsi="Times New Roman"/>
                <w:sz w:val="14"/>
                <w:szCs w:val="14"/>
                <w:color w:val="auto"/>
              </w:rPr>
              <w:t>Comparable</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80" w:type="dxa"/>
            <w:vAlign w:val="bottom"/>
            <w:gridSpan w:val="3"/>
          </w:tcPr>
          <w:p>
            <w:pPr>
              <w:ind w:left="340"/>
              <w:spacing w:after="0" w:line="150" w:lineRule="exact"/>
              <w:rPr>
                <w:sz w:val="20"/>
                <w:szCs w:val="20"/>
                <w:color w:val="auto"/>
              </w:rPr>
            </w:pPr>
            <w:r>
              <w:rPr>
                <w:rFonts w:ascii="Times New Roman" w:cs="Times New Roman" w:eastAsia="Times New Roman" w:hAnsi="Times New Roman"/>
                <w:sz w:val="14"/>
                <w:szCs w:val="14"/>
                <w:color w:val="auto"/>
              </w:rPr>
              <w:t>50% payout at 92.3% of set target and</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0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Store</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150% payout at 107.7%.</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0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Marginal</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0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Cash-Over-</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0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Cash</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4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Return*</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20" w:firstLine="8"/>
        <w:spacing w:after="0" w:line="257" w:lineRule="auto"/>
        <w:tabs>
          <w:tab w:leader="none" w:pos="1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DXL Comparable Store Marginal Cash-Over-Cash Return is defined as the aggregate of each comparable DXL store’s four-wall cash flow for fiscal 2017 divided by the aggregate capital investment, net of any tenant allowance, for each comparable DXL store.</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minimum threshold for the Adjusted EBITDA target was not achieved, but the Company did achieve its DXL Comparable Store Marginal Cash-Over-Cash Return for a payout of 54.4% of target, resulting in a blended payout of performance-based compensation of 27.2% of target. Accordingly, subsequent to the end of fiscal 2017, on March 21, 2018 the Compensation Committee approved the grant of RSU awards totaling $0.5 million, with a grant date of April 2, 2018, with $0.3 million of that amount being awarded to the Named Executive Officers. The awards are subject to further vesting through August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72390</wp:posOffset>
            </wp:positionV>
            <wp:extent cx="728980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040"/>
          </w:cols>
          <w:pgMar w:left="620" w:top="332" w:right="239" w:bottom="1440" w:gutter="0" w:footer="0" w:header="0"/>
        </w:sectPr>
      </w:pPr>
    </w:p>
    <w:bookmarkStart w:id="26" w:name="page27"/>
    <w:bookmarkEnd w:id="26"/>
    <w:p>
      <w:pPr>
        <w:jc w:val="center"/>
        <w:ind w:left="380"/>
        <w:spacing w:after="0"/>
        <w:rPr>
          <w:sz w:val="20"/>
          <w:szCs w:val="20"/>
          <w:color w:val="auto"/>
        </w:rPr>
      </w:pPr>
      <w:r>
        <w:rPr>
          <w:rFonts w:ascii="Times New Roman" w:cs="Times New Roman" w:eastAsia="Times New Roman" w:hAnsi="Times New Roman"/>
          <w:sz w:val="18"/>
          <w:szCs w:val="18"/>
          <w:i w:val="1"/>
          <w:iCs w:val="1"/>
          <w:color w:val="auto"/>
        </w:rPr>
        <w:t>2017-2018 Performance Period</w:t>
      </w:r>
    </w:p>
    <w:p>
      <w:pPr>
        <w:spacing w:after="0" w:line="118" w:lineRule="exact"/>
        <w:rPr>
          <w:sz w:val="20"/>
          <w:szCs w:val="20"/>
          <w:color w:val="auto"/>
        </w:rPr>
      </w:pPr>
    </w:p>
    <w:p>
      <w:pPr>
        <w:jc w:val="both"/>
        <w:ind w:left="380" w:right="100"/>
        <w:spacing w:after="0" w:line="264" w:lineRule="auto"/>
        <w:rPr>
          <w:sz w:val="20"/>
          <w:szCs w:val="20"/>
          <w:color w:val="auto"/>
        </w:rPr>
      </w:pPr>
      <w:r>
        <w:rPr>
          <w:rFonts w:ascii="Times New Roman" w:cs="Times New Roman" w:eastAsia="Times New Roman" w:hAnsi="Times New Roman"/>
          <w:sz w:val="18"/>
          <w:szCs w:val="18"/>
          <w:color w:val="auto"/>
        </w:rPr>
        <w:t>On March 31, 2017, the Compensation Committee established two performance targets under the LTIP (the “2017-2018 LTIP”), each weighted 50%, and further approved that all awards under the 2017-2018 LTIP would be issued in RSUs. The performance targets for the 2017-2018 Performance Period are:</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424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28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1240" w:type="dxa"/>
            <w:vAlign w:val="bottom"/>
            <w:vMerge w:val="restart"/>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4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48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Target</w:t>
            </w:r>
          </w:p>
        </w:tc>
        <w:tc>
          <w:tcPr>
            <w:tcW w:w="4240" w:type="dxa"/>
            <w:vAlign w:val="bottom"/>
            <w:gridSpan w:val="3"/>
          </w:tcPr>
          <w:p>
            <w:pPr>
              <w:ind w:left="960"/>
              <w:spacing w:after="0" w:line="15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060" w:type="dxa"/>
            <w:vAlign w:val="bottom"/>
            <w:shd w:val="clear" w:color="auto" w:fill="CFF0FC"/>
          </w:tcPr>
          <w:p>
            <w:pPr>
              <w:ind w:left="320"/>
              <w:spacing w:after="0" w:line="117" w:lineRule="exact"/>
              <w:rPr>
                <w:sz w:val="20"/>
                <w:szCs w:val="20"/>
                <w:color w:val="auto"/>
              </w:rPr>
            </w:pPr>
            <w:r>
              <w:rPr>
                <w:rFonts w:ascii="Times New Roman" w:cs="Times New Roman" w:eastAsia="Times New Roman" w:hAnsi="Times New Roman"/>
                <w:sz w:val="13"/>
                <w:szCs w:val="13"/>
                <w:b w:val="1"/>
                <w:bCs w:val="1"/>
                <w:color w:val="auto"/>
              </w:rPr>
              <w:t>Target</w:t>
            </w:r>
          </w:p>
        </w:tc>
        <w:tc>
          <w:tcPr>
            <w:tcW w:w="2940" w:type="dxa"/>
            <w:vAlign w:val="bottom"/>
            <w:gridSpan w:val="3"/>
            <w:shd w:val="clear" w:color="auto" w:fill="CFF0FC"/>
          </w:tcPr>
          <w:p>
            <w:pPr>
              <w:ind w:left="360"/>
              <w:spacing w:after="0" w:line="117" w:lineRule="exact"/>
              <w:rPr>
                <w:sz w:val="20"/>
                <w:szCs w:val="20"/>
                <w:color w:val="auto"/>
              </w:rPr>
            </w:pPr>
            <w:r>
              <w:rPr>
                <w:rFonts w:ascii="Times New Roman" w:cs="Times New Roman" w:eastAsia="Times New Roman" w:hAnsi="Times New Roman"/>
                <w:sz w:val="13"/>
                <w:szCs w:val="13"/>
                <w:color w:val="auto"/>
              </w:rPr>
              <w:t>Total Company Comparable Sales</w:t>
            </w:r>
          </w:p>
        </w:tc>
        <w:tc>
          <w:tcPr>
            <w:tcW w:w="1040" w:type="dxa"/>
            <w:vAlign w:val="bottom"/>
            <w:gridSpan w:val="2"/>
            <w:shd w:val="clear" w:color="auto" w:fill="CFF0FC"/>
          </w:tcPr>
          <w:p>
            <w:pPr>
              <w:jc w:val="center"/>
              <w:ind w:left="389"/>
              <w:spacing w:after="0" w:line="117" w:lineRule="exact"/>
              <w:rPr>
                <w:sz w:val="20"/>
                <w:szCs w:val="20"/>
                <w:color w:val="auto"/>
              </w:rPr>
            </w:pPr>
            <w:r>
              <w:rPr>
                <w:rFonts w:ascii="Times New Roman" w:cs="Times New Roman" w:eastAsia="Times New Roman" w:hAnsi="Times New Roman"/>
                <w:sz w:val="13"/>
                <w:szCs w:val="13"/>
                <w:color w:val="auto"/>
              </w:rPr>
              <w:t>50.0%</w:t>
            </w:r>
          </w:p>
        </w:tc>
        <w:tc>
          <w:tcPr>
            <w:tcW w:w="440" w:type="dxa"/>
            <w:vAlign w:val="bottom"/>
            <w:shd w:val="clear" w:color="auto" w:fill="CFF0FC"/>
          </w:tcPr>
          <w:p>
            <w:pPr>
              <w:spacing w:after="0"/>
              <w:rPr>
                <w:sz w:val="10"/>
                <w:szCs w:val="10"/>
                <w:color w:val="auto"/>
              </w:rPr>
            </w:pPr>
          </w:p>
        </w:tc>
        <w:tc>
          <w:tcPr>
            <w:tcW w:w="4240" w:type="dxa"/>
            <w:vAlign w:val="bottom"/>
            <w:gridSpan w:val="3"/>
            <w:shd w:val="clear" w:color="auto" w:fill="CFF0FC"/>
          </w:tcPr>
          <w:p>
            <w:pPr>
              <w:ind w:left="340"/>
              <w:spacing w:after="0" w:line="117" w:lineRule="exact"/>
              <w:rPr>
                <w:sz w:val="20"/>
                <w:szCs w:val="20"/>
                <w:color w:val="auto"/>
              </w:rPr>
            </w:pPr>
            <w:r>
              <w:rPr>
                <w:rFonts w:ascii="Times New Roman" w:cs="Times New Roman" w:eastAsia="Times New Roman" w:hAnsi="Times New Roman"/>
                <w:sz w:val="13"/>
                <w:szCs w:val="13"/>
                <w:color w:val="auto"/>
              </w:rPr>
              <w:t>100% payout at set target, with 50%</w:t>
            </w:r>
          </w:p>
        </w:tc>
        <w:tc>
          <w:tcPr>
            <w:tcW w:w="0" w:type="dxa"/>
            <w:vAlign w:val="bottom"/>
          </w:tcPr>
          <w:p>
            <w:pPr>
              <w:spacing w:after="0"/>
              <w:rPr>
                <w:sz w:val="1"/>
                <w:szCs w:val="1"/>
                <w:color w:val="auto"/>
              </w:rPr>
            </w:pPr>
          </w:p>
        </w:tc>
      </w:tr>
      <w:tr>
        <w:trPr>
          <w:trHeight w:val="150"/>
        </w:trPr>
        <w:tc>
          <w:tcPr>
            <w:tcW w:w="1060" w:type="dxa"/>
            <w:vAlign w:val="bottom"/>
            <w:shd w:val="clear" w:color="auto" w:fill="CFF0FC"/>
          </w:tcPr>
          <w:p>
            <w:pPr>
              <w:ind w:left="320"/>
              <w:spacing w:after="0" w:line="150" w:lineRule="exact"/>
              <w:rPr>
                <w:sz w:val="20"/>
                <w:szCs w:val="20"/>
                <w:color w:val="auto"/>
              </w:rPr>
            </w:pPr>
            <w:r>
              <w:rPr>
                <w:rFonts w:ascii="Times New Roman" w:cs="Times New Roman" w:eastAsia="Times New Roman" w:hAnsi="Times New Roman"/>
                <w:sz w:val="14"/>
                <w:szCs w:val="14"/>
                <w:b w:val="1"/>
                <w:bCs w:val="1"/>
                <w:color w:val="auto"/>
              </w:rPr>
              <w:t>1</w:t>
            </w:r>
          </w:p>
        </w:tc>
        <w:tc>
          <w:tcPr>
            <w:tcW w:w="2940" w:type="dxa"/>
            <w:vAlign w:val="bottom"/>
            <w:gridSpan w:val="3"/>
            <w:shd w:val="clear" w:color="auto" w:fill="CFF0FC"/>
          </w:tcPr>
          <w:p>
            <w:pPr>
              <w:ind w:left="360"/>
              <w:spacing w:after="0" w:line="150" w:lineRule="exact"/>
              <w:rPr>
                <w:sz w:val="20"/>
                <w:szCs w:val="20"/>
                <w:color w:val="auto"/>
              </w:rPr>
            </w:pPr>
            <w:r>
              <w:rPr>
                <w:rFonts w:ascii="Times New Roman" w:cs="Times New Roman" w:eastAsia="Times New Roman" w:hAnsi="Times New Roman"/>
                <w:sz w:val="14"/>
                <w:szCs w:val="14"/>
                <w:color w:val="auto"/>
              </w:rPr>
              <w:t>(Two-year stack, which is the sum of</w:t>
            </w:r>
          </w:p>
        </w:tc>
        <w:tc>
          <w:tcPr>
            <w:tcW w:w="4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240" w:type="dxa"/>
            <w:vAlign w:val="bottom"/>
            <w:gridSpan w:val="3"/>
            <w:shd w:val="clear" w:color="auto" w:fill="CFF0FC"/>
          </w:tcPr>
          <w:p>
            <w:pPr>
              <w:ind w:left="340"/>
              <w:spacing w:after="0" w:line="150" w:lineRule="exact"/>
              <w:rPr>
                <w:sz w:val="20"/>
                <w:szCs w:val="20"/>
                <w:color w:val="auto"/>
              </w:rPr>
            </w:pPr>
            <w:r>
              <w:rPr>
                <w:rFonts w:ascii="Times New Roman" w:cs="Times New Roman" w:eastAsia="Times New Roman" w:hAnsi="Times New Roman"/>
                <w:sz w:val="14"/>
                <w:szCs w:val="14"/>
                <w:color w:val="auto"/>
              </w:rPr>
              <w:t>payout at 60.6% of set target and 150%</w:t>
            </w:r>
          </w:p>
        </w:tc>
        <w:tc>
          <w:tcPr>
            <w:tcW w:w="0" w:type="dxa"/>
            <w:vAlign w:val="bottom"/>
          </w:tcPr>
          <w:p>
            <w:pPr>
              <w:spacing w:after="0"/>
              <w:rPr>
                <w:sz w:val="1"/>
                <w:szCs w:val="1"/>
                <w:color w:val="auto"/>
              </w:rPr>
            </w:pPr>
          </w:p>
        </w:tc>
      </w:tr>
      <w:tr>
        <w:trPr>
          <w:trHeight w:val="148"/>
        </w:trPr>
        <w:tc>
          <w:tcPr>
            <w:tcW w:w="1060" w:type="dxa"/>
            <w:vAlign w:val="bottom"/>
            <w:shd w:val="clear" w:color="auto" w:fill="CFF0FC"/>
          </w:tcPr>
          <w:p>
            <w:pPr>
              <w:spacing w:after="0"/>
              <w:rPr>
                <w:sz w:val="12"/>
                <w:szCs w:val="12"/>
                <w:color w:val="auto"/>
              </w:rPr>
            </w:pPr>
          </w:p>
        </w:tc>
        <w:tc>
          <w:tcPr>
            <w:tcW w:w="2940" w:type="dxa"/>
            <w:vAlign w:val="bottom"/>
            <w:gridSpan w:val="3"/>
            <w:shd w:val="clear" w:color="auto" w:fill="CFF0FC"/>
          </w:tcPr>
          <w:p>
            <w:pPr>
              <w:ind w:left="360"/>
              <w:spacing w:after="0" w:line="148" w:lineRule="exact"/>
              <w:rPr>
                <w:sz w:val="20"/>
                <w:szCs w:val="20"/>
                <w:color w:val="auto"/>
              </w:rPr>
            </w:pPr>
            <w:r>
              <w:rPr>
                <w:rFonts w:ascii="Times New Roman" w:cs="Times New Roman" w:eastAsia="Times New Roman" w:hAnsi="Times New Roman"/>
                <w:sz w:val="14"/>
                <w:szCs w:val="14"/>
                <w:color w:val="auto"/>
              </w:rPr>
              <w:t>Total Company Comparable Sales for</w:t>
            </w: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40" w:type="dxa"/>
            <w:vAlign w:val="bottom"/>
            <w:gridSpan w:val="3"/>
            <w:shd w:val="clear" w:color="auto" w:fill="CFF0FC"/>
          </w:tcPr>
          <w:p>
            <w:pPr>
              <w:ind w:left="340"/>
              <w:spacing w:after="0" w:line="148" w:lineRule="exact"/>
              <w:rPr>
                <w:sz w:val="20"/>
                <w:szCs w:val="20"/>
                <w:color w:val="auto"/>
              </w:rPr>
            </w:pPr>
            <w:r>
              <w:rPr>
                <w:rFonts w:ascii="Times New Roman" w:cs="Times New Roman" w:eastAsia="Times New Roman" w:hAnsi="Times New Roman"/>
                <w:sz w:val="14"/>
                <w:szCs w:val="14"/>
                <w:color w:val="auto"/>
              </w:rPr>
              <w:t>payout at 136.4%.</w:t>
            </w:r>
          </w:p>
        </w:tc>
        <w:tc>
          <w:tcPr>
            <w:tcW w:w="0" w:type="dxa"/>
            <w:vAlign w:val="bottom"/>
          </w:tcPr>
          <w:p>
            <w:pPr>
              <w:spacing w:after="0"/>
              <w:rPr>
                <w:sz w:val="1"/>
                <w:szCs w:val="1"/>
                <w:color w:val="auto"/>
              </w:rPr>
            </w:pPr>
          </w:p>
        </w:tc>
      </w:tr>
      <w:tr>
        <w:trPr>
          <w:trHeight w:val="148"/>
        </w:trPr>
        <w:tc>
          <w:tcPr>
            <w:tcW w:w="1060" w:type="dxa"/>
            <w:vAlign w:val="bottom"/>
            <w:shd w:val="clear" w:color="auto" w:fill="CFF0FC"/>
          </w:tcPr>
          <w:p>
            <w:pPr>
              <w:spacing w:after="0"/>
              <w:rPr>
                <w:sz w:val="12"/>
                <w:szCs w:val="12"/>
                <w:color w:val="auto"/>
              </w:rPr>
            </w:pPr>
          </w:p>
        </w:tc>
        <w:tc>
          <w:tcPr>
            <w:tcW w:w="2940" w:type="dxa"/>
            <w:vAlign w:val="bottom"/>
            <w:gridSpan w:val="3"/>
            <w:shd w:val="clear" w:color="auto" w:fill="CFF0FC"/>
          </w:tcPr>
          <w:p>
            <w:pPr>
              <w:ind w:left="360"/>
              <w:spacing w:after="0" w:line="148" w:lineRule="exact"/>
              <w:rPr>
                <w:sz w:val="20"/>
                <w:szCs w:val="20"/>
                <w:color w:val="auto"/>
              </w:rPr>
            </w:pPr>
            <w:r>
              <w:rPr>
                <w:rFonts w:ascii="Times New Roman" w:cs="Times New Roman" w:eastAsia="Times New Roman" w:hAnsi="Times New Roman"/>
                <w:sz w:val="14"/>
                <w:szCs w:val="14"/>
                <w:color w:val="auto"/>
              </w:rPr>
              <w:t>fiscal 2017 and fiscal 2018, with an</w:t>
            </w: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FF0FC"/>
          </w:tcPr>
          <w:p>
            <w:pPr>
              <w:spacing w:after="0"/>
              <w:rPr>
                <w:sz w:val="12"/>
                <w:szCs w:val="12"/>
                <w:color w:val="auto"/>
              </w:rPr>
            </w:pPr>
          </w:p>
        </w:tc>
        <w:tc>
          <w:tcPr>
            <w:tcW w:w="2940" w:type="dxa"/>
            <w:vAlign w:val="bottom"/>
            <w:gridSpan w:val="3"/>
            <w:shd w:val="clear" w:color="auto" w:fill="CFF0FC"/>
          </w:tcPr>
          <w:p>
            <w:pPr>
              <w:ind w:left="360"/>
              <w:spacing w:after="0" w:line="148" w:lineRule="exact"/>
              <w:rPr>
                <w:sz w:val="20"/>
                <w:szCs w:val="20"/>
                <w:color w:val="auto"/>
              </w:rPr>
            </w:pPr>
            <w:r>
              <w:rPr>
                <w:rFonts w:ascii="Times New Roman" w:cs="Times New Roman" w:eastAsia="Times New Roman" w:hAnsi="Times New Roman"/>
                <w:sz w:val="14"/>
                <w:szCs w:val="14"/>
                <w:color w:val="auto"/>
              </w:rPr>
              <w:t>annual minimum comp requirement in</w:t>
            </w: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60" w:type="dxa"/>
            <w:vAlign w:val="bottom"/>
            <w:shd w:val="clear" w:color="auto" w:fill="CFF0FC"/>
          </w:tcPr>
          <w:p>
            <w:pPr>
              <w:spacing w:after="0"/>
              <w:rPr>
                <w:sz w:val="16"/>
                <w:szCs w:val="16"/>
                <w:color w:val="auto"/>
              </w:rPr>
            </w:pPr>
          </w:p>
        </w:tc>
        <w:tc>
          <w:tcPr>
            <w:tcW w:w="294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fiscal 2018)</w:t>
            </w:r>
          </w:p>
        </w:tc>
        <w:tc>
          <w:tcPr>
            <w:tcW w:w="4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60" w:type="dxa"/>
            <w:vAlign w:val="bottom"/>
          </w:tcPr>
          <w:p>
            <w:pPr>
              <w:ind w:left="320"/>
              <w:spacing w:after="0" w:line="123" w:lineRule="exact"/>
              <w:rPr>
                <w:sz w:val="20"/>
                <w:szCs w:val="20"/>
                <w:color w:val="auto"/>
              </w:rPr>
            </w:pPr>
            <w:r>
              <w:rPr>
                <w:rFonts w:ascii="Times New Roman" w:cs="Times New Roman" w:eastAsia="Times New Roman" w:hAnsi="Times New Roman"/>
                <w:sz w:val="14"/>
                <w:szCs w:val="14"/>
                <w:b w:val="1"/>
                <w:bCs w:val="1"/>
                <w:color w:val="auto"/>
              </w:rPr>
              <w:t>Target</w:t>
            </w:r>
          </w:p>
        </w:tc>
        <w:tc>
          <w:tcPr>
            <w:tcW w:w="2940" w:type="dxa"/>
            <w:vAlign w:val="bottom"/>
            <w:gridSpan w:val="3"/>
          </w:tcPr>
          <w:p>
            <w:pPr>
              <w:ind w:left="360"/>
              <w:spacing w:after="0" w:line="123" w:lineRule="exact"/>
              <w:rPr>
                <w:sz w:val="20"/>
                <w:szCs w:val="20"/>
                <w:color w:val="auto"/>
              </w:rPr>
            </w:pPr>
            <w:r>
              <w:rPr>
                <w:rFonts w:ascii="Times New Roman" w:cs="Times New Roman" w:eastAsia="Times New Roman" w:hAnsi="Times New Roman"/>
                <w:sz w:val="14"/>
                <w:szCs w:val="14"/>
                <w:color w:val="auto"/>
              </w:rPr>
              <w:t>Modified ROIC (Operating Income</w:t>
            </w:r>
          </w:p>
        </w:tc>
        <w:tc>
          <w:tcPr>
            <w:tcW w:w="1040" w:type="dxa"/>
            <w:vAlign w:val="bottom"/>
            <w:gridSpan w:val="2"/>
          </w:tcPr>
          <w:p>
            <w:pPr>
              <w:jc w:val="center"/>
              <w:ind w:left="389"/>
              <w:spacing w:after="0" w:line="123" w:lineRule="exact"/>
              <w:rPr>
                <w:sz w:val="20"/>
                <w:szCs w:val="20"/>
                <w:color w:val="auto"/>
              </w:rPr>
            </w:pPr>
            <w:r>
              <w:rPr>
                <w:rFonts w:ascii="Times New Roman" w:cs="Times New Roman" w:eastAsia="Times New Roman" w:hAnsi="Times New Roman"/>
                <w:sz w:val="14"/>
                <w:szCs w:val="14"/>
                <w:color w:val="auto"/>
              </w:rPr>
              <w:t>50.0%</w:t>
            </w:r>
          </w:p>
        </w:tc>
        <w:tc>
          <w:tcPr>
            <w:tcW w:w="440" w:type="dxa"/>
            <w:vAlign w:val="bottom"/>
          </w:tcPr>
          <w:p>
            <w:pPr>
              <w:spacing w:after="0"/>
              <w:rPr>
                <w:sz w:val="10"/>
                <w:szCs w:val="10"/>
                <w:color w:val="auto"/>
              </w:rPr>
            </w:pPr>
          </w:p>
        </w:tc>
        <w:tc>
          <w:tcPr>
            <w:tcW w:w="4240" w:type="dxa"/>
            <w:vAlign w:val="bottom"/>
            <w:gridSpan w:val="3"/>
          </w:tcPr>
          <w:p>
            <w:pPr>
              <w:ind w:left="340"/>
              <w:spacing w:after="0" w:line="123" w:lineRule="exact"/>
              <w:rPr>
                <w:sz w:val="20"/>
                <w:szCs w:val="20"/>
                <w:color w:val="auto"/>
              </w:rPr>
            </w:pPr>
            <w:r>
              <w:rPr>
                <w:rFonts w:ascii="Times New Roman" w:cs="Times New Roman" w:eastAsia="Times New Roman" w:hAnsi="Times New Roman"/>
                <w:sz w:val="14"/>
                <w:szCs w:val="14"/>
                <w:color w:val="auto"/>
              </w:rPr>
              <w:t>100% payout at set target, with 50%</w:t>
            </w:r>
          </w:p>
        </w:tc>
        <w:tc>
          <w:tcPr>
            <w:tcW w:w="0" w:type="dxa"/>
            <w:vAlign w:val="bottom"/>
          </w:tcPr>
          <w:p>
            <w:pPr>
              <w:spacing w:after="0"/>
              <w:rPr>
                <w:sz w:val="1"/>
                <w:szCs w:val="1"/>
                <w:color w:val="auto"/>
              </w:rPr>
            </w:pPr>
          </w:p>
        </w:tc>
      </w:tr>
      <w:tr>
        <w:trPr>
          <w:trHeight w:val="150"/>
        </w:trPr>
        <w:tc>
          <w:tcPr>
            <w:tcW w:w="1060" w:type="dxa"/>
            <w:vAlign w:val="bottom"/>
          </w:tcPr>
          <w:p>
            <w:pPr>
              <w:ind w:left="320"/>
              <w:spacing w:after="0" w:line="150" w:lineRule="exact"/>
              <w:rPr>
                <w:sz w:val="20"/>
                <w:szCs w:val="20"/>
                <w:color w:val="auto"/>
              </w:rPr>
            </w:pPr>
            <w:r>
              <w:rPr>
                <w:rFonts w:ascii="Times New Roman" w:cs="Times New Roman" w:eastAsia="Times New Roman" w:hAnsi="Times New Roman"/>
                <w:sz w:val="14"/>
                <w:szCs w:val="14"/>
                <w:b w:val="1"/>
                <w:bCs w:val="1"/>
                <w:color w:val="auto"/>
              </w:rPr>
              <w:t>2</w:t>
            </w:r>
          </w:p>
        </w:tc>
        <w:tc>
          <w:tcPr>
            <w:tcW w:w="2940" w:type="dxa"/>
            <w:vAlign w:val="bottom"/>
            <w:gridSpan w:val="3"/>
          </w:tcPr>
          <w:p>
            <w:pPr>
              <w:ind w:left="360"/>
              <w:spacing w:after="0" w:line="150" w:lineRule="exact"/>
              <w:rPr>
                <w:sz w:val="20"/>
                <w:szCs w:val="20"/>
                <w:color w:val="auto"/>
              </w:rPr>
            </w:pPr>
            <w:r>
              <w:rPr>
                <w:rFonts w:ascii="Times New Roman" w:cs="Times New Roman" w:eastAsia="Times New Roman" w:hAnsi="Times New Roman"/>
                <w:sz w:val="14"/>
                <w:szCs w:val="14"/>
                <w:color w:val="auto"/>
              </w:rPr>
              <w:t>divided by Invested Capital, defined as</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40" w:type="dxa"/>
            <w:vAlign w:val="bottom"/>
            <w:gridSpan w:val="3"/>
          </w:tcPr>
          <w:p>
            <w:pPr>
              <w:ind w:left="340"/>
              <w:spacing w:after="0" w:line="150" w:lineRule="exact"/>
              <w:rPr>
                <w:sz w:val="20"/>
                <w:szCs w:val="20"/>
                <w:color w:val="auto"/>
              </w:rPr>
            </w:pPr>
            <w:r>
              <w:rPr>
                <w:rFonts w:ascii="Times New Roman" w:cs="Times New Roman" w:eastAsia="Times New Roman" w:hAnsi="Times New Roman"/>
                <w:sz w:val="14"/>
                <w:szCs w:val="14"/>
                <w:color w:val="auto"/>
              </w:rPr>
              <w:t>payout at 31.3% of set target and 150%</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940" w:type="dxa"/>
            <w:vAlign w:val="bottom"/>
            <w:gridSpan w:val="3"/>
          </w:tcPr>
          <w:p>
            <w:pPr>
              <w:ind w:left="360"/>
              <w:spacing w:after="0" w:line="148" w:lineRule="exact"/>
              <w:rPr>
                <w:sz w:val="20"/>
                <w:szCs w:val="20"/>
                <w:color w:val="auto"/>
              </w:rPr>
            </w:pPr>
            <w:r>
              <w:rPr>
                <w:rFonts w:ascii="Times New Roman" w:cs="Times New Roman" w:eastAsia="Times New Roman" w:hAnsi="Times New Roman"/>
                <w:sz w:val="14"/>
                <w:szCs w:val="14"/>
                <w:color w:val="auto"/>
              </w:rPr>
              <w:t>Total Debt plus Stockholders’ Equity</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gridSpan w:val="3"/>
          </w:tcPr>
          <w:p>
            <w:pPr>
              <w:ind w:left="340"/>
              <w:spacing w:after="0" w:line="148" w:lineRule="exact"/>
              <w:rPr>
                <w:sz w:val="20"/>
                <w:szCs w:val="20"/>
                <w:color w:val="auto"/>
              </w:rPr>
            </w:pPr>
            <w:r>
              <w:rPr>
                <w:rFonts w:ascii="Times New Roman" w:cs="Times New Roman" w:eastAsia="Times New Roman" w:hAnsi="Times New Roman"/>
                <w:sz w:val="14"/>
                <w:szCs w:val="14"/>
                <w:color w:val="auto"/>
              </w:rPr>
              <w:t>payout at 171.9%.</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29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and excludes any deduction of Cash)</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380" w:right="100"/>
        <w:spacing w:after="0" w:line="264" w:lineRule="auto"/>
        <w:rPr>
          <w:sz w:val="20"/>
          <w:szCs w:val="20"/>
          <w:color w:val="auto"/>
        </w:rPr>
      </w:pPr>
      <w:r>
        <w:rPr>
          <w:rFonts w:ascii="Times New Roman" w:cs="Times New Roman" w:eastAsia="Times New Roman" w:hAnsi="Times New Roman"/>
          <w:sz w:val="18"/>
          <w:szCs w:val="18"/>
          <w:color w:val="auto"/>
        </w:rPr>
        <w:t>For the 2017-2018 Performance Period, the metrics reflect the Company’s initiatives to drive comparable sales through increased customer acquisition and retention while earning an acceptable return on the capital invested in the business. As with our AIP and 2016-2017 LTIP, we will disclose our targets under the 2017-2018 LTIP once the performance period has ended.</w:t>
      </w:r>
    </w:p>
    <w:p>
      <w:pPr>
        <w:spacing w:after="0" w:line="3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Amended LTIP</w:t>
      </w:r>
    </w:p>
    <w:p>
      <w:pPr>
        <w:spacing w:after="0" w:line="227" w:lineRule="exact"/>
        <w:rPr>
          <w:sz w:val="20"/>
          <w:szCs w:val="20"/>
          <w:color w:val="auto"/>
        </w:rPr>
      </w:pPr>
    </w:p>
    <w:p>
      <w:pPr>
        <w:jc w:val="both"/>
        <w:ind w:left="380" w:right="100"/>
        <w:spacing w:after="0" w:line="255" w:lineRule="auto"/>
        <w:rPr>
          <w:sz w:val="20"/>
          <w:szCs w:val="20"/>
          <w:color w:val="auto"/>
        </w:rPr>
      </w:pPr>
      <w:r>
        <w:rPr>
          <w:rFonts w:ascii="Times New Roman" w:cs="Times New Roman" w:eastAsia="Times New Roman" w:hAnsi="Times New Roman"/>
          <w:sz w:val="18"/>
          <w:szCs w:val="18"/>
          <w:color w:val="auto"/>
        </w:rPr>
        <w:t>Pursuant to the Second Amended and Restated LTIP approved in June 2018 (the “Amended LTIP”), beginning with grants in fiscal 2018, the performance period for awards will be three years. In addition to extending the performance term, the determination of awards that would vest in the case of a termination without justifiable cause or resignation for good reason were modified so that (1) awards are forfeited if the termination occurs during the first year of the performance period, (2) unvested awards would vest on a pro-rata basis if the termination occurs in the second or third year of the performance period, and (3) in the case of a termination occurring in connection with a change in control of the Company, unvested awards would vest on a pro-rata basis for time-based awards and on a pro-rata basis, at target, for performance-based awards.</w:t>
      </w:r>
    </w:p>
    <w:p>
      <w:pPr>
        <w:spacing w:after="0" w:line="186" w:lineRule="exact"/>
        <w:rPr>
          <w:sz w:val="20"/>
          <w:szCs w:val="20"/>
          <w:color w:val="auto"/>
        </w:rPr>
      </w:pPr>
    </w:p>
    <w:p>
      <w:pPr>
        <w:ind w:left="380" w:right="240"/>
        <w:spacing w:after="0" w:line="264" w:lineRule="auto"/>
        <w:rPr>
          <w:sz w:val="20"/>
          <w:szCs w:val="20"/>
          <w:color w:val="auto"/>
        </w:rPr>
      </w:pPr>
      <w:r>
        <w:rPr>
          <w:rFonts w:ascii="Times New Roman" w:cs="Times New Roman" w:eastAsia="Times New Roman" w:hAnsi="Times New Roman"/>
          <w:sz w:val="18"/>
          <w:szCs w:val="18"/>
          <w:color w:val="auto"/>
        </w:rPr>
        <w:t>Under the Amended LTIP, a participant’s “Target Cash Value” remains unchanged and is defined as the participant’s one-year annual base salary (on the participant’s effective date) multiplied by his or her long-term incentive program percentage, which is 100% for the Company’s executive officer and 70% for other senior executives.</w:t>
      </w:r>
    </w:p>
    <w:p>
      <w:pPr>
        <w:spacing w:after="0" w:line="177" w:lineRule="exact"/>
        <w:rPr>
          <w:sz w:val="20"/>
          <w:szCs w:val="20"/>
          <w:color w:val="auto"/>
        </w:rPr>
      </w:pPr>
    </w:p>
    <w:p>
      <w:pPr>
        <w:jc w:val="both"/>
        <w:ind w:left="380" w:right="100"/>
        <w:spacing w:after="0" w:line="259" w:lineRule="auto"/>
        <w:rPr>
          <w:sz w:val="20"/>
          <w:szCs w:val="20"/>
          <w:color w:val="auto"/>
        </w:rPr>
      </w:pPr>
      <w:r>
        <w:rPr>
          <w:rFonts w:ascii="Times New Roman" w:cs="Times New Roman" w:eastAsia="Times New Roman" w:hAnsi="Times New Roman"/>
          <w:sz w:val="18"/>
          <w:szCs w:val="18"/>
          <w:color w:val="auto"/>
        </w:rPr>
        <w:t>Because of the change in performance period under the Amended LTIP, our associates will not have an opportunity to receive a payout of any performance-based compensation until fiscal 2021, as illustrated in the “Vesting of Awards by Fiscal Year” table below. In addition, the vesting of the time-based portion of awards under the Amended LTIP was modified so that the awards vest equally over four years, with the first 25% vesting on the latter of one year from the date of grant or April 1 following the end of the first year of the performance period and annually on April 1 thereafter.</w:t>
      </w:r>
    </w:p>
    <w:p>
      <w:pPr>
        <w:spacing w:after="0" w:line="182" w:lineRule="exact"/>
        <w:rPr>
          <w:sz w:val="20"/>
          <w:szCs w:val="20"/>
          <w:color w:val="auto"/>
        </w:rPr>
      </w:pPr>
    </w:p>
    <w:p>
      <w:pPr>
        <w:jc w:val="both"/>
        <w:ind w:left="380" w:right="120"/>
        <w:spacing w:after="0" w:line="280" w:lineRule="auto"/>
        <w:rPr>
          <w:sz w:val="20"/>
          <w:szCs w:val="20"/>
          <w:color w:val="auto"/>
        </w:rPr>
      </w:pPr>
      <w:r>
        <w:rPr>
          <w:rFonts w:ascii="Times New Roman" w:cs="Times New Roman" w:eastAsia="Times New Roman" w:hAnsi="Times New Roman"/>
          <w:sz w:val="18"/>
          <w:szCs w:val="18"/>
          <w:color w:val="auto"/>
        </w:rPr>
        <w:t>The following table illustrates the components of the existing LTIP awards and future awards under the Amended LTIP with the respective vesting dates, illustrating that the time-based portion of the LTIP acts as a retention tool:</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 of</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Approval date</w:t>
            </w:r>
          </w:p>
        </w:tc>
        <w:tc>
          <w:tcPr>
            <w:tcW w:w="80" w:type="dxa"/>
            <w:vAlign w:val="bottom"/>
          </w:tcPr>
          <w:p>
            <w:pPr>
              <w:spacing w:after="0"/>
              <w:rPr>
                <w:sz w:val="14"/>
                <w:szCs w:val="14"/>
                <w:color w:val="auto"/>
              </w:rPr>
            </w:pPr>
          </w:p>
        </w:tc>
        <w:tc>
          <w:tcPr>
            <w:tcW w:w="4840" w:type="dxa"/>
            <w:vAlign w:val="bottom"/>
            <w:gridSpan w:val="2"/>
          </w:tcPr>
          <w:p>
            <w:pPr>
              <w:ind w:left="1800"/>
              <w:spacing w:after="0"/>
              <w:rPr>
                <w:sz w:val="20"/>
                <w:szCs w:val="20"/>
                <w:color w:val="auto"/>
              </w:rPr>
            </w:pPr>
            <w:r>
              <w:rPr>
                <w:rFonts w:ascii="Times New Roman" w:cs="Times New Roman" w:eastAsia="Times New Roman" w:hAnsi="Times New Roman"/>
                <w:sz w:val="14"/>
                <w:szCs w:val="14"/>
                <w:color w:val="auto"/>
              </w:rPr>
              <w:t>Performance Period</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total award</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Fiscal 2018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Fiscal 2019</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Fiscal 2020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Fiscal 2021</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Fiscal 2022</w:t>
            </w:r>
          </w:p>
        </w:tc>
        <w:tc>
          <w:tcPr>
            <w:tcW w:w="0" w:type="dxa"/>
            <w:vAlign w:val="bottom"/>
          </w:tcPr>
          <w:p>
            <w:pPr>
              <w:spacing w:after="0"/>
              <w:rPr>
                <w:sz w:val="1"/>
                <w:szCs w:val="1"/>
                <w:color w:val="auto"/>
              </w:rPr>
            </w:pPr>
          </w:p>
        </w:tc>
      </w:tr>
      <w:tr>
        <w:trPr>
          <w:trHeight w:val="155"/>
        </w:trPr>
        <w:tc>
          <w:tcPr>
            <w:tcW w:w="98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3/15/2016</w:t>
            </w:r>
          </w:p>
        </w:tc>
        <w:tc>
          <w:tcPr>
            <w:tcW w:w="80" w:type="dxa"/>
            <w:vAlign w:val="bottom"/>
            <w:tcBorders>
              <w:top w:val="single" w:sz="8" w:color="CFF0FC"/>
            </w:tcBorders>
            <w:shd w:val="clear" w:color="auto" w:fill="CFF0FC"/>
          </w:tcPr>
          <w:p>
            <w:pPr>
              <w:spacing w:after="0"/>
              <w:rPr>
                <w:sz w:val="13"/>
                <w:szCs w:val="13"/>
                <w:color w:val="auto"/>
              </w:rPr>
            </w:pPr>
          </w:p>
        </w:tc>
        <w:tc>
          <w:tcPr>
            <w:tcW w:w="476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2016-2017 LTIP</w:t>
            </w:r>
          </w:p>
        </w:tc>
        <w:tc>
          <w:tcPr>
            <w:tcW w:w="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Time-Based Awards, vests April 1, subject to forfeiture</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3/31/2017</w:t>
            </w:r>
          </w:p>
        </w:tc>
        <w:tc>
          <w:tcPr>
            <w:tcW w:w="49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2017-2018 LTIP</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Time-Based Awards, vests April 1, subject to forfeiture</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w w:val="95"/>
              </w:rPr>
              <w:t>50 %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Fiscal 2018</w:t>
            </w:r>
            <w:r>
              <w:rPr>
                <w:rFonts w:ascii="Times New Roman" w:cs="Times New Roman" w:eastAsia="Times New Roman" w:hAnsi="Times New Roman"/>
                <w:sz w:val="12"/>
                <w:szCs w:val="12"/>
                <w:color w:val="auto"/>
              </w:rPr>
              <w:t>(1)</w:t>
            </w:r>
          </w:p>
        </w:tc>
        <w:tc>
          <w:tcPr>
            <w:tcW w:w="49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2018-2020 LTIP</w:t>
            </w: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Time-Based Awards, vests April 1</w:t>
            </w:r>
            <w:r>
              <w:rPr>
                <w:rFonts w:ascii="Times New Roman" w:cs="Times New Roman" w:eastAsia="Times New Roman" w:hAnsi="Times New Roman"/>
                <w:sz w:val="12"/>
                <w:szCs w:val="12"/>
                <w:color w:val="auto"/>
              </w:rPr>
              <w:t>(2)</w:t>
            </w:r>
            <w:r>
              <w:rPr>
                <w:rFonts w:ascii="Times New Roman" w:cs="Times New Roman" w:eastAsia="Times New Roman" w:hAnsi="Times New Roman"/>
                <w:sz w:val="14"/>
                <w:szCs w:val="14"/>
                <w:color w:val="auto"/>
              </w:rPr>
              <w:t>, subject to forfeiture</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25 %</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w w:val="95"/>
              </w:rPr>
              <w:t>25 %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25 %</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w w:val="75"/>
              </w:rPr>
              <w:t>25 %</w:t>
            </w:r>
          </w:p>
        </w:tc>
        <w:tc>
          <w:tcPr>
            <w:tcW w:w="0" w:type="dxa"/>
            <w:vAlign w:val="bottom"/>
          </w:tcPr>
          <w:p>
            <w:pPr>
              <w:spacing w:after="0"/>
              <w:rPr>
                <w:sz w:val="1"/>
                <w:szCs w:val="1"/>
                <w:color w:val="auto"/>
              </w:rPr>
            </w:pPr>
          </w:p>
        </w:tc>
      </w:tr>
      <w:tr>
        <w:trPr>
          <w:trHeight w:val="161"/>
        </w:trPr>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8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520"/>
          </w:cols>
          <w:pgMar w:left="240" w:top="724" w:right="139" w:bottom="1440" w:gutter="0" w:footer="0" w:header="0"/>
        </w:sectPr>
      </w:pPr>
    </w:p>
    <w:bookmarkStart w:id="27" w:name="page28"/>
    <w:bookmarkEnd w:id="27"/>
    <w:p>
      <w:pPr>
        <w:ind w:left="380" w:right="40" w:hanging="376"/>
        <w:spacing w:after="0" w:line="232"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illustration purposes only. The Compensation Committee approved the Amended LTIP on June 20, 2018 but performance targets for the 2018-2020 performance period have not yet been established. Under the Amended LTIP, the Compensation Committee must set performance targets no later than the expiration of 25% of the applicable performance period.</w:t>
      </w:r>
    </w:p>
    <w:p>
      <w:pPr>
        <w:ind w:left="380" w:hanging="376"/>
        <w:spacing w:after="0"/>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 on April 1 following the end of the first year of the performance period or one year from the date of grant, whichever is later.</w:t>
      </w:r>
    </w:p>
    <w:p>
      <w:pPr>
        <w:spacing w:after="0" w:line="188" w:lineRule="exact"/>
        <w:rPr>
          <w:rFonts w:ascii="Times New Roman" w:cs="Times New Roman" w:eastAsia="Times New Roman" w:hAnsi="Times New Roman"/>
          <w:sz w:val="14"/>
          <w:szCs w:val="14"/>
          <w:color w:val="auto"/>
        </w:rPr>
      </w:pPr>
    </w:p>
    <w:p>
      <w:pPr>
        <w:ind w:left="400" w:hanging="262"/>
        <w:spacing w:after="0"/>
        <w:tabs>
          <w:tab w:leader="none" w:pos="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11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circumstances, we may utilize cash signing bonuses and equity-based awards when certain employees join the Company.</w:t>
      </w:r>
    </w:p>
    <w:p>
      <w:pPr>
        <w:spacing w:after="0" w:line="115" w:lineRule="exact"/>
        <w:rPr>
          <w:rFonts w:ascii="Times New Roman" w:cs="Times New Roman" w:eastAsia="Times New Roman" w:hAnsi="Times New Roman"/>
          <w:sz w:val="18"/>
          <w:szCs w:val="18"/>
          <w:color w:val="auto"/>
        </w:rPr>
      </w:pPr>
    </w:p>
    <w:p>
      <w:pPr>
        <w:ind w:left="40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cash signing bonus and grant of equity awards to Mr. Laher in connection with his hiring, there were no discretionary cash or equity awards granted to our Named Executive Officers in fiscal 2017.</w:t>
      </w:r>
    </w:p>
    <w:p>
      <w:pPr>
        <w:spacing w:after="0" w:line="52" w:lineRule="exact"/>
        <w:rPr>
          <w:rFonts w:ascii="Times New Roman" w:cs="Times New Roman" w:eastAsia="Times New Roman" w:hAnsi="Times New Roman"/>
          <w:sz w:val="18"/>
          <w:szCs w:val="18"/>
          <w:color w:val="auto"/>
        </w:rPr>
      </w:pPr>
    </w:p>
    <w:p>
      <w:pPr>
        <w:ind w:left="400" w:hanging="262"/>
        <w:spacing w:after="0"/>
        <w:tabs>
          <w:tab w:leader="none" w:pos="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17" w:lineRule="exact"/>
        <w:rPr>
          <w:rFonts w:ascii="Times New Roman" w:cs="Times New Roman" w:eastAsia="Times New Roman" w:hAnsi="Times New Roman"/>
          <w:sz w:val="18"/>
          <w:szCs w:val="18"/>
          <w:color w:val="auto"/>
        </w:rPr>
      </w:pPr>
    </w:p>
    <w:p>
      <w:pPr>
        <w:ind w:left="400" w:right="20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54" w:lineRule="exact"/>
        <w:rPr>
          <w:rFonts w:ascii="Times New Roman" w:cs="Times New Roman" w:eastAsia="Times New Roman" w:hAnsi="Times New Roman"/>
          <w:sz w:val="18"/>
          <w:szCs w:val="18"/>
          <w:color w:val="auto"/>
        </w:rPr>
      </w:pPr>
    </w:p>
    <w:p>
      <w:pPr>
        <w:ind w:left="400" w:right="8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54" w:lineRule="exact"/>
        <w:rPr>
          <w:rFonts w:ascii="Times New Roman" w:cs="Times New Roman" w:eastAsia="Times New Roman" w:hAnsi="Times New Roman"/>
          <w:sz w:val="18"/>
          <w:szCs w:val="18"/>
          <w:color w:val="auto"/>
        </w:rPr>
      </w:pPr>
    </w:p>
    <w:p>
      <w:pPr>
        <w:ind w:left="400" w:right="22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which are generally available to all of our eligible employees.</w:t>
      </w:r>
    </w:p>
    <w:p>
      <w:pPr>
        <w:spacing w:after="0" w:line="54" w:lineRule="exact"/>
        <w:rPr>
          <w:rFonts w:ascii="Times New Roman" w:cs="Times New Roman" w:eastAsia="Times New Roman" w:hAnsi="Times New Roman"/>
          <w:sz w:val="18"/>
          <w:szCs w:val="18"/>
          <w:color w:val="auto"/>
        </w:rPr>
      </w:pPr>
    </w:p>
    <w:p>
      <w:pPr>
        <w:ind w:left="4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our 401(k) Plan, and after one year of employment are eligible for a Company match. Historically, our employees have been eligible to receive a Company match, which matched 100% of the first 1% of deferred compensation and 50% of the next 5% (with a maximum contribution of 3.5% of eligible compensation). In May 2018, in connection with our cost reduction initiatives, the Board of Directors ratified and approved the recommendation of our management team to suspend any further employer contributions to the 401(k) Plan, effective July 1, 2018, until the end of calendar year 2019 at the latest.</w:t>
      </w:r>
    </w:p>
    <w:p>
      <w:pPr>
        <w:spacing w:after="0" w:line="78" w:lineRule="exact"/>
        <w:rPr>
          <w:rFonts w:ascii="Times New Roman" w:cs="Times New Roman" w:eastAsia="Times New Roman" w:hAnsi="Times New Roman"/>
          <w:sz w:val="18"/>
          <w:szCs w:val="18"/>
          <w:color w:val="auto"/>
        </w:rPr>
      </w:pPr>
    </w:p>
    <w:p>
      <w:pPr>
        <w:jc w:val="both"/>
        <w:ind w:left="400" w:right="1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“Employment Agreements” following the “Summary Compensation Table.” Our employment agreements do not contain any tax gross-ups pursuant to Section 280(g) of the Internal Revenue Code.</w:t>
      </w:r>
    </w:p>
    <w:p>
      <w:pPr>
        <w:spacing w:after="0" w:line="72" w:lineRule="exact"/>
        <w:rPr>
          <w:rFonts w:ascii="Times New Roman" w:cs="Times New Roman" w:eastAsia="Times New Roman" w:hAnsi="Times New Roman"/>
          <w:sz w:val="18"/>
          <w:szCs w:val="18"/>
          <w:color w:val="auto"/>
        </w:rPr>
      </w:pPr>
    </w:p>
    <w:p>
      <w:pPr>
        <w:ind w:left="400" w:hanging="262"/>
        <w:spacing w:after="0"/>
        <w:tabs>
          <w:tab w:leader="none" w:pos="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Implications</w:t>
      </w:r>
    </w:p>
    <w:p>
      <w:pPr>
        <w:spacing w:after="0" w:line="117" w:lineRule="exact"/>
        <w:rPr>
          <w:rFonts w:ascii="Times New Roman" w:cs="Times New Roman" w:eastAsia="Times New Roman" w:hAnsi="Times New Roman"/>
          <w:sz w:val="18"/>
          <w:szCs w:val="18"/>
          <w:color w:val="auto"/>
        </w:rPr>
      </w:pPr>
    </w:p>
    <w:p>
      <w:pPr>
        <w:ind w:left="40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passage of the Tax Cut and Jobs Act of 2017 (“Tax Act”), Section </w:t>
      </w:r>
      <w:r>
        <w:rPr>
          <w:rFonts w:ascii="Times New Roman" w:cs="Times New Roman" w:eastAsia="Times New Roman" w:hAnsi="Times New Roman"/>
          <w:sz w:val="18"/>
          <w:szCs w:val="18"/>
          <w:color w:val="252525"/>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m</w:t>
      </w:r>
      <w:r>
        <w:rPr>
          <w:rFonts w:ascii="Times New Roman" w:cs="Times New Roman" w:eastAsia="Times New Roman" w:hAnsi="Times New Roman"/>
          <w:sz w:val="18"/>
          <w:szCs w:val="18"/>
          <w:color w:val="auto"/>
        </w:rPr>
        <w:t xml:space="preserve">) of the Internal Revenue Code of 1986, as amended generally disallowed a tax deduction for compensation in excess of $1.0 million a year to certain officers, including the Chief Executive Officer, unless such excess compensation qualified as “performance-based compensation.” The Tax Act, among other things, repealed the performance-based compensation exemption with respect to taxable years beginning after December 31, 2017, subject to certain transition rules. In addition, the Tax Act expanded the group of officers whose compensation is subject to the Section </w:t>
      </w:r>
      <w:r>
        <w:rPr>
          <w:rFonts w:ascii="Times New Roman" w:cs="Times New Roman" w:eastAsia="Times New Roman" w:hAnsi="Times New Roman"/>
          <w:sz w:val="18"/>
          <w:szCs w:val="18"/>
          <w:color w:val="252525"/>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m</w:t>
      </w:r>
      <w:r>
        <w:rPr>
          <w:rFonts w:ascii="Times New Roman" w:cs="Times New Roman" w:eastAsia="Times New Roman" w:hAnsi="Times New Roman"/>
          <w:sz w:val="18"/>
          <w:szCs w:val="18"/>
          <w:color w:val="auto"/>
        </w:rPr>
        <w:t xml:space="preserve">) deduction limitations. Accordingly, other than with respect to certain grandfathered compensation,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 We previously considered the effect of Section </w:t>
      </w:r>
      <w:r>
        <w:rPr>
          <w:rFonts w:ascii="Times New Roman" w:cs="Times New Roman" w:eastAsia="Times New Roman" w:hAnsi="Times New Roman"/>
          <w:sz w:val="18"/>
          <w:szCs w:val="18"/>
          <w:color w:val="252525"/>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m</w:t>
      </w:r>
      <w:r>
        <w:rPr>
          <w:rFonts w:ascii="Times New Roman" w:cs="Times New Roman" w:eastAsia="Times New Roman" w:hAnsi="Times New Roman"/>
          <w:sz w:val="18"/>
          <w:szCs w:val="18"/>
          <w:color w:val="auto"/>
        </w:rPr>
        <w:t xml:space="preserve">) when structuring our executive compensation and, when feasible, complied with exemptions in Section </w:t>
      </w:r>
      <w:r>
        <w:rPr>
          <w:rFonts w:ascii="Times New Roman" w:cs="Times New Roman" w:eastAsia="Times New Roman" w:hAnsi="Times New Roman"/>
          <w:sz w:val="18"/>
          <w:szCs w:val="18"/>
          <w:color w:val="252525"/>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m</w:t>
      </w:r>
      <w:r>
        <w:rPr>
          <w:rFonts w:ascii="Times New Roman" w:cs="Times New Roman" w:eastAsia="Times New Roman" w:hAnsi="Times New Roman"/>
          <w:sz w:val="18"/>
          <w:szCs w:val="18"/>
          <w:color w:val="auto"/>
        </w:rPr>
        <w:t>) so that the compensation remained tax deductible to us.</w:t>
      </w:r>
    </w:p>
    <w:p>
      <w:pPr>
        <w:spacing w:after="0" w:line="200" w:lineRule="exact"/>
        <w:rPr>
          <w:sz w:val="20"/>
          <w:szCs w:val="20"/>
          <w:color w:val="auto"/>
        </w:rPr>
      </w:pPr>
    </w:p>
    <w:p>
      <w:pPr>
        <w:spacing w:after="0" w:line="2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72390</wp:posOffset>
            </wp:positionV>
            <wp:extent cx="728980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040"/>
          </w:cols>
          <w:pgMar w:left="620" w:top="547" w:right="239" w:bottom="1440" w:gutter="0" w:footer="0" w:header="0"/>
        </w:sectPr>
      </w:pPr>
    </w:p>
    <w:bookmarkStart w:id="28" w:name="page29"/>
    <w:bookmarkEnd w:id="28"/>
    <w:p>
      <w:pPr>
        <w:ind w:left="398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28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Willem Mesdag, Chairman</w:t>
      </w:r>
    </w:p>
    <w:p>
      <w:pPr>
        <w:spacing w:after="0" w:line="2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Mitchell S. Presser</w:t>
      </w:r>
    </w:p>
    <w:p>
      <w:pPr>
        <w:spacing w:after="0" w:line="2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Ward K. Mooney</w:t>
      </w:r>
    </w:p>
    <w:p>
      <w:pPr>
        <w:spacing w:after="0" w:line="200" w:lineRule="exact"/>
        <w:rPr>
          <w:sz w:val="20"/>
          <w:szCs w:val="20"/>
          <w:color w:val="auto"/>
        </w:rPr>
      </w:pPr>
    </w:p>
    <w:p>
      <w:pPr>
        <w:spacing w:after="0" w:line="2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John E. Kyees * (former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2472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Kyees, a current director, served on the Compensation Committee until February 2, 2017.</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960"/>
          </w:cols>
          <w:pgMar w:left="240" w:top="547" w:right="699" w:bottom="1440" w:gutter="0" w:footer="0" w:header="0"/>
        </w:sectPr>
      </w:pPr>
    </w:p>
    <w:bookmarkStart w:id="29" w:name="page30"/>
    <w:bookmarkEnd w:id="29"/>
    <w:p>
      <w:pPr>
        <w:ind w:right="3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Summary Compensation Table. </w:t>
      </w:r>
      <w:r>
        <w:rPr>
          <w:rFonts w:ascii="Times New Roman" w:cs="Times New Roman" w:eastAsia="Times New Roman" w:hAnsi="Times New Roman"/>
          <w:sz w:val="18"/>
          <w:szCs w:val="18"/>
          <w:color w:val="auto"/>
        </w:rPr>
        <w:t>The following Summary Compensation Table sets forth certain information regarding compensation paid or accrued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our "Named Executive Officers" for fiscal 2017.</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5"/>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Salary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7"/>
              </w:rPr>
              <w:t>Bonus ($)</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(1) (2)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)(1)(3)</w:t>
            </w:r>
          </w:p>
        </w:tc>
        <w:tc>
          <w:tcPr>
            <w:tcW w:w="220" w:type="dxa"/>
            <w:vAlign w:val="bottom"/>
          </w:tcPr>
          <w:p>
            <w:pPr>
              <w:spacing w:after="0"/>
              <w:rPr>
                <w:sz w:val="18"/>
                <w:szCs w:val="18"/>
                <w:color w:val="auto"/>
              </w:rPr>
            </w:pPr>
          </w:p>
        </w:tc>
        <w:tc>
          <w:tcPr>
            <w:tcW w:w="4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5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1"/>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206"/>
        </w:trPr>
        <w:tc>
          <w:tcPr>
            <w:tcW w:w="3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A. Levin</w:t>
            </w:r>
          </w:p>
        </w:tc>
        <w:tc>
          <w:tcPr>
            <w:tcW w:w="1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826,800</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515,923</w:t>
            </w: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285,246</w:t>
            </w:r>
          </w:p>
        </w:tc>
        <w:tc>
          <w:tcPr>
            <w:tcW w:w="22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37,351</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1,665,320</w:t>
            </w:r>
          </w:p>
        </w:tc>
        <w:tc>
          <w:tcPr>
            <w:tcW w:w="60" w:type="dxa"/>
            <w:vAlign w:val="bottom"/>
            <w:tcBorders>
              <w:top w:val="single" w:sz="8" w:color="CFF0FC"/>
            </w:tcBorders>
            <w:shd w:val="clear" w:color="auto" w:fill="CFF0FC"/>
          </w:tcPr>
          <w:p>
            <w:pPr>
              <w:spacing w:after="0"/>
              <w:rPr>
                <w:sz w:val="17"/>
                <w:szCs w:val="17"/>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811,200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610,834</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670,052</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39,915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2,132,001</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Officer</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811,200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1,174,618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2,026,290</w:t>
            </w:r>
          </w:p>
        </w:tc>
        <w:tc>
          <w:tcPr>
            <w:tcW w:w="60" w:type="dxa"/>
            <w:vAlign w:val="bottom"/>
            <w:shd w:val="clear" w:color="auto" w:fill="CFF0FC"/>
          </w:tcPr>
          <w:p>
            <w:pPr>
              <w:spacing w:after="0"/>
              <w:rPr>
                <w:sz w:val="18"/>
                <w:szCs w:val="18"/>
                <w:color w:val="auto"/>
              </w:rPr>
            </w:pPr>
          </w:p>
        </w:tc>
      </w:tr>
      <w:tr>
        <w:trPr>
          <w:trHeight w:val="221"/>
        </w:trPr>
        <w:tc>
          <w:tcPr>
            <w:tcW w:w="3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158,496</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611,119</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Executive Vice President, Chief</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157,649</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113,574</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629,989</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Financial Officer and Treasurer</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170,272</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479,837</w:t>
            </w:r>
          </w:p>
        </w:tc>
        <w:tc>
          <w:tcPr>
            <w:tcW w:w="60" w:type="dxa"/>
            <w:vAlign w:val="bottom"/>
          </w:tcPr>
          <w:p>
            <w:pPr>
              <w:spacing w:after="0"/>
              <w:rPr>
                <w:sz w:val="18"/>
                <w:szCs w:val="18"/>
                <w:color w:val="auto"/>
              </w:rPr>
            </w:pPr>
          </w:p>
        </w:tc>
      </w:tr>
      <w:tr>
        <w:trPr>
          <w:trHeight w:val="221"/>
        </w:trPr>
        <w:tc>
          <w:tcPr>
            <w:tcW w:w="36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Brian S. Reaves</w:t>
            </w:r>
          </w:p>
        </w:tc>
        <w:tc>
          <w:tcPr>
            <w:tcW w:w="9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313,462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133,560</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44,850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26,702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518,574</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153,703</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131,963</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27,452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613,118</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Chief Customer Officer</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188,260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27,028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515,288</w:t>
            </w:r>
          </w:p>
        </w:tc>
        <w:tc>
          <w:tcPr>
            <w:tcW w:w="60" w:type="dxa"/>
            <w:vAlign w:val="bottom"/>
            <w:shd w:val="clear" w:color="auto" w:fill="CFF0FC"/>
          </w:tcPr>
          <w:p>
            <w:pPr>
              <w:spacing w:after="0"/>
              <w:rPr>
                <w:sz w:val="18"/>
                <w:szCs w:val="18"/>
                <w:color w:val="auto"/>
              </w:rPr>
            </w:pPr>
          </w:p>
        </w:tc>
      </w:tr>
      <w:tr>
        <w:trPr>
          <w:trHeight w:val="221"/>
        </w:trPr>
        <w:tc>
          <w:tcPr>
            <w:tcW w:w="3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152,642</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48,526</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573,061</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Senior Vice President, Chief Administrative</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174,808</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154,130</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698,522</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Officer, General Counsel and Secretary</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212,732</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574,991</w:t>
            </w:r>
          </w:p>
        </w:tc>
        <w:tc>
          <w:tcPr>
            <w:tcW w:w="60" w:type="dxa"/>
            <w:vAlign w:val="bottom"/>
          </w:tcPr>
          <w:p>
            <w:pPr>
              <w:spacing w:after="0"/>
              <w:rPr>
                <w:sz w:val="18"/>
                <w:szCs w:val="18"/>
                <w:color w:val="auto"/>
              </w:rPr>
            </w:pPr>
          </w:p>
        </w:tc>
      </w:tr>
      <w:tr>
        <w:trPr>
          <w:trHeight w:val="221"/>
        </w:trPr>
        <w:tc>
          <w:tcPr>
            <w:tcW w:w="36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Kenneth M. Ederle</w:t>
            </w:r>
          </w:p>
        </w:tc>
        <w:tc>
          <w:tcPr>
            <w:tcW w:w="9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173,628</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54,855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21,542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640,025</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Former Senior Vice President and Chief</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194,058</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161,246</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21,864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767,168</w:t>
            </w:r>
          </w:p>
        </w:tc>
        <w:tc>
          <w:tcPr>
            <w:tcW w:w="60" w:type="dxa"/>
            <w:vAlign w:val="bottom"/>
            <w:shd w:val="clear" w:color="auto" w:fill="CFF0FC"/>
          </w:tcPr>
          <w:p>
            <w:pPr>
              <w:spacing w:after="0"/>
              <w:rPr>
                <w:sz w:val="18"/>
                <w:szCs w:val="18"/>
                <w:color w:val="auto"/>
              </w:rPr>
            </w:pPr>
          </w:p>
        </w:tc>
      </w:tr>
      <w:tr>
        <w:trPr>
          <w:trHeight w:val="215"/>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Merchandising Officer</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380,769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236,348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638,967</w:t>
            </w:r>
          </w:p>
        </w:tc>
        <w:tc>
          <w:tcPr>
            <w:tcW w:w="60" w:type="dxa"/>
            <w:vAlign w:val="bottom"/>
            <w:shd w:val="clear" w:color="auto" w:fill="CFF0FC"/>
          </w:tcPr>
          <w:p>
            <w:pPr>
              <w:spacing w:after="0"/>
              <w:rPr>
                <w:sz w:val="18"/>
                <w:szCs w:val="18"/>
                <w:color w:val="auto"/>
              </w:rPr>
            </w:pPr>
          </w:p>
        </w:tc>
      </w:tr>
      <w:tr>
        <w:trPr>
          <w:trHeight w:val="221"/>
        </w:trPr>
        <w:tc>
          <w:tcPr>
            <w:tcW w:w="3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Sahal S. Laher</w:t>
            </w:r>
          </w:p>
        </w:tc>
        <w:tc>
          <w:tcPr>
            <w:tcW w:w="1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408,654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415,064</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59,778</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1,098,903</w:t>
            </w: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Former Senior Vice President, Chief</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3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Digital and Information Officer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7" w:lineRule="exact"/>
        <w:rPr>
          <w:sz w:val="20"/>
          <w:szCs w:val="20"/>
          <w:color w:val="auto"/>
        </w:rPr>
      </w:pPr>
    </w:p>
    <w:p>
      <w:pPr>
        <w:ind w:left="760" w:right="60" w:hanging="376"/>
        <w:spacing w:after="0" w:line="279" w:lineRule="auto"/>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grant date, of awards computed in accordance with FASB ASC Topic 718, and not the actual amounts paid to or realized by the Named Executive Officers during the applicable fiscal year. Additional information regarding the assumptions used to estimate the fair value of awards is included in Note A to Consolidated Financial Statements contained in our Annual Report on Form 10-K for the fiscal year ended February 3, 2018.</w:t>
      </w:r>
    </w:p>
    <w:p>
      <w:pPr>
        <w:spacing w:after="0" w:line="70" w:lineRule="exact"/>
        <w:rPr>
          <w:rFonts w:ascii="Times New Roman" w:cs="Times New Roman" w:eastAsia="Times New Roman" w:hAnsi="Times New Roman"/>
          <w:sz w:val="16"/>
          <w:szCs w:val="16"/>
          <w:color w:val="auto"/>
        </w:rPr>
      </w:pPr>
    </w:p>
    <w:p>
      <w:pPr>
        <w:ind w:left="760" w:right="120" w:hanging="376"/>
        <w:spacing w:after="0" w:line="279" w:lineRule="auto"/>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the Stock Award column for fiscal 2017 represent the fair value, as of grant date, of (a) time-based restricted stock units (RSUs) granted pursuant to the 2017-2018 LTIP and (b) RSUs earned for the partial achievement of performance targets under the 2016-2017 LTIP. See “</w:t>
      </w:r>
      <w:r>
        <w:rPr>
          <w:rFonts w:ascii="Times New Roman" w:cs="Times New Roman" w:eastAsia="Times New Roman" w:hAnsi="Times New Roman"/>
          <w:sz w:val="16"/>
          <w:szCs w:val="16"/>
          <w:i w:val="1"/>
          <w:iCs w:val="1"/>
          <w:color w:val="auto"/>
        </w:rPr>
        <w:t>2017 Stock Awards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below for a breakdown of stock awards. See “</w:t>
      </w:r>
      <w:r>
        <w:rPr>
          <w:rFonts w:ascii="Times New Roman" w:cs="Times New Roman" w:eastAsia="Times New Roman" w:hAnsi="Times New Roman"/>
          <w:sz w:val="16"/>
          <w:szCs w:val="16"/>
          <w:i w:val="1"/>
          <w:iCs w:val="1"/>
          <w:color w:val="auto"/>
        </w:rPr>
        <w:t>Grants of Plan-Based Awards</w:t>
      </w:r>
      <w:r>
        <w:rPr>
          <w:rFonts w:ascii="Times New Roman" w:cs="Times New Roman" w:eastAsia="Times New Roman" w:hAnsi="Times New Roman"/>
          <w:sz w:val="16"/>
          <w:szCs w:val="16"/>
          <w:color w:val="auto"/>
        </w:rPr>
        <w:t>” for more information regarding equity awards granted in fiscal 2017.</w:t>
      </w:r>
    </w:p>
    <w:p>
      <w:pPr>
        <w:spacing w:after="0" w:line="70" w:lineRule="exact"/>
        <w:rPr>
          <w:rFonts w:ascii="Times New Roman" w:cs="Times New Roman" w:eastAsia="Times New Roman" w:hAnsi="Times New Roman"/>
          <w:sz w:val="16"/>
          <w:szCs w:val="16"/>
          <w:color w:val="auto"/>
        </w:rPr>
      </w:pPr>
    </w:p>
    <w:p>
      <w:pPr>
        <w:ind w:left="76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associated with the performance-based component of the equity awards granted under the 2017-2018 LTIP was determined based on the probable outcome of the performance conditions as of the service-inception date. Because the achievement of the performance targets under the 2017-2018 LTIP was not deemed probable as of the service-inception date, no value was attributed to the performance-based portion of these awards. The following reflects the fair values of the performance-based portion of the 2017-2018 LTIP assuming the highest level of performance conditions will be achieved for each of the Named Executive Officers:</w:t>
      </w:r>
    </w:p>
    <w:p>
      <w:pPr>
        <w:spacing w:after="0" w:line="286" w:lineRule="exact"/>
        <w:rPr>
          <w:sz w:val="20"/>
          <w:szCs w:val="20"/>
          <w:color w:val="auto"/>
        </w:rPr>
      </w:pPr>
    </w:p>
    <w:tbl>
      <w:tblPr>
        <w:tblLayout w:type="fixed"/>
        <w:tblInd w:w="2800" w:type="dxa"/>
        <w:tblCellMar>
          <w:top w:w="0" w:type="dxa"/>
          <w:left w:w="0" w:type="dxa"/>
          <w:bottom w:w="0" w:type="dxa"/>
          <w:right w:w="0" w:type="dxa"/>
        </w:tblCellMar>
      </w:tblPr>
      <w:tr>
        <w:trPr>
          <w:trHeight w:val="229"/>
        </w:trPr>
        <w:tc>
          <w:tcPr>
            <w:tcW w:w="2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A. Levin</w:t>
            </w:r>
          </w:p>
        </w:tc>
        <w:tc>
          <w:tcPr>
            <w:tcW w:w="2000" w:type="dxa"/>
            <w:vAlign w:val="bottom"/>
            <w:tcBorders>
              <w:top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608,400</w:t>
            </w:r>
          </w:p>
        </w:tc>
        <w:tc>
          <w:tcPr>
            <w:tcW w:w="60" w:type="dxa"/>
            <w:vAlign w:val="bottom"/>
            <w:tcBorders>
              <w:top w:val="single" w:sz="8" w:color="CFF0FC"/>
            </w:tcBorders>
            <w:shd w:val="clear" w:color="auto" w:fill="CFF0FC"/>
          </w:tcPr>
          <w:p>
            <w:pPr>
              <w:spacing w:after="0"/>
              <w:rPr>
                <w:sz w:val="19"/>
                <w:szCs w:val="19"/>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2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186,375</w:t>
            </w:r>
          </w:p>
        </w:tc>
        <w:tc>
          <w:tcPr>
            <w:tcW w:w="60" w:type="dxa"/>
            <w:vAlign w:val="bottom"/>
          </w:tcPr>
          <w:p>
            <w:pPr>
              <w:spacing w:after="0"/>
              <w:rPr>
                <w:sz w:val="18"/>
                <w:szCs w:val="18"/>
                <w:color w:val="auto"/>
              </w:rPr>
            </w:pPr>
          </w:p>
        </w:tc>
      </w:tr>
      <w:tr>
        <w:trPr>
          <w:trHeight w:val="220"/>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Brian S. Reaves</w:t>
            </w:r>
          </w:p>
        </w:tc>
        <w:tc>
          <w:tcPr>
            <w:tcW w:w="20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157,500</w:t>
            </w:r>
          </w:p>
        </w:tc>
        <w:tc>
          <w:tcPr>
            <w:tcW w:w="60" w:type="dxa"/>
            <w:vAlign w:val="bottom"/>
            <w:shd w:val="clear" w:color="auto" w:fill="CFF0FC"/>
          </w:tcPr>
          <w:p>
            <w:pPr>
              <w:spacing w:after="0"/>
              <w:rPr>
                <w:sz w:val="19"/>
                <w:szCs w:val="19"/>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2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181,125</w:t>
            </w:r>
          </w:p>
        </w:tc>
        <w:tc>
          <w:tcPr>
            <w:tcW w:w="60" w:type="dxa"/>
            <w:vAlign w:val="bottom"/>
          </w:tcPr>
          <w:p>
            <w:pPr>
              <w:spacing w:after="0"/>
              <w:rPr>
                <w:sz w:val="18"/>
                <w:szCs w:val="18"/>
                <w:color w:val="auto"/>
              </w:rPr>
            </w:pPr>
          </w:p>
        </w:tc>
      </w:tr>
      <w:tr>
        <w:trPr>
          <w:trHeight w:val="220"/>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Kenneth M. Ederle</w:t>
            </w:r>
          </w:p>
        </w:tc>
        <w:tc>
          <w:tcPr>
            <w:tcW w:w="20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204,750</w:t>
            </w:r>
          </w:p>
        </w:tc>
        <w:tc>
          <w:tcPr>
            <w:tcW w:w="60" w:type="dxa"/>
            <w:vAlign w:val="bottom"/>
            <w:shd w:val="clear" w:color="auto" w:fill="CFF0FC"/>
          </w:tcPr>
          <w:p>
            <w:pPr>
              <w:spacing w:after="0"/>
              <w:rPr>
                <w:sz w:val="19"/>
                <w:szCs w:val="19"/>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Sahal S. Laher</w:t>
            </w:r>
          </w:p>
        </w:tc>
        <w:tc>
          <w:tcPr>
            <w:tcW w:w="2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223,125</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08" w:lineRule="exact"/>
        <w:rPr>
          <w:sz w:val="20"/>
          <w:szCs w:val="20"/>
          <w:color w:val="auto"/>
        </w:rPr>
      </w:pPr>
    </w:p>
    <w:p>
      <w:pPr>
        <w:ind w:left="760" w:hanging="376"/>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2017 AIP.</w:t>
      </w:r>
    </w:p>
    <w:p>
      <w:pPr>
        <w:spacing w:after="0" w:line="125" w:lineRule="exact"/>
        <w:rPr>
          <w:rFonts w:ascii="Times New Roman" w:cs="Times New Roman" w:eastAsia="Times New Roman" w:hAnsi="Times New Roman"/>
          <w:sz w:val="16"/>
          <w:szCs w:val="16"/>
          <w:color w:val="auto"/>
        </w:rPr>
      </w:pPr>
    </w:p>
    <w:p>
      <w:pPr>
        <w:ind w:left="760" w:hanging="376"/>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“All Other Compensation” below for a breakdown of 2017 amounts reflected in this column.</w:t>
      </w:r>
    </w:p>
    <w:p>
      <w:pPr>
        <w:spacing w:after="0" w:line="125" w:lineRule="exact"/>
        <w:rPr>
          <w:rFonts w:ascii="Times New Roman" w:cs="Times New Roman" w:eastAsia="Times New Roman" w:hAnsi="Times New Roman"/>
          <w:sz w:val="16"/>
          <w:szCs w:val="16"/>
          <w:color w:val="auto"/>
        </w:rPr>
      </w:pPr>
    </w:p>
    <w:p>
      <w:pPr>
        <w:ind w:left="760" w:hanging="376"/>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cash signing bonus paid to Mr. Laher in connection with his hiring.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0" w:name="page31"/>
    <w:bookmarkEnd w:id="30"/>
    <w:p>
      <w:pPr>
        <w:ind w:right="300"/>
        <w:spacing w:after="0" w:line="280" w:lineRule="auto"/>
        <w:rPr>
          <w:sz w:val="20"/>
          <w:szCs w:val="20"/>
          <w:color w:val="auto"/>
        </w:rPr>
      </w:pPr>
      <w:r>
        <w:rPr>
          <w:rFonts w:ascii="Times New Roman" w:cs="Times New Roman" w:eastAsia="Times New Roman" w:hAnsi="Times New Roman"/>
          <w:sz w:val="18"/>
          <w:szCs w:val="18"/>
          <w:color w:val="auto"/>
        </w:rPr>
        <w:t>The following table is a supplement to the Summary Compensation Table and provides a breakdown of the stock awards granted to each Named Executive Officer in fiscal 2017.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Stock Awards Compensation</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198"/>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2016-2017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2017-2018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Total Stock</w:t>
            </w:r>
          </w:p>
        </w:tc>
      </w:tr>
      <w:tr>
        <w:trPr>
          <w:trHeight w:val="221"/>
        </w:trPr>
        <w:tc>
          <w:tcPr>
            <w:tcW w:w="294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Pr>
          <w:p>
            <w:pPr>
              <w:spacing w:after="0"/>
              <w:rPr>
                <w:sz w:val="19"/>
                <w:szCs w:val="19"/>
                <w:color w:val="auto"/>
              </w:rPr>
            </w:pPr>
          </w:p>
        </w:tc>
        <w:tc>
          <w:tcPr>
            <w:tcW w:w="1640" w:type="dxa"/>
            <w:vAlign w:val="bottom"/>
            <w:gridSpan w:val="2"/>
          </w:tcPr>
          <w:p>
            <w:pPr>
              <w:ind w:left="280"/>
              <w:spacing w:after="0" w:line="221" w:lineRule="exact"/>
              <w:rPr>
                <w:sz w:val="20"/>
                <w:szCs w:val="20"/>
                <w:color w:val="auto"/>
              </w:rPr>
            </w:pPr>
            <w:r>
              <w:rPr>
                <w:rFonts w:ascii="Times New Roman" w:cs="Times New Roman" w:eastAsia="Times New Roman" w:hAnsi="Times New Roman"/>
                <w:sz w:val="15"/>
                <w:szCs w:val="15"/>
                <w:b w:val="1"/>
                <w:bCs w:val="1"/>
                <w:color w:val="auto"/>
              </w:rPr>
              <w:t xml:space="preserve">LTIP </w:t>
            </w:r>
            <w:r>
              <w:rPr>
                <w:rFonts w:ascii="Times New Roman" w:cs="Times New Roman" w:eastAsia="Times New Roman" w:hAnsi="Times New Roman"/>
                <w:sz w:val="25"/>
                <w:szCs w:val="25"/>
                <w:b w:val="1"/>
                <w:bCs w:val="1"/>
                <w:color w:val="auto"/>
                <w:vertAlign w:val="superscript"/>
              </w:rPr>
              <w:t>(1)</w:t>
            </w:r>
          </w:p>
        </w:tc>
        <w:tc>
          <w:tcPr>
            <w:tcW w:w="200" w:type="dxa"/>
            <w:vAlign w:val="bottom"/>
          </w:tcPr>
          <w:p>
            <w:pPr>
              <w:spacing w:after="0"/>
              <w:rPr>
                <w:sz w:val="19"/>
                <w:szCs w:val="19"/>
                <w:color w:val="auto"/>
              </w:rPr>
            </w:pPr>
          </w:p>
        </w:tc>
        <w:tc>
          <w:tcPr>
            <w:tcW w:w="1180" w:type="dxa"/>
            <w:vAlign w:val="bottom"/>
          </w:tcPr>
          <w:p>
            <w:pPr>
              <w:jc w:val="right"/>
              <w:ind w:right="340"/>
              <w:spacing w:after="0" w:line="221" w:lineRule="exact"/>
              <w:rPr>
                <w:sz w:val="20"/>
                <w:szCs w:val="20"/>
                <w:color w:val="auto"/>
              </w:rPr>
            </w:pPr>
            <w:r>
              <w:rPr>
                <w:rFonts w:ascii="Times New Roman" w:cs="Times New Roman" w:eastAsia="Times New Roman" w:hAnsi="Times New Roman"/>
                <w:sz w:val="15"/>
                <w:szCs w:val="15"/>
                <w:b w:val="1"/>
                <w:bCs w:val="1"/>
                <w:color w:val="auto"/>
              </w:rPr>
              <w:t xml:space="preserve">LTIP </w:t>
            </w:r>
            <w:r>
              <w:rPr>
                <w:rFonts w:ascii="Times New Roman" w:cs="Times New Roman" w:eastAsia="Times New Roman" w:hAnsi="Times New Roman"/>
                <w:sz w:val="25"/>
                <w:szCs w:val="25"/>
                <w:b w:val="1"/>
                <w:bCs w:val="1"/>
                <w:color w:val="auto"/>
                <w:vertAlign w:val="superscript"/>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5"/>
                <w:szCs w:val="15"/>
                <w:b w:val="1"/>
                <w:bCs w:val="1"/>
                <w:color w:val="auto"/>
              </w:rPr>
              <w:t xml:space="preserve">Discretionary </w:t>
            </w:r>
            <w:r>
              <w:rPr>
                <w:rFonts w:ascii="Times New Roman" w:cs="Times New Roman" w:eastAsia="Times New Roman" w:hAnsi="Times New Roman"/>
                <w:sz w:val="25"/>
                <w:szCs w:val="25"/>
                <w:b w:val="1"/>
                <w:bCs w:val="1"/>
                <w:color w:val="auto"/>
                <w:vertAlign w:val="superscript"/>
              </w:rPr>
              <w:t>(3)</w:t>
            </w: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Awards</w:t>
            </w:r>
          </w:p>
        </w:tc>
      </w:tr>
      <w:tr>
        <w:trPr>
          <w:trHeight w:val="209"/>
        </w:trPr>
        <w:tc>
          <w:tcPr>
            <w:tcW w:w="2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A. Levin</w:t>
            </w: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110,323</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405,600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515,923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33,246</w:t>
            </w:r>
          </w:p>
        </w:tc>
        <w:tc>
          <w:tcPr>
            <w:tcW w:w="2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158,496</w:t>
            </w:r>
          </w:p>
        </w:tc>
        <w:tc>
          <w:tcPr>
            <w:tcW w:w="100" w:type="dxa"/>
            <w:vAlign w:val="bottom"/>
          </w:tcPr>
          <w:p>
            <w:pPr>
              <w:spacing w:after="0"/>
              <w:rPr>
                <w:sz w:val="18"/>
                <w:szCs w:val="18"/>
                <w:color w:val="auto"/>
              </w:rPr>
            </w:pPr>
          </w:p>
        </w:tc>
      </w:tr>
      <w:tr>
        <w:trPr>
          <w:trHeight w:val="218"/>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Brian S. Reaves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28,560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133,560</w:t>
            </w:r>
          </w:p>
        </w:tc>
        <w:tc>
          <w:tcPr>
            <w:tcW w:w="100" w:type="dxa"/>
            <w:vAlign w:val="bottom"/>
            <w:shd w:val="clear" w:color="auto" w:fill="CFF0FC"/>
          </w:tcPr>
          <w:p>
            <w:pPr>
              <w:spacing w:after="0"/>
              <w:rPr>
                <w:sz w:val="18"/>
                <w:szCs w:val="18"/>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31,892</w:t>
            </w:r>
          </w:p>
        </w:tc>
        <w:tc>
          <w:tcPr>
            <w:tcW w:w="2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152,642</w:t>
            </w:r>
          </w:p>
        </w:tc>
        <w:tc>
          <w:tcPr>
            <w:tcW w:w="100" w:type="dxa"/>
            <w:vAlign w:val="bottom"/>
          </w:tcPr>
          <w:p>
            <w:pPr>
              <w:spacing w:after="0"/>
              <w:rPr>
                <w:sz w:val="18"/>
                <w:szCs w:val="18"/>
                <w:color w:val="auto"/>
              </w:rPr>
            </w:pPr>
          </w:p>
        </w:tc>
      </w:tr>
      <w:tr>
        <w:trPr>
          <w:trHeight w:val="218"/>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Kenneth M. Ederle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37,128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173,628</w:t>
            </w:r>
          </w:p>
        </w:tc>
        <w:tc>
          <w:tcPr>
            <w:tcW w:w="100" w:type="dxa"/>
            <w:vAlign w:val="bottom"/>
            <w:shd w:val="clear" w:color="auto" w:fill="CFF0FC"/>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Sahal S. Laher</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101,314</w:t>
            </w:r>
          </w:p>
        </w:tc>
        <w:tc>
          <w:tcPr>
            <w:tcW w:w="2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415,064</w:t>
            </w:r>
          </w:p>
        </w:tc>
        <w:tc>
          <w:tcPr>
            <w:tcW w:w="100" w:type="dxa"/>
            <w:vAlign w:val="bottom"/>
          </w:tcPr>
          <w:p>
            <w:pPr>
              <w:spacing w:after="0"/>
              <w:rPr>
                <w:sz w:val="18"/>
                <w:szCs w:val="18"/>
                <w:color w:val="auto"/>
              </w:rPr>
            </w:pPr>
          </w:p>
        </w:tc>
      </w:tr>
    </w:tbl>
    <w:p>
      <w:pPr>
        <w:spacing w:after="0" w:line="207" w:lineRule="exact"/>
        <w:rPr>
          <w:sz w:val="20"/>
          <w:szCs w:val="20"/>
          <w:color w:val="auto"/>
        </w:rPr>
      </w:pPr>
    </w:p>
    <w:p>
      <w:pPr>
        <w:ind w:left="760" w:hanging="376"/>
        <w:spacing w:after="0" w:line="279"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granted in March 2018 earned for performance targets achieved under the 2016-2017 LTIP. The potential value of this award at threshold, target and maximum was previously reported in the “</w:t>
      </w:r>
      <w:r>
        <w:rPr>
          <w:rFonts w:ascii="Times New Roman" w:cs="Times New Roman" w:eastAsia="Times New Roman" w:hAnsi="Times New Roman"/>
          <w:sz w:val="16"/>
          <w:szCs w:val="16"/>
          <w:i w:val="1"/>
          <w:iCs w:val="1"/>
          <w:color w:val="auto"/>
        </w:rPr>
        <w:t>2016 Grants of Plan-Based Awards</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Estimated Future Payouts Under Equity Incentive Plan Awards</w:t>
      </w:r>
      <w:r>
        <w:rPr>
          <w:rFonts w:ascii="Times New Roman" w:cs="Times New Roman" w:eastAsia="Times New Roman" w:hAnsi="Times New Roman"/>
          <w:sz w:val="16"/>
          <w:szCs w:val="16"/>
          <w:color w:val="auto"/>
        </w:rPr>
        <w:t>” as of the service inception date of April 16, 2016. Mr. Laher’s award was forfeited in connection with his termination of employment.</w:t>
      </w:r>
    </w:p>
    <w:p>
      <w:pPr>
        <w:spacing w:after="0" w:line="178" w:lineRule="exact"/>
        <w:rPr>
          <w:rFonts w:ascii="Times New Roman" w:cs="Times New Roman" w:eastAsia="Times New Roman" w:hAnsi="Times New Roman"/>
          <w:sz w:val="16"/>
          <w:szCs w:val="16"/>
          <w:color w:val="auto"/>
        </w:rPr>
      </w:pPr>
    </w:p>
    <w:p>
      <w:pPr>
        <w:ind w:left="760" w:right="20" w:hanging="376"/>
        <w:spacing w:after="0" w:line="296"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of time-based RSUs issued, which will vest in two tranches with the first 50% vesting on April 1, 2019 and the remaining 50% vesting on April 1, 2020. Mr. Laher’s award was forfeited in connection with his termination of employment.</w:t>
      </w:r>
    </w:p>
    <w:p>
      <w:pPr>
        <w:spacing w:after="0" w:line="164" w:lineRule="exact"/>
        <w:rPr>
          <w:rFonts w:ascii="Times New Roman" w:cs="Times New Roman" w:eastAsia="Times New Roman" w:hAnsi="Times New Roman"/>
          <w:sz w:val="16"/>
          <w:szCs w:val="16"/>
          <w:color w:val="auto"/>
        </w:rPr>
      </w:pPr>
    </w:p>
    <w:p>
      <w:pPr>
        <w:ind w:left="760" w:right="40" w:hanging="376"/>
        <w:spacing w:after="0" w:line="296"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of 50,000 unvested RSAs that vest ratably over three years, with the first one-third vesting on January 30, 2018. In connection with Mr. Laher’s termination of employment, the unvested RSAs of 33,333 were forfeited.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2017 All Other Compensation column listed above in the Summary Compensation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Life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9"/>
              </w:rPr>
              <w:t>Long-Term</w:t>
            </w:r>
          </w:p>
        </w:tc>
        <w:tc>
          <w:tcPr>
            <w:tcW w:w="22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3"/>
                <w:szCs w:val="13"/>
                <w:b w:val="1"/>
                <w:bCs w:val="1"/>
                <w:color w:val="auto"/>
              </w:rPr>
              <w:t>Auto</w:t>
            </w:r>
          </w:p>
        </w:tc>
        <w:tc>
          <w:tcPr>
            <w:tcW w:w="200" w:type="dxa"/>
            <w:vAlign w:val="bottom"/>
          </w:tcPr>
          <w:p>
            <w:pPr>
              <w:spacing w:after="0"/>
              <w:rPr>
                <w:sz w:val="12"/>
                <w:szCs w:val="12"/>
                <w:color w:val="auto"/>
              </w:rPr>
            </w:pPr>
          </w:p>
        </w:tc>
        <w:tc>
          <w:tcPr>
            <w:tcW w:w="760" w:type="dxa"/>
            <w:vAlign w:val="bottom"/>
          </w:tcPr>
          <w:p>
            <w:pPr>
              <w:jc w:val="right"/>
              <w:ind w:right="216"/>
              <w:spacing w:after="0" w:line="148" w:lineRule="exact"/>
              <w:rPr>
                <w:sz w:val="20"/>
                <w:szCs w:val="20"/>
                <w:color w:val="auto"/>
              </w:rPr>
            </w:pPr>
            <w:r>
              <w:rPr>
                <w:rFonts w:ascii="Times New Roman" w:cs="Times New Roman" w:eastAsia="Times New Roman" w:hAnsi="Times New Roman"/>
                <w:sz w:val="13"/>
                <w:szCs w:val="13"/>
                <w:b w:val="1"/>
                <w:bCs w:val="1"/>
                <w:color w:val="auto"/>
              </w:rPr>
              <w:t>401(k)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78"/>
              <w:spacing w:after="0" w:line="148"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8"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6"/>
              <w:spacing w:after="0" w:line="148"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65"/>
        </w:trPr>
        <w:tc>
          <w:tcPr>
            <w:tcW w:w="4600" w:type="dxa"/>
            <w:vAlign w:val="bottom"/>
            <w:gridSpan w:val="2"/>
          </w:tcPr>
          <w:p>
            <w:pPr>
              <w:ind w:left="20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00" w:type="dxa"/>
            <w:vAlign w:val="bottom"/>
          </w:tcPr>
          <w:p>
            <w:pPr>
              <w:spacing w:after="0"/>
              <w:rPr>
                <w:sz w:val="14"/>
                <w:szCs w:val="14"/>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Match</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6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Compensation</w:t>
            </w:r>
          </w:p>
        </w:tc>
      </w:tr>
      <w:tr>
        <w:trPr>
          <w:trHeight w:val="222"/>
        </w:trPr>
        <w:tc>
          <w:tcPr>
            <w:tcW w:w="4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37,351</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60" w:type="dxa"/>
            <w:vAlign w:val="bottom"/>
          </w:tcPr>
          <w:p>
            <w:pPr>
              <w:spacing w:after="0"/>
              <w:rPr>
                <w:sz w:val="19"/>
                <w:szCs w:val="19"/>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4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60" w:type="dxa"/>
            <w:vAlign w:val="bottom"/>
            <w:shd w:val="clear" w:color="auto" w:fill="CFF0FC"/>
          </w:tcPr>
          <w:p>
            <w:pPr>
              <w:spacing w:after="0"/>
              <w:rPr>
                <w:sz w:val="19"/>
                <w:szCs w:val="19"/>
                <w:color w:val="auto"/>
              </w:rPr>
            </w:pP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26,893</w:t>
            </w:r>
          </w:p>
        </w:tc>
        <w:tc>
          <w:tcPr>
            <w:tcW w:w="60" w:type="dxa"/>
            <w:vAlign w:val="bottom"/>
          </w:tcPr>
          <w:p>
            <w:pPr>
              <w:spacing w:after="0"/>
              <w:rPr>
                <w:sz w:val="19"/>
                <w:szCs w:val="19"/>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Kenneth M. Ederle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4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60" w:type="dxa"/>
            <w:vAlign w:val="bottom"/>
            <w:shd w:val="clear" w:color="auto" w:fill="CFF0FC"/>
          </w:tcPr>
          <w:p>
            <w:pPr>
              <w:spacing w:after="0"/>
              <w:rPr>
                <w:sz w:val="19"/>
                <w:szCs w:val="19"/>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Sahal S. Laher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60" w:type="dxa"/>
            <w:vAlign w:val="bottom"/>
          </w:tcPr>
          <w:p>
            <w:pPr>
              <w:spacing w:after="0"/>
              <w:rPr>
                <w:sz w:val="20"/>
                <w:szCs w:val="20"/>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7" w:lineRule="exact"/>
        <w:rPr>
          <w:sz w:val="20"/>
          <w:szCs w:val="20"/>
          <w:color w:val="auto"/>
        </w:rPr>
      </w:pPr>
    </w:p>
    <w:p>
      <w:pPr>
        <w:ind w:right="880"/>
        <w:spacing w:after="0" w:line="280" w:lineRule="auto"/>
        <w:rPr>
          <w:sz w:val="20"/>
          <w:szCs w:val="20"/>
          <w:color w:val="auto"/>
        </w:rPr>
      </w:pPr>
      <w:r>
        <w:rPr>
          <w:rFonts w:ascii="Times New Roman" w:cs="Times New Roman" w:eastAsia="Times New Roman" w:hAnsi="Times New Roman"/>
          <w:sz w:val="18"/>
          <w:szCs w:val="18"/>
          <w:color w:val="auto"/>
        </w:rPr>
        <w:t>As required by Regulation S-K under the Exchange Act, we are providing the following information concerning the relationship of the total annual compensation of our CEO, David Levin, and the total annual compensation of our employees.</w:t>
      </w:r>
    </w:p>
    <w:p>
      <w:pPr>
        <w:spacing w:after="0" w:line="16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For fiscal 2017, Mr. Levin’s total annual compensation was $1,665,320 and the total annual compensation of our median employee was $26,293. Based on this information, for 2017 the ratio of the annual total compensation of Mr. Levin, our CEO, to the median of the annual total compensation of all employees was 63 to 1.</w:t>
      </w:r>
    </w:p>
    <w:p>
      <w:pPr>
        <w:spacing w:after="0" w:line="177" w:lineRule="exact"/>
        <w:rPr>
          <w:sz w:val="20"/>
          <w:szCs w:val="20"/>
          <w:color w:val="auto"/>
        </w:rPr>
      </w:pPr>
    </w:p>
    <w:p>
      <w:pPr>
        <w:ind w:right="720"/>
        <w:spacing w:after="0" w:line="280" w:lineRule="auto"/>
        <w:rPr>
          <w:sz w:val="20"/>
          <w:szCs w:val="20"/>
          <w:color w:val="auto"/>
        </w:rPr>
      </w:pPr>
      <w:r>
        <w:rPr>
          <w:rFonts w:ascii="Times New Roman" w:cs="Times New Roman" w:eastAsia="Times New Roman" w:hAnsi="Times New Roman"/>
          <w:sz w:val="18"/>
          <w:szCs w:val="18"/>
          <w:color w:val="auto"/>
        </w:rPr>
        <w:t>To identify the median of the annual total compensation of all of our employees, as well as to determine the annual total compensation of our median employee and our CEO we utilized the following methodology:</w:t>
      </w:r>
    </w:p>
    <w:p>
      <w:pPr>
        <w:spacing w:after="0" w:line="162" w:lineRule="exact"/>
        <w:rPr>
          <w:sz w:val="20"/>
          <w:szCs w:val="20"/>
          <w:color w:val="auto"/>
        </w:rPr>
      </w:pPr>
    </w:p>
    <w:p>
      <w:pPr>
        <w:ind w:left="760" w:right="760" w:hanging="376"/>
        <w:spacing w:after="0" w:line="28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2017, our employee population consisted of approximately 2,729 individuals, with 2,696 of these individuals located in the U.S. and 33 of these individuals located outside the U.S. This population includes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31" w:name="page32"/>
    <w:bookmarkEnd w:id="31"/>
    <w:p>
      <w:pPr>
        <w:ind w:left="760" w:right="300"/>
        <w:spacing w:after="0" w:line="280" w:lineRule="auto"/>
        <w:rPr>
          <w:sz w:val="20"/>
          <w:szCs w:val="20"/>
          <w:color w:val="auto"/>
        </w:rPr>
      </w:pPr>
      <w:r>
        <w:rPr>
          <w:rFonts w:ascii="Times New Roman" w:cs="Times New Roman" w:eastAsia="Times New Roman" w:hAnsi="Times New Roman"/>
          <w:sz w:val="18"/>
          <w:szCs w:val="18"/>
          <w:color w:val="auto"/>
        </w:rPr>
        <w:t>our full-time, part-time, and seasonal employees. Approximately 59% of our total employee population at December 31, 2017 was considered a full-time employee.</w:t>
      </w:r>
    </w:p>
    <w:p>
      <w:pPr>
        <w:spacing w:after="0" w:line="162" w:lineRule="exact"/>
        <w:rPr>
          <w:sz w:val="20"/>
          <w:szCs w:val="20"/>
          <w:color w:val="auto"/>
        </w:rPr>
      </w:pPr>
    </w:p>
    <w:p>
      <w:pPr>
        <w:ind w:left="760" w:right="140" w:hanging="376"/>
        <w:spacing w:after="0" w:line="28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2017.</w:t>
      </w:r>
    </w:p>
    <w:p>
      <w:pPr>
        <w:spacing w:after="0" w:line="162" w:lineRule="exact"/>
        <w:rPr>
          <w:rFonts w:ascii="Times New Roman" w:cs="Times New Roman" w:eastAsia="Times New Roman" w:hAnsi="Times New Roman"/>
          <w:sz w:val="18"/>
          <w:szCs w:val="18"/>
          <w:color w:val="auto"/>
        </w:rPr>
      </w:pPr>
    </w:p>
    <w:p>
      <w:pPr>
        <w:ind w:left="760" w:right="300" w:hanging="376"/>
        <w:spacing w:after="0" w:line="310"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permanent full-time or part-time employees, who started employment at the Company during calendar 2017, we annualized the compensation, assuming that those employees worked a full year. We did not annualize compensation for any seasonal or temporary employees.</w:t>
      </w:r>
    </w:p>
    <w:p>
      <w:pPr>
        <w:spacing w:after="0" w:line="140" w:lineRule="exact"/>
        <w:rPr>
          <w:rFonts w:ascii="Times New Roman" w:cs="Times New Roman" w:eastAsia="Times New Roman" w:hAnsi="Times New Roman"/>
          <w:sz w:val="17"/>
          <w:szCs w:val="17"/>
          <w:color w:val="auto"/>
        </w:rPr>
      </w:pPr>
    </w:p>
    <w:p>
      <w:pPr>
        <w:ind w:left="760" w:right="260" w:hanging="376"/>
        <w:spacing w:after="0" w:line="264"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excluded employees located outside of the U.S. under the de minimis exception of the pay ratio rule, which permits exclusion if a company’s non-U.S. employees account for 5% or less of total employees. The jurisdictions and approximate number of employees excluded were Canada (16), United Kingdom (14) and Hong Kong (3).</w:t>
      </w:r>
    </w:p>
    <w:p>
      <w:pPr>
        <w:spacing w:after="0" w:line="177" w:lineRule="exact"/>
        <w:rPr>
          <w:rFonts w:ascii="Times New Roman" w:cs="Times New Roman" w:eastAsia="Times New Roman" w:hAnsi="Times New Roman"/>
          <w:sz w:val="18"/>
          <w:szCs w:val="18"/>
          <w:color w:val="auto"/>
        </w:rPr>
      </w:pPr>
    </w:p>
    <w:p>
      <w:pPr>
        <w:ind w:left="760" w:right="180" w:hanging="376"/>
        <w:spacing w:after="0" w:line="28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identified our median employee, we calculated that employee’s annual compensation in the same manner as for our CEO as presented in the Summary Compensation Table. Our median employee is a 35-hour, full-time retail store associate.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Employment Agreement and Transition Agreement</w:t>
      </w:r>
    </w:p>
    <w:p>
      <w:pPr>
        <w:spacing w:after="0" w:line="118"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As disclosed above, on March 23, 2018, in connection with Mr. Levin’s retirement announcement, the Company and Mr. Levin entered into a Transition Agreement (“Transition Agreement”) addressing Mr. Levin’s future retirement and related successor issues. The Transition Agreement modifies and supplements certain terms of Mr. Levin’s Employment Agreement, which was last revised and restated as of November 5, 2009. Pursuant to the Transition Agreement, the current term of Mr. Levin’s employment agreement will end December 31, 2019.</w:t>
      </w:r>
    </w:p>
    <w:p>
      <w:pPr>
        <w:spacing w:after="0" w:line="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Employment Agreement provides that Mr. Levin be paid a base salary at annual rate of $811,200, with an annual automobile allowance of $10,000. Mr. Levin participates in our AIP at a target rate of 100% of his actual annual base salary, as defined in that plan, and in our LTIP at a target incentive rate of 100% of his annual based salary on the effective plan of the respective LTIP. The Employment Agreement also provides for the payment of discretionary bonuses in such amounts as may be determined by the Compensation Committee or Board of Directors.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Transition Agreement, Mr. Levin will continue to serve as Chief Executive Officer until the earlier of December 31, 2018 or the date that the Company employs a full-time successor Chief Executive Officer (the “Transition Date”). As of the Transition Date, Mr. Levin will resign and retire as President and Chief Executive Officer and as a Director of the Company. After the Transition Date and through December 31, 2019, Mr. Levin shall remain employed by the Company to perform reasonable transition duties or other consulting activities or projects, unless his employment is terminated as provided for in the Employment Agreement. If the Company employs a new Chief Executive Officer prior to December 31, 2018, Mr. Levin may elect to terminate his employment for “good reason” within ten days and will receive the payments provided for under the Employment Agreement as a result of such separation. Apart from this time period, Mr. Levin has no other opportunity to terminate his employment for “good reason.”</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Mr. Levin remains employed after the Transition Date, he will perform transition duties and projects as requested through December 31, 2019 and continue to receive all compensation otherwise due him under the Employment Agreement. With respect to his ongoing employment through December 31, 2019, payments associated with Mr. Levin’s incentive awards for the fiscal year ending February 2, 2019 will be based on actual performance results and payments associated with his incentive awards for the fiscal year ending February 1, 2020 will be paid at target (regardless of actual performance). If there is a change in control of the Company while Mr. Levin remains employed, payments that would have otherwise been due him through December 31, 2019 shall be paid to him in a lump sum (with a limited gross up). So long as Mr. Levin remains employed through December 31, 2019 the vesting of his outstanding long-term incentive awards will be treated based on the retirement provisions of the applicable plans.</w:t>
      </w:r>
    </w:p>
    <w:p>
      <w:pPr>
        <w:spacing w:after="0" w:line="80"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Except as otherwise modified by the Transition Agreement, Mr. Levin remains subject to the provisions of the Employment Agreement, including various restrictive covenants. The applicable restricted periods associated with those covenants commence on the earlier of December 31, 2018 or when his employment is terminated. Except as addressed in the Transition Agreement, the provisions of the Employment Agreement relating to any termination as a result of disability, death, resignation or with or without cause remain in effect. All payment obligations of the Company remain subject to Mr. Levin executing a general release within thirty days of the execution of the Transition Agreement and again within thirty days of his termination of employment.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32" w:name="page33"/>
    <w:bookmarkEnd w:id="32"/>
    <w:p>
      <w:pPr>
        <w:ind w:right="60"/>
        <w:spacing w:after="0" w:line="280" w:lineRule="auto"/>
        <w:rPr>
          <w:sz w:val="20"/>
          <w:szCs w:val="20"/>
          <w:color w:val="auto"/>
        </w:rPr>
      </w:pPr>
      <w:r>
        <w:rPr>
          <w:rFonts w:ascii="Times New Roman" w:cs="Times New Roman" w:eastAsia="Times New Roman" w:hAnsi="Times New Roman"/>
          <w:sz w:val="18"/>
          <w:szCs w:val="18"/>
          <w:color w:val="auto"/>
        </w:rPr>
        <w:t>If Mr. Levin elects to resign for “good reason” under the Transition Agreement, pursuant to his Employment Agreement, we will be required to pay Mr. Levin the following:</w:t>
      </w:r>
    </w:p>
    <w:p>
      <w:pPr>
        <w:spacing w:after="0" w:line="55" w:lineRule="exact"/>
        <w:rPr>
          <w:sz w:val="20"/>
          <w:szCs w:val="20"/>
          <w:color w:val="auto"/>
        </w:rPr>
      </w:pPr>
    </w:p>
    <w:p>
      <w:pPr>
        <w:ind w:left="1520" w:right="20" w:hanging="383"/>
        <w:spacing w:after="0" w:line="257" w:lineRule="auto"/>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comprised as the sum of (1) Mr. Levin’s monthly base salary then in effect plus (2) a monthly amount calculated by dividing by twelve the average of the sum of (i) the annual incentive bonuses earned under the AIP and (ii) the cash amounts paid to Mr. Levin pursuant to the LTIP or the cash value of the options or stock issued to Mr. Levin, during each of the two most recent fiscal years, with the monthly sum of (1) plus (2) payable for 24 consecutive months. This severance benefit is conditioned upon Mr. Levin’s execution of a general release.</w:t>
      </w:r>
    </w:p>
    <w:p>
      <w:pPr>
        <w:spacing w:after="0" w:line="74" w:lineRule="exact"/>
        <w:rPr>
          <w:rFonts w:ascii="Times New Roman" w:cs="Times New Roman" w:eastAsia="Times New Roman" w:hAnsi="Times New Roman"/>
          <w:sz w:val="18"/>
          <w:szCs w:val="18"/>
          <w:color w:val="auto"/>
        </w:rPr>
      </w:pPr>
    </w:p>
    <w:p>
      <w:pPr>
        <w:ind w:left="1520" w:hanging="383"/>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equity awards in accordance with the LTIP agreement; and,</w:t>
      </w:r>
    </w:p>
    <w:p>
      <w:pPr>
        <w:spacing w:after="0" w:line="115" w:lineRule="exact"/>
        <w:rPr>
          <w:rFonts w:ascii="Times New Roman" w:cs="Times New Roman" w:eastAsia="Times New Roman" w:hAnsi="Times New Roman"/>
          <w:sz w:val="18"/>
          <w:szCs w:val="18"/>
          <w:color w:val="auto"/>
        </w:rPr>
      </w:pPr>
    </w:p>
    <w:p>
      <w:pPr>
        <w:ind w:left="1520" w:hanging="383"/>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bonus under the 2018 AIP.</w:t>
      </w:r>
    </w:p>
    <w:p>
      <w:pPr>
        <w:spacing w:after="0" w:line="2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Potential Payments to Mr. Levin under the Transition Agreement</w:t>
      </w:r>
    </w:p>
    <w:p>
      <w:pPr>
        <w:spacing w:after="0" w:line="225"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The following table shows the payments and value of equity that Mr. Levin would be entitled to pursuant to the Transition Agreement if he retires or resigns for Good Reason within ten days of the Transition Date discussed above. The table assumes that with respect to his retirement, Mr. Levin continues to be employed through December 31, 2018 and, therefore, has earned his annual salary.</w:t>
      </w:r>
    </w:p>
    <w:p>
      <w:pPr>
        <w:spacing w:after="0" w:line="397" w:lineRule="exact"/>
        <w:rPr>
          <w:sz w:val="20"/>
          <w:szCs w:val="20"/>
          <w:color w:val="auto"/>
        </w:rPr>
      </w:pPr>
    </w:p>
    <w:tbl>
      <w:tblPr>
        <w:tblLayout w:type="fixed"/>
        <w:tblInd w:w="7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6"/>
                <w:szCs w:val="16"/>
                <w:color w:val="auto"/>
              </w:rPr>
              <w:t>Resign for Good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Retirement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6"/>
                <w:szCs w:val="16"/>
                <w:color w:val="auto"/>
              </w:rPr>
              <w:t>Reason</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2019 Salary continuance through December 31, 2019</w:t>
            </w: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743,600</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Severance, assuming resignation in fiscal 2018 (1)</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2,961,184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Annual Incentive Plans</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Fiscal 2018, assumes target (2)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Fiscal 2019, guaranteed</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811,200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Incentive Plans</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Time-Based Awards, accelerated (3)</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2016-2017 LTIP</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78,604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2017-2018 LTIP</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2018-2020</w:t>
            </w:r>
          </w:p>
        </w:tc>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LTIP, guaranteed</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405,600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Performance-Based Awards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2016-2017</w:t>
            </w:r>
          </w:p>
        </w:tc>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LTIP</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126,082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2017-2018</w:t>
            </w:r>
          </w:p>
        </w:tc>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LTIP (4)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2018-2020</w:t>
            </w:r>
          </w:p>
        </w:tc>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LTIP, guaranteed</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405,600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value of Mr. Levin's retirement or severance</w:t>
            </w: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3,666,518</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4,194,102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right="380" w:hanging="376"/>
        <w:spacing w:after="0" w:line="296"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Mr. Levin resigns for Good Reason during the period provided in the Transition Agreement, he would be entitled to receive severance in accordance with his Employment Agreement, to be paid over 24 months.</w:t>
      </w:r>
    </w:p>
    <w:p>
      <w:pPr>
        <w:spacing w:after="0" w:line="56" w:lineRule="exact"/>
        <w:rPr>
          <w:rFonts w:ascii="Times New Roman" w:cs="Times New Roman" w:eastAsia="Times New Roman" w:hAnsi="Times New Roman"/>
          <w:sz w:val="16"/>
          <w:szCs w:val="16"/>
          <w:color w:val="auto"/>
        </w:rPr>
      </w:pPr>
    </w:p>
    <w:p>
      <w:pPr>
        <w:ind w:left="760" w:hanging="376"/>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2018 AIP payout assumes Resignation for Good Reason occurs on December 31, 2018, and therefore he would receive a pro-rata payout of the 2018 AIP at target.</w:t>
      </w:r>
    </w:p>
    <w:p>
      <w:pPr>
        <w:spacing w:after="0" w:line="125" w:lineRule="exact"/>
        <w:rPr>
          <w:rFonts w:ascii="Times New Roman" w:cs="Times New Roman" w:eastAsia="Times New Roman" w:hAnsi="Times New Roman"/>
          <w:sz w:val="16"/>
          <w:szCs w:val="16"/>
          <w:color w:val="auto"/>
        </w:rPr>
      </w:pPr>
    </w:p>
    <w:p>
      <w:pPr>
        <w:ind w:left="760" w:right="120" w:hanging="376"/>
        <w:spacing w:after="0" w:line="296"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accelerated equity awards was calculated by taking the number of RSUs outstanding and multiplying those RSUs by $2.00, the closing stock price of our common stock on June 25, 2018.</w:t>
      </w:r>
    </w:p>
    <w:p>
      <w:pPr>
        <w:spacing w:after="0" w:line="56" w:lineRule="exact"/>
        <w:rPr>
          <w:rFonts w:ascii="Times New Roman" w:cs="Times New Roman" w:eastAsia="Times New Roman" w:hAnsi="Times New Roman"/>
          <w:sz w:val="16"/>
          <w:szCs w:val="16"/>
          <w:color w:val="auto"/>
        </w:rPr>
      </w:pPr>
    </w:p>
    <w:p>
      <w:pPr>
        <w:ind w:left="760" w:hanging="376"/>
        <w:spacing w:after="0" w:line="274"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end of the first quarter of fiscal 2018, the Company does not expect that the performance targets under the 2017-2018 LTIP will be achieved, therefore, no expected compensation is included in the above table. However, if the Company were to achieve the performance targets under the 2017-2018 LTIP, Mr. Levin would be entitled to receive the cash value of such award, if and at such time that the award is approved and granted by the Compensation Committee. At target, Mr. Levin would be entitled to $405,600.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Executives</w:t>
      </w:r>
    </w:p>
    <w:p>
      <w:pPr>
        <w:spacing w:after="0" w:line="11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We also have employment agreements with each of our Senior Executives, which includes our Executive Vice Presidents and our Senior Vice Presidents (the “Sr. Exec. Employment Agreements”). The term of each employment agreement begins on the respective effective date and continues until terminated by either party. Our Senior Executives are eligible to participate in our AIP. During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33" w:name="page34"/>
    <w:bookmarkEnd w:id="33"/>
    <w:p>
      <w:pPr>
        <w:spacing w:after="0" w:line="259" w:lineRule="auto"/>
        <w:rPr>
          <w:sz w:val="20"/>
          <w:szCs w:val="20"/>
          <w:color w:val="auto"/>
        </w:rPr>
      </w:pPr>
      <w:r>
        <w:rPr>
          <w:rFonts w:ascii="Times New Roman" w:cs="Times New Roman" w:eastAsia="Times New Roman" w:hAnsi="Times New Roman"/>
          <w:sz w:val="18"/>
          <w:szCs w:val="18"/>
          <w:color w:val="auto"/>
        </w:rPr>
        <w:t>fiscal 2017, they participated at a target rate of 40% of their respective average base salaries. For fiscal 2018, our Executive Vice Presidents will participate at a target rate of 55% and our Senior Vice Presidents will remain at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8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8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444"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Estimated Potential Payments to Other Named Executive Officers</w:t>
      </w:r>
    </w:p>
    <w:p>
      <w:pPr>
        <w:spacing w:after="0" w:line="118"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other Named Executive Officers assuming a “termination without cause” or a “resignation for good reason” (each a “Qualifying Termination”) or a Qualifying Termination following a Change in Control, described above, as of February 3, 2018. See “Estimated Potential Payments to Chief Executive Officer” for a discussion of Mr. Levin’s potential payouts under the Company’s Transition Agreement with him.</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40" w:type="dxa"/>
            <w:vAlign w:val="bottom"/>
            <w:tcBorders>
              <w:bottom w:val="single" w:sz="8" w:color="CFF0FC"/>
            </w:tcBorders>
            <w:shd w:val="clear" w:color="auto" w:fill="CFF0FC"/>
          </w:tcPr>
          <w:p>
            <w:pPr>
              <w:spacing w:after="0"/>
              <w:rPr>
                <w:sz w:val="14"/>
                <w:szCs w:val="14"/>
                <w:color w:val="auto"/>
              </w:rPr>
            </w:pPr>
          </w:p>
        </w:tc>
        <w:tc>
          <w:tcPr>
            <w:tcW w:w="38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2100" w:type="dxa"/>
            <w:vAlign w:val="bottom"/>
            <w:tcBorders>
              <w:bottom w:val="single" w:sz="8" w:color="auto"/>
            </w:tcBorders>
            <w:gridSpan w:val="4"/>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Long-Term Incentive Plan</w:t>
            </w:r>
            <w:r>
              <w:rPr>
                <w:rFonts w:ascii="Times New Roman" w:cs="Times New Roman" w:eastAsia="Times New Roman" w:hAnsi="Times New Roman"/>
                <w:sz w:val="12"/>
                <w:szCs w:val="12"/>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40" w:type="dxa"/>
            <w:vAlign w:val="bottom"/>
            <w:shd w:val="clear" w:color="auto" w:fill="CFF0FC"/>
          </w:tcPr>
          <w:p>
            <w:pPr>
              <w:spacing w:after="0"/>
              <w:rPr>
                <w:sz w:val="11"/>
                <w:szCs w:val="11"/>
                <w:color w:val="auto"/>
              </w:rPr>
            </w:pPr>
          </w:p>
        </w:tc>
        <w:tc>
          <w:tcPr>
            <w:tcW w:w="3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Continued Base</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Annual Incentive</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Time-Based</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center"/>
              <w:ind w:right="28"/>
              <w:spacing w:after="0" w:line="132" w:lineRule="exact"/>
              <w:rPr>
                <w:sz w:val="20"/>
                <w:szCs w:val="20"/>
                <w:color w:val="auto"/>
              </w:rPr>
            </w:pPr>
            <w:r>
              <w:rPr>
                <w:rFonts w:ascii="Times New Roman" w:cs="Times New Roman" w:eastAsia="Times New Roman" w:hAnsi="Times New Roman"/>
                <w:sz w:val="14"/>
                <w:szCs w:val="14"/>
                <w:color w:val="auto"/>
              </w:rPr>
              <w:t>Performance-</w:t>
            </w:r>
          </w:p>
        </w:tc>
        <w:tc>
          <w:tcPr>
            <w:tcW w:w="220" w:type="dxa"/>
            <w:vAlign w:val="bottom"/>
            <w:shd w:val="clear" w:color="auto" w:fill="CFF0FC"/>
          </w:tcPr>
          <w:p>
            <w:pPr>
              <w:spacing w:after="0"/>
              <w:rPr>
                <w:sz w:val="11"/>
                <w:szCs w:val="11"/>
                <w:color w:val="auto"/>
              </w:rPr>
            </w:pPr>
          </w:p>
        </w:tc>
        <w:tc>
          <w:tcPr>
            <w:tcW w:w="1040" w:type="dxa"/>
            <w:vAlign w:val="bottom"/>
            <w:gridSpan w:val="3"/>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Total Potential</w:t>
            </w:r>
          </w:p>
        </w:tc>
        <w:tc>
          <w:tcPr>
            <w:tcW w:w="0" w:type="dxa"/>
            <w:vAlign w:val="bottom"/>
          </w:tcPr>
          <w:p>
            <w:pPr>
              <w:spacing w:after="0"/>
              <w:rPr>
                <w:sz w:val="1"/>
                <w:szCs w:val="1"/>
                <w:color w:val="auto"/>
              </w:rPr>
            </w:pPr>
          </w:p>
        </w:tc>
      </w:tr>
      <w:tr>
        <w:trPr>
          <w:trHeight w:val="148"/>
        </w:trPr>
        <w:tc>
          <w:tcPr>
            <w:tcW w:w="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3860" w:type="dxa"/>
            <w:vAlign w:val="bottom"/>
            <w:vMerge w:val="restart"/>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center"/>
              <w:ind w:right="28"/>
              <w:spacing w:after="0" w:line="148" w:lineRule="exact"/>
              <w:rPr>
                <w:sz w:val="20"/>
                <w:szCs w:val="20"/>
                <w:color w:val="auto"/>
              </w:rPr>
            </w:pPr>
            <w:r>
              <w:rPr>
                <w:rFonts w:ascii="Times New Roman" w:cs="Times New Roman" w:eastAsia="Times New Roman" w:hAnsi="Times New Roman"/>
                <w:sz w:val="14"/>
                <w:szCs w:val="14"/>
                <w:color w:val="auto"/>
                <w:w w:val="99"/>
              </w:rPr>
              <w:t>Based</w:t>
            </w:r>
          </w:p>
        </w:tc>
        <w:tc>
          <w:tcPr>
            <w:tcW w:w="220" w:type="dxa"/>
            <w:vAlign w:val="bottom"/>
            <w:shd w:val="clear" w:color="auto" w:fill="CFF0FC"/>
          </w:tcPr>
          <w:p>
            <w:pPr>
              <w:spacing w:after="0"/>
              <w:rPr>
                <w:sz w:val="12"/>
                <w:szCs w:val="12"/>
                <w:color w:val="auto"/>
              </w:rPr>
            </w:pPr>
          </w:p>
        </w:tc>
        <w:tc>
          <w:tcPr>
            <w:tcW w:w="1040" w:type="dxa"/>
            <w:vAlign w:val="bottom"/>
            <w:gridSpan w:val="3"/>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0" w:type="dxa"/>
            <w:vAlign w:val="bottom"/>
            <w:tcBorders>
              <w:bottom w:val="single" w:sz="8" w:color="auto"/>
            </w:tcBorders>
            <w:vMerge w:val="continue"/>
            <w:shd w:val="clear" w:color="auto" w:fill="CFF0FC"/>
          </w:tcPr>
          <w:p>
            <w:pPr>
              <w:spacing w:after="0"/>
              <w:rPr>
                <w:sz w:val="15"/>
                <w:szCs w:val="15"/>
                <w:color w:val="auto"/>
              </w:rPr>
            </w:pPr>
          </w:p>
        </w:tc>
        <w:tc>
          <w:tcPr>
            <w:tcW w:w="3860" w:type="dxa"/>
            <w:vAlign w:val="bottom"/>
            <w:tcBorders>
              <w:bottom w:val="single" w:sz="8" w:color="CFF0FC"/>
            </w:tcBorders>
            <w:vMerge w:val="continue"/>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ind w:right="208"/>
              <w:spacing w:after="0" w:line="157" w:lineRule="exact"/>
              <w:rPr>
                <w:sz w:val="20"/>
                <w:szCs w:val="20"/>
                <w:color w:val="auto"/>
              </w:rPr>
            </w:pPr>
            <w:r>
              <w:rPr>
                <w:rFonts w:ascii="Times New Roman" w:cs="Times New Roman" w:eastAsia="Times New Roman" w:hAnsi="Times New Roman"/>
                <w:sz w:val="14"/>
                <w:szCs w:val="14"/>
                <w:color w:val="auto"/>
              </w:rPr>
              <w:t xml:space="preserve">Salary </w:t>
            </w:r>
            <w:r>
              <w:rPr>
                <w:rFonts w:ascii="Times New Roman" w:cs="Times New Roman" w:eastAsia="Times New Roman" w:hAnsi="Times New Roman"/>
                <w:sz w:val="12"/>
                <w:szCs w:val="12"/>
                <w:color w:val="auto"/>
              </w:rPr>
              <w:t>(1)</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ind w:right="328"/>
              <w:spacing w:after="0" w:line="157" w:lineRule="exact"/>
              <w:rPr>
                <w:sz w:val="20"/>
                <w:szCs w:val="20"/>
                <w:color w:val="auto"/>
              </w:rPr>
            </w:pPr>
            <w:r>
              <w:rPr>
                <w:rFonts w:ascii="Times New Roman" w:cs="Times New Roman" w:eastAsia="Times New Roman" w:hAnsi="Times New Roman"/>
                <w:sz w:val="14"/>
                <w:szCs w:val="14"/>
                <w:color w:val="auto"/>
              </w:rPr>
              <w:t xml:space="preserve">Plan </w:t>
            </w:r>
            <w:r>
              <w:rPr>
                <w:rFonts w:ascii="Times New Roman" w:cs="Times New Roman" w:eastAsia="Times New Roman" w:hAnsi="Times New Roman"/>
                <w:sz w:val="12"/>
                <w:szCs w:val="12"/>
                <w:color w:val="auto"/>
              </w:rPr>
              <w:t>(2)</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ind w:left="180"/>
              <w:spacing w:after="0" w:line="157" w:lineRule="exact"/>
              <w:rPr>
                <w:sz w:val="20"/>
                <w:szCs w:val="20"/>
                <w:color w:val="auto"/>
              </w:rPr>
            </w:pPr>
            <w:r>
              <w:rPr>
                <w:rFonts w:ascii="Times New Roman" w:cs="Times New Roman" w:eastAsia="Times New Roman" w:hAnsi="Times New Roman"/>
                <w:sz w:val="14"/>
                <w:szCs w:val="14"/>
                <w:color w:val="auto"/>
              </w:rPr>
              <w:t>Awards</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center"/>
              <w:ind w:right="28"/>
              <w:spacing w:after="0" w:line="157" w:lineRule="exact"/>
              <w:rPr>
                <w:sz w:val="20"/>
                <w:szCs w:val="20"/>
                <w:color w:val="auto"/>
              </w:rPr>
            </w:pPr>
            <w:r>
              <w:rPr>
                <w:rFonts w:ascii="Times New Roman" w:cs="Times New Roman" w:eastAsia="Times New Roman" w:hAnsi="Times New Roman"/>
                <w:sz w:val="14"/>
                <w:szCs w:val="14"/>
                <w:color w:val="auto"/>
              </w:rPr>
              <w:t>Compensation</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center"/>
              <w:ind w:right="200"/>
              <w:spacing w:after="0" w:line="157" w:lineRule="exact"/>
              <w:rPr>
                <w:sz w:val="20"/>
                <w:szCs w:val="20"/>
                <w:color w:val="auto"/>
              </w:rPr>
            </w:pPr>
            <w:r>
              <w:rPr>
                <w:rFonts w:ascii="Times New Roman" w:cs="Times New Roman" w:eastAsia="Times New Roman" w:hAnsi="Times New Roman"/>
                <w:sz w:val="14"/>
                <w:szCs w:val="14"/>
                <w:color w:val="auto"/>
              </w:rPr>
              <w:t>Payments</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Peter H. Stratton, Jr.</w:t>
            </w: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197,500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52,997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174,333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33,246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458,076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712,424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Brian S. Reaves</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44,850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44,850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147,550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669,000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S. Molloy</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187,500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48,526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167,932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31,892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435,850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Kenneth Ederle </w:t>
            </w:r>
            <w:r>
              <w:rPr>
                <w:rFonts w:ascii="Times New Roman" w:cs="Times New Roman" w:eastAsia="Times New Roman" w:hAnsi="Times New Roman"/>
                <w:sz w:val="12"/>
                <w:szCs w:val="12"/>
                <w:color w:val="auto"/>
              </w:rPr>
              <w:t>(4)</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54,855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191,815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99,580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736,251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Sahal S. Laher </w:t>
            </w:r>
            <w:r>
              <w:rPr>
                <w:rFonts w:ascii="Times New Roman" w:cs="Times New Roman" w:eastAsia="Times New Roman" w:hAnsi="Times New Roman"/>
                <w:sz w:val="12"/>
                <w:szCs w:val="12"/>
                <w:color w:val="auto"/>
              </w:rPr>
              <w:t>(4)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Qualifying Termination</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212,500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59,778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196,926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21,665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490,869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Qualifying Termination due to change in control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59,778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760" w:hanging="37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base salary for Qualifying Termination assumes six months of salary, which includes one additional month for notice.</w:t>
      </w:r>
    </w:p>
    <w:p>
      <w:pPr>
        <w:spacing w:after="0" w:line="94" w:lineRule="exact"/>
        <w:rPr>
          <w:rFonts w:ascii="Times New Roman" w:cs="Times New Roman" w:eastAsia="Times New Roman" w:hAnsi="Times New Roman"/>
          <w:sz w:val="14"/>
          <w:szCs w:val="14"/>
          <w:color w:val="auto"/>
        </w:rPr>
      </w:pPr>
    </w:p>
    <w:p>
      <w:pPr>
        <w:ind w:left="760" w:hanging="37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actual incentive earned for 2017 AIP.</w:t>
      </w:r>
    </w:p>
    <w:p>
      <w:pPr>
        <w:spacing w:after="0" w:line="94" w:lineRule="exact"/>
        <w:rPr>
          <w:rFonts w:ascii="Times New Roman" w:cs="Times New Roman" w:eastAsia="Times New Roman" w:hAnsi="Times New Roman"/>
          <w:sz w:val="14"/>
          <w:szCs w:val="14"/>
          <w:color w:val="auto"/>
        </w:rPr>
      </w:pPr>
    </w:p>
    <w:p>
      <w:pPr>
        <w:ind w:left="760" w:right="160" w:hanging="376"/>
        <w:spacing w:after="0" w:line="234" w:lineRule="auto"/>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 plan represent time-based RSUs under our 2016-2017 LTIP and our 2017-2018 LTIP. Because the respective performance periods are either complete or in the second year, all outstanding awards become fully vested under the Qualifying Termination. With respect to a Qualifying Termination due to change in control (i) all time-based awards become fully vested irrespective of the performance period and (ii) performance-based awards pay out pro-rata at target. All outstanding awards were valued using the closing stock price of our stock on February 2, 2018 of $2.58 per share</w:t>
      </w:r>
    </w:p>
    <w:p>
      <w:pPr>
        <w:spacing w:after="0" w:line="71" w:lineRule="exact"/>
        <w:rPr>
          <w:rFonts w:ascii="Times New Roman" w:cs="Times New Roman" w:eastAsia="Times New Roman" w:hAnsi="Times New Roman"/>
          <w:sz w:val="14"/>
          <w:szCs w:val="14"/>
          <w:color w:val="auto"/>
        </w:rPr>
      </w:pPr>
    </w:p>
    <w:p>
      <w:pPr>
        <w:ind w:left="760" w:hanging="37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discussed, on May 16, 2018, Messrs. Ederle and Laher were terminated as part of the Company’s Restructuring.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Provision</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5" w:name="page36"/>
    <w:bookmarkEnd w:id="35"/>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Grants of Plan-Based Awards. </w:t>
      </w:r>
      <w:r>
        <w:rPr>
          <w:rFonts w:ascii="Times New Roman" w:cs="Times New Roman" w:eastAsia="Times New Roman" w:hAnsi="Times New Roman"/>
          <w:sz w:val="18"/>
          <w:szCs w:val="18"/>
          <w:color w:val="auto"/>
        </w:rPr>
        <w:t>The following table sets forth certain information with respect to plan-based awards granted to the Named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fiscal 2017.</w:t>
      </w:r>
    </w:p>
    <w:p>
      <w:pPr>
        <w:spacing w:after="0" w:line="1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2017 GRANTS OF PLAN-BASED AWARDS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Grant</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3"/>
              </w:rPr>
              <w:t>All Other</w:t>
            </w:r>
          </w:p>
        </w:tc>
        <w:tc>
          <w:tcPr>
            <w:tcW w:w="7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line="121" w:lineRule="exact"/>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7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8"/>
              </w:rPr>
              <w:t>Fair</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7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line="121" w:lineRule="exact"/>
              <w:rPr>
                <w:sz w:val="20"/>
                <w:szCs w:val="20"/>
                <w:color w:val="auto"/>
              </w:rPr>
            </w:pPr>
            <w:r>
              <w:rPr>
                <w:rFonts w:ascii="Times New Roman" w:cs="Times New Roman" w:eastAsia="Times New Roman" w:hAnsi="Times New Roman"/>
                <w:sz w:val="11"/>
                <w:szCs w:val="11"/>
                <w:b w:val="1"/>
                <w:bCs w:val="1"/>
                <w:color w:val="auto"/>
                <w:w w:val="96"/>
              </w:rPr>
              <w:t>Value of</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40" w:type="dxa"/>
            <w:vAlign w:val="bottom"/>
            <w:gridSpan w:val="9"/>
          </w:tcPr>
          <w:p>
            <w:pPr>
              <w:jc w:val="center"/>
              <w:ind w:right="220"/>
              <w:spacing w:after="0" w:line="121" w:lineRule="exact"/>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7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line="121" w:lineRule="exact"/>
              <w:rPr>
                <w:sz w:val="20"/>
                <w:szCs w:val="20"/>
                <w:color w:val="auto"/>
              </w:rPr>
            </w:pPr>
            <w:r>
              <w:rPr>
                <w:rFonts w:ascii="Times New Roman" w:cs="Times New Roman" w:eastAsia="Times New Roman" w:hAnsi="Times New Roman"/>
                <w:sz w:val="11"/>
                <w:szCs w:val="11"/>
                <w:b w:val="1"/>
                <w:bCs w:val="1"/>
                <w:color w:val="auto"/>
                <w:w w:val="98"/>
              </w:rPr>
              <w:t>Stock</w:t>
            </w:r>
          </w:p>
        </w:tc>
      </w:tr>
      <w:tr>
        <w:trPr>
          <w:trHeight w:val="121"/>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9"/>
              </w:rPr>
              <w:t>Under Equity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6"/>
              </w:rPr>
              <w:t>of Shares</w:t>
            </w:r>
          </w:p>
        </w:tc>
        <w:tc>
          <w:tcPr>
            <w:tcW w:w="7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4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line="121" w:lineRule="exact"/>
              <w:rPr>
                <w:sz w:val="20"/>
                <w:szCs w:val="20"/>
                <w:color w:val="auto"/>
              </w:rPr>
            </w:pPr>
            <w:r>
              <w:rPr>
                <w:rFonts w:ascii="Times New Roman" w:cs="Times New Roman" w:eastAsia="Times New Roman" w:hAnsi="Times New Roman"/>
                <w:sz w:val="11"/>
                <w:szCs w:val="11"/>
                <w:b w:val="1"/>
                <w:bCs w:val="1"/>
                <w:color w:val="auto"/>
              </w:rPr>
              <w:t>and</w:t>
            </w:r>
          </w:p>
        </w:tc>
      </w:tr>
      <w:tr>
        <w:trPr>
          <w:trHeight w:val="137"/>
        </w:trPr>
        <w:tc>
          <w:tcPr>
            <w:tcW w:w="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Service Inception/</w:t>
            </w: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7"/>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r>
      <w:tr>
        <w:trPr>
          <w:trHeight w:val="126"/>
        </w:trPr>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Approval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1"/>
              </w:rPr>
              <w:t>Threshold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60" w:type="dxa"/>
            <w:vAlign w:val="bottom"/>
          </w:tcPr>
          <w:p>
            <w:pPr>
              <w:spacing w:after="0"/>
              <w:rPr>
                <w:sz w:val="10"/>
                <w:szCs w:val="10"/>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5"/>
              </w:rPr>
              <w:t>Threshold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60" w:type="dxa"/>
            <w:vAlign w:val="bottom"/>
          </w:tcPr>
          <w:p>
            <w:pPr>
              <w:spacing w:after="0"/>
              <w:rPr>
                <w:sz w:val="10"/>
                <w:szCs w:val="10"/>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6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or Units</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2"/>
              </w:rPr>
              <w:t>Awards</w:t>
            </w:r>
          </w:p>
        </w:tc>
      </w:tr>
      <w:tr>
        <w:trPr>
          <w:trHeight w:val="137"/>
        </w:trPr>
        <w:tc>
          <w:tcPr>
            <w:tcW w:w="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 (1)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 (1)</w:t>
            </w: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 / Sh)</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28"/>
        </w:trPr>
        <w:tc>
          <w:tcPr>
            <w:tcW w:w="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r>
      <w:tr>
        <w:trPr>
          <w:trHeight w:val="134"/>
        </w:trPr>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David A. Levin</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486,720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811,200</w:t>
            </w: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1,216,800</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142,315</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405,600</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7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101,400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405,600</w:t>
            </w:r>
          </w:p>
        </w:tc>
        <w:tc>
          <w:tcPr>
            <w:tcW w:w="10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608,400</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w w:val="79"/>
              </w:rPr>
              <w:t>Peter</w:t>
            </w:r>
          </w:p>
        </w:tc>
        <w:tc>
          <w:tcPr>
            <w:tcW w:w="21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H. Stratton, Jr.</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85,200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142,000</w:t>
            </w:r>
          </w:p>
        </w:tc>
        <w:tc>
          <w:tcPr>
            <w:tcW w:w="3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43,596</w:t>
            </w:r>
          </w:p>
        </w:tc>
        <w:tc>
          <w:tcPr>
            <w:tcW w:w="160" w:type="dxa"/>
            <w:vAlign w:val="bottom"/>
          </w:tcPr>
          <w:p>
            <w:pPr>
              <w:spacing w:after="0"/>
              <w:rPr>
                <w:sz w:val="11"/>
                <w:szCs w:val="11"/>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125,250</w:t>
            </w:r>
          </w:p>
        </w:tc>
      </w:tr>
      <w:tr>
        <w:trPr>
          <w:trHeight w:val="135"/>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31,063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124,250</w:t>
            </w:r>
          </w:p>
        </w:tc>
        <w:tc>
          <w:tcPr>
            <w:tcW w:w="10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186,375</w:t>
            </w:r>
          </w:p>
        </w:tc>
        <w:tc>
          <w:tcPr>
            <w:tcW w:w="16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Brian S. Reaves</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72,000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120,000</w:t>
            </w: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36,842</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7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52,500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10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157,500</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Robert S. Molloy</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82,800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138,000</w:t>
            </w:r>
          </w:p>
        </w:tc>
        <w:tc>
          <w:tcPr>
            <w:tcW w:w="3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42,368</w:t>
            </w:r>
          </w:p>
        </w:tc>
        <w:tc>
          <w:tcPr>
            <w:tcW w:w="160" w:type="dxa"/>
            <w:vAlign w:val="bottom"/>
          </w:tcPr>
          <w:p>
            <w:pPr>
              <w:spacing w:after="0"/>
              <w:rPr>
                <w:sz w:val="11"/>
                <w:szCs w:val="11"/>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120,750</w:t>
            </w:r>
          </w:p>
        </w:tc>
      </w:tr>
      <w:tr>
        <w:trPr>
          <w:trHeight w:val="135"/>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60,375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120,750</w:t>
            </w:r>
          </w:p>
        </w:tc>
        <w:tc>
          <w:tcPr>
            <w:tcW w:w="10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181,125</w:t>
            </w:r>
          </w:p>
        </w:tc>
        <w:tc>
          <w:tcPr>
            <w:tcW w:w="16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Kenneth M. Ederle</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93,600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156,000</w:t>
            </w:r>
          </w:p>
        </w:tc>
        <w:tc>
          <w:tcPr>
            <w:tcW w:w="3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234,000</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47,894</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136,500</w:t>
            </w:r>
          </w:p>
        </w:tc>
      </w:tr>
      <w:tr>
        <w:trPr>
          <w:trHeight w:val="134"/>
        </w:trPr>
        <w:tc>
          <w:tcPr>
            <w:tcW w:w="20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7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68,250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136,500</w:t>
            </w:r>
          </w:p>
        </w:tc>
        <w:tc>
          <w:tcPr>
            <w:tcW w:w="10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204,750</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w w:val="73"/>
              </w:rPr>
              <w:t>Sahal</w:t>
            </w:r>
          </w:p>
        </w:tc>
        <w:tc>
          <w:tcPr>
            <w:tcW w:w="21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 Laher</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-Discretionary Stock Award (4)</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1/30/2017</w:t>
            </w: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1/30/2017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60" w:type="dxa"/>
            <w:vAlign w:val="bottom"/>
          </w:tcPr>
          <w:p>
            <w:pPr>
              <w:spacing w:after="0"/>
              <w:rPr>
                <w:sz w:val="11"/>
                <w:szCs w:val="11"/>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165,000</w:t>
            </w: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-2016-2017 LTIP</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1/30/2017</w:t>
            </w: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1/30/2017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24,136</w:t>
            </w:r>
          </w:p>
        </w:tc>
        <w:tc>
          <w:tcPr>
            <w:tcW w:w="160" w:type="dxa"/>
            <w:vAlign w:val="bottom"/>
          </w:tcPr>
          <w:p>
            <w:pPr>
              <w:spacing w:after="0"/>
              <w:rPr>
                <w:sz w:val="11"/>
                <w:szCs w:val="11"/>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79,649</w:t>
            </w: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 AIP (2)</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102,000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170,000</w:t>
            </w:r>
          </w:p>
        </w:tc>
        <w:tc>
          <w:tcPr>
            <w:tcW w:w="3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200" w:type="dxa"/>
            <w:vAlign w:val="bottom"/>
          </w:tcPr>
          <w:p>
            <w:pPr>
              <w:spacing w:after="0"/>
              <w:rPr>
                <w:sz w:val="11"/>
                <w:szCs w:val="11"/>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Time-Based (3)</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4/3/2017</w:t>
            </w:r>
          </w:p>
        </w:tc>
        <w:tc>
          <w:tcPr>
            <w:tcW w:w="1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52,192</w:t>
            </w:r>
          </w:p>
        </w:tc>
        <w:tc>
          <w:tcPr>
            <w:tcW w:w="160" w:type="dxa"/>
            <w:vAlign w:val="bottom"/>
          </w:tcPr>
          <w:p>
            <w:pPr>
              <w:spacing w:after="0"/>
              <w:rPr>
                <w:sz w:val="11"/>
                <w:szCs w:val="11"/>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148,750</w:t>
            </w:r>
          </w:p>
        </w:tc>
      </w:tr>
      <w:tr>
        <w:trPr>
          <w:trHeight w:val="140"/>
        </w:trPr>
        <w:tc>
          <w:tcPr>
            <w:tcW w:w="20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-2017-2018 LTIP, Performance-Based (3)</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37,188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148,750</w:t>
            </w:r>
          </w:p>
        </w:tc>
        <w:tc>
          <w:tcPr>
            <w:tcW w:w="1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223,125</w:t>
            </w:r>
          </w:p>
        </w:tc>
        <w:tc>
          <w:tcPr>
            <w:tcW w:w="1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313" w:lineRule="exact"/>
        <w:rPr>
          <w:sz w:val="20"/>
          <w:szCs w:val="20"/>
          <w:color w:val="auto"/>
        </w:rPr>
      </w:pPr>
    </w:p>
    <w:p>
      <w:pPr>
        <w:ind w:left="760" w:right="400" w:hanging="376"/>
        <w:spacing w:after="0" w:line="26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The actual grant date of equity awards will only occur if the performance targets are achieved. See footnote 3 below for additional information on the 2017-2018 LTIP.</w:t>
      </w:r>
    </w:p>
    <w:p>
      <w:pPr>
        <w:ind w:left="760" w:right="100" w:hanging="376"/>
        <w:spacing w:after="0" w:line="264" w:lineRule="auto"/>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threshold, target and maximum payouts for each executive were estimated based on achieving 50%, 100% and 150% of the individual payout targets under the 2017 AIP. See “</w:t>
      </w:r>
      <w:r>
        <w:rPr>
          <w:rFonts w:ascii="Times New Roman" w:cs="Times New Roman" w:eastAsia="Times New Roman" w:hAnsi="Times New Roman"/>
          <w:sz w:val="17"/>
          <w:szCs w:val="17"/>
          <w:i w:val="1"/>
          <w:iCs w:val="1"/>
          <w:color w:val="auto"/>
        </w:rPr>
        <w:t>Compensation Components and Fiscal 2017 Compensation Decisions - Performance-based Annual Incentive Plan</w:t>
      </w:r>
    </w:p>
    <w:p>
      <w:pPr>
        <w:ind w:left="760" w:right="22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 2017 AIP</w:t>
      </w:r>
      <w:r>
        <w:rPr>
          <w:rFonts w:ascii="Times New Roman" w:cs="Times New Roman" w:eastAsia="Times New Roman" w:hAnsi="Times New Roman"/>
          <w:sz w:val="18"/>
          <w:szCs w:val="18"/>
          <w:color w:val="auto"/>
        </w:rPr>
        <w:t>” for more information on the targets set under the 2017 AIP. The respective actual cash payment made to each of the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under the 2017 AIP is included in the Summary Compensation Table for fiscal 2017.</w:t>
      </w:r>
    </w:p>
    <w:p>
      <w:pPr>
        <w:ind w:left="760" w:right="160" w:hanging="376"/>
        <w:spacing w:after="0" w:line="249"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2017, the Compensation Committee approved the performance targets for the 2017-2018 LTIP. The performance-based awards represent 50% of the total potential payout under the 2017-2018 LTIP. The amounts in the above table represent the dollar value of any future grant of equity assuming a potential payout at threshold, target and maximum for each executive estimated based on achieving 50%, 100% and 150% of the payout targets set by the Compensation Committee. The actual grant of equity will only occur if the performance targets are achieved. The remaining 50% represents time-based awards for which each executive received RSUs on April 3, 2017. The time-based RSUs vest in two equal tranches, with the first tranche vesting on April 1, 2019 and the second tranche vesting on April 1, 2020. See “</w:t>
      </w:r>
      <w:r>
        <w:rPr>
          <w:rFonts w:ascii="Times New Roman" w:cs="Times New Roman" w:eastAsia="Times New Roman" w:hAnsi="Times New Roman"/>
          <w:sz w:val="18"/>
          <w:szCs w:val="18"/>
          <w:i w:val="1"/>
          <w:iCs w:val="1"/>
          <w:color w:val="auto"/>
        </w:rPr>
        <w:t>Compensation Components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Fiscal 2017 Compensation Decisions - Long-Term Incentive Program - 2017-2018 Performance Period</w:t>
      </w:r>
      <w:r>
        <w:rPr>
          <w:rFonts w:ascii="Times New Roman" w:cs="Times New Roman" w:eastAsia="Times New Roman" w:hAnsi="Times New Roman"/>
          <w:sz w:val="18"/>
          <w:szCs w:val="18"/>
          <w:color w:val="auto"/>
        </w:rPr>
        <w:t>” above for more information on the targets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under the 2017-2018 LTIP.</w:t>
      </w:r>
    </w:p>
    <w:p>
      <w:pPr>
        <w:spacing w:after="0" w:line="2" w:lineRule="exact"/>
        <w:rPr>
          <w:rFonts w:ascii="Times New Roman" w:cs="Times New Roman" w:eastAsia="Times New Roman" w:hAnsi="Times New Roman"/>
          <w:sz w:val="18"/>
          <w:szCs w:val="18"/>
          <w:color w:val="auto"/>
        </w:rPr>
      </w:pPr>
    </w:p>
    <w:p>
      <w:pPr>
        <w:ind w:left="760" w:right="240" w:hanging="376"/>
        <w:spacing w:after="0" w:line="254"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Mr. Laher’s hiring, the Compensation Committee granted to Mr. Laher a restricted stock award. The award vests in three equal installments, with the first tranche vesting on January 30, 2018. In connection with Mr. Laher’s termination of employment on May 16, 2018, the remaining two tranches were forfeited.</w:t>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520"/>
          </w:cols>
          <w:pgMar w:left="240" w:top="547" w:right="139" w:bottom="1440" w:gutter="0" w:footer="0" w:header="0"/>
        </w:sectPr>
      </w:pPr>
    </w:p>
    <w:bookmarkStart w:id="36" w:name="page37"/>
    <w:bookmarkEnd w:id="36"/>
    <w:p>
      <w:pPr>
        <w:ind w:right="4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r>
        <w:rPr>
          <w:rFonts w:ascii="Times New Roman" w:cs="Times New Roman" w:eastAsia="Times New Roman" w:hAnsi="Times New Roman"/>
          <w:sz w:val="18"/>
          <w:szCs w:val="18"/>
          <w:color w:val="auto"/>
        </w:rPr>
        <w:t>. The following table sets forth certain information with respect to outstanding equity awards held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at the end of fiscal 2017.</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OUTSTANDING EQUITY AWARDS AT FISCAL YEAR-END</w:t>
      </w:r>
    </w:p>
    <w:p>
      <w:pPr>
        <w:spacing w:after="0" w:line="234"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4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Plan</w:t>
            </w:r>
          </w:p>
        </w:tc>
        <w:tc>
          <w:tcPr>
            <w:tcW w:w="82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0"/>
              <w:spacing w:after="0" w:line="148" w:lineRule="exact"/>
              <w:rPr>
                <w:sz w:val="20"/>
                <w:szCs w:val="20"/>
                <w:color w:val="auto"/>
              </w:rPr>
            </w:pPr>
            <w:r>
              <w:rPr>
                <w:rFonts w:ascii="Times New Roman" w:cs="Times New Roman" w:eastAsia="Times New Roman" w:hAnsi="Times New Roman"/>
                <w:sz w:val="14"/>
                <w:szCs w:val="14"/>
                <w:b w:val="1"/>
                <w:bCs w:val="1"/>
                <w:color w:val="auto"/>
              </w:rPr>
              <w:t>Plan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82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400" w:type="dxa"/>
            <w:vAlign w:val="bottom"/>
            <w:gridSpan w:val="2"/>
          </w:tcPr>
          <w:p>
            <w:pPr>
              <w:jc w:val="right"/>
              <w:ind w:right="580"/>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That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That</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8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20" w:type="dxa"/>
            <w:vAlign w:val="bottom"/>
          </w:tcPr>
          <w:p>
            <w:pPr>
              <w:spacing w:after="0"/>
              <w:rPr>
                <w:sz w:val="12"/>
                <w:szCs w:val="12"/>
                <w:color w:val="auto"/>
              </w:rPr>
            </w:pPr>
          </w:p>
        </w:tc>
        <w:tc>
          <w:tcPr>
            <w:tcW w:w="72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Have</w:t>
            </w:r>
          </w:p>
        </w:tc>
        <w:tc>
          <w:tcPr>
            <w:tcW w:w="140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20" w:type="dxa"/>
            <w:vAlign w:val="bottom"/>
            <w:gridSpan w:val="2"/>
          </w:tcPr>
          <w:p>
            <w:pPr>
              <w:jc w:val="right"/>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55"/>
        </w:trPr>
        <w:tc>
          <w:tcPr>
            <w:tcW w:w="15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80" w:type="dxa"/>
            <w:vAlign w:val="bottom"/>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3"/>
                <w:szCs w:val="13"/>
                <w:color w:val="auto"/>
              </w:rPr>
            </w:pPr>
          </w:p>
        </w:tc>
        <w:tc>
          <w:tcPr>
            <w:tcW w:w="13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76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David A. Levin</w:t>
            </w:r>
          </w:p>
        </w:tc>
        <w:tc>
          <w:tcPr>
            <w:tcW w:w="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195,942</w:t>
            </w:r>
          </w:p>
        </w:tc>
        <w:tc>
          <w:tcPr>
            <w:tcW w:w="1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5/28/2023</w:t>
            </w:r>
          </w:p>
        </w:tc>
        <w:tc>
          <w:tcPr>
            <w:tcW w:w="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ind w:right="3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78,604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202,798</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142,315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367,173</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15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Peter H. Stratton, Jr.</w:t>
            </w:r>
          </w:p>
        </w:tc>
        <w:tc>
          <w:tcPr>
            <w:tcW w:w="60" w:type="dxa"/>
            <w:vAlign w:val="bottom"/>
          </w:tcPr>
          <w:p>
            <w:pPr>
              <w:spacing w:after="0"/>
              <w:rPr>
                <w:sz w:val="13"/>
                <w:szCs w:val="13"/>
                <w:color w:val="auto"/>
              </w:rPr>
            </w:pPr>
          </w:p>
        </w:tc>
        <w:tc>
          <w:tcPr>
            <w:tcW w:w="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8,587</w:t>
            </w:r>
          </w:p>
        </w:tc>
        <w:tc>
          <w:tcPr>
            <w:tcW w:w="120" w:type="dxa"/>
            <w:vAlign w:val="bottom"/>
          </w:tcPr>
          <w:p>
            <w:pPr>
              <w:spacing w:after="0"/>
              <w:rPr>
                <w:sz w:val="13"/>
                <w:szCs w:val="13"/>
                <w:color w:val="auto"/>
              </w:rPr>
            </w:pPr>
          </w:p>
        </w:tc>
        <w:tc>
          <w:tcPr>
            <w:tcW w:w="980" w:type="dxa"/>
            <w:vAlign w:val="bottom"/>
          </w:tcPr>
          <w:p>
            <w:pPr>
              <w:ind w:left="5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3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3/16/2021</w:t>
            </w:r>
          </w:p>
        </w:tc>
        <w:tc>
          <w:tcPr>
            <w:tcW w:w="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33,816</w:t>
            </w:r>
          </w:p>
        </w:tc>
        <w:tc>
          <w:tcPr>
            <w:tcW w:w="12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49,874</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11,982</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112,478</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Brian S. Reaves</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17,183</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3/16/2021</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46,496</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20,348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52,498</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36,842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95,052</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15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Robert S. Molloy</w:t>
            </w:r>
          </w:p>
        </w:tc>
        <w:tc>
          <w:tcPr>
            <w:tcW w:w="60" w:type="dxa"/>
            <w:vAlign w:val="bottom"/>
          </w:tcPr>
          <w:p>
            <w:pPr>
              <w:spacing w:after="0"/>
              <w:rPr>
                <w:sz w:val="13"/>
                <w:szCs w:val="13"/>
                <w:color w:val="auto"/>
              </w:rPr>
            </w:pPr>
          </w:p>
        </w:tc>
        <w:tc>
          <w:tcPr>
            <w:tcW w:w="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20,606</w:t>
            </w:r>
          </w:p>
        </w:tc>
        <w:tc>
          <w:tcPr>
            <w:tcW w:w="120" w:type="dxa"/>
            <w:vAlign w:val="bottom"/>
          </w:tcPr>
          <w:p>
            <w:pPr>
              <w:spacing w:after="0"/>
              <w:rPr>
                <w:sz w:val="13"/>
                <w:szCs w:val="13"/>
                <w:color w:val="auto"/>
              </w:rPr>
            </w:pPr>
          </w:p>
        </w:tc>
        <w:tc>
          <w:tcPr>
            <w:tcW w:w="980" w:type="dxa"/>
            <w:vAlign w:val="bottom"/>
          </w:tcPr>
          <w:p>
            <w:pPr>
              <w:ind w:left="5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3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3/19/2020</w:t>
            </w:r>
          </w:p>
        </w:tc>
        <w:tc>
          <w:tcPr>
            <w:tcW w:w="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13,955</w:t>
            </w:r>
          </w:p>
        </w:tc>
        <w:tc>
          <w:tcPr>
            <w:tcW w:w="12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3/16/2021</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54,951</w:t>
            </w:r>
          </w:p>
        </w:tc>
        <w:tc>
          <w:tcPr>
            <w:tcW w:w="12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58,623</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109,309</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Kenneth M. Ederle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54,951</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26,453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68,249</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47,894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123,567</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15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Sahal S. Laher</w:t>
            </w: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3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24,136</w:t>
            </w:r>
          </w:p>
        </w:tc>
        <w:tc>
          <w:tcPr>
            <w:tcW w:w="2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62,271</w:t>
            </w:r>
          </w:p>
        </w:tc>
        <w:tc>
          <w:tcPr>
            <w:tcW w:w="100" w:type="dxa"/>
            <w:vAlign w:val="bottom"/>
          </w:tcPr>
          <w:p>
            <w:pPr>
              <w:spacing w:after="0"/>
              <w:rPr>
                <w:sz w:val="13"/>
                <w:szCs w:val="13"/>
                <w:color w:val="auto"/>
              </w:rPr>
            </w:pPr>
          </w:p>
        </w:tc>
        <w:tc>
          <w:tcPr>
            <w:tcW w:w="1400" w:type="dxa"/>
            <w:vAlign w:val="bottom"/>
            <w:gridSpan w:val="2"/>
          </w:tcPr>
          <w:p>
            <w:pPr>
              <w:jc w:val="right"/>
              <w:ind w:right="5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33,333</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85,999</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134,655</w:t>
            </w:r>
          </w:p>
        </w:tc>
        <w:tc>
          <w:tcPr>
            <w:tcW w:w="100" w:type="dxa"/>
            <w:vAlign w:val="bottom"/>
          </w:tcPr>
          <w:p>
            <w:pPr>
              <w:spacing w:after="0"/>
              <w:rPr>
                <w:sz w:val="16"/>
                <w:szCs w:val="16"/>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760" w:hanging="376"/>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$2.58 on February 2, 2018.</w:t>
      </w:r>
    </w:p>
    <w:p>
      <w:pPr>
        <w:spacing w:after="0" w:line="115" w:lineRule="exact"/>
        <w:rPr>
          <w:rFonts w:ascii="Times New Roman" w:cs="Times New Roman" w:eastAsia="Times New Roman" w:hAnsi="Times New Roman"/>
          <w:sz w:val="18"/>
          <w:szCs w:val="18"/>
          <w:color w:val="auto"/>
        </w:rPr>
      </w:pPr>
    </w:p>
    <w:p>
      <w:pPr>
        <w:ind w:left="760" w:hanging="376"/>
        <w:spacing w:after="0" w:line="264"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14, 2016 in connection with our 2016-2017 LTIP and represent the unvested portion of these time-based awards. Mr. Stratton received a supplemental grant of RSUs on May 11, 2016 due to an increase in his base salary. Mr. Laher received a grant of RSUs pursuant to the 2016-2017 LTIP on January 30, 2017 and as result of his termination of employment these awards were forfeited.</w:t>
      </w:r>
    </w:p>
    <w:p>
      <w:pPr>
        <w:spacing w:after="0" w:line="69" w:lineRule="exact"/>
        <w:rPr>
          <w:rFonts w:ascii="Times New Roman" w:cs="Times New Roman" w:eastAsia="Times New Roman" w:hAnsi="Times New Roman"/>
          <w:sz w:val="18"/>
          <w:szCs w:val="18"/>
          <w:color w:val="auto"/>
        </w:rPr>
      </w:pPr>
    </w:p>
    <w:p>
      <w:pPr>
        <w:ind w:left="760" w:right="280" w:hanging="376"/>
        <w:spacing w:after="0" w:line="280"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3, 2017 in connection with our 2017-2018 LTIP and represent the unvested portion of these time-based awards. In connection with Mr. Laher’s termination of employment, his RSUs were forfeited.</w:t>
      </w:r>
    </w:p>
    <w:p>
      <w:pPr>
        <w:spacing w:after="0" w:line="54" w:lineRule="exact"/>
        <w:rPr>
          <w:rFonts w:ascii="Times New Roman" w:cs="Times New Roman" w:eastAsia="Times New Roman" w:hAnsi="Times New Roman"/>
          <w:sz w:val="18"/>
          <w:szCs w:val="18"/>
          <w:color w:val="auto"/>
        </w:rPr>
      </w:pPr>
    </w:p>
    <w:p>
      <w:pPr>
        <w:ind w:left="760" w:right="180" w:hanging="376"/>
        <w:spacing w:after="0" w:line="264"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2017, in connection with Mr. Laher’s hiring, he received 50,000 shares of restricted stock. The shares vest in three equal tranches, with the first tranche vesting on January 30, 2018. In connection with his termination of employment on May 16, 2018, the outstanding 33,333 shares of restricted stock were forfeited.</w:t>
      </w:r>
    </w:p>
    <w:p>
      <w:pPr>
        <w:spacing w:after="0" w:line="17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Exercises and Stock Vested Table. </w:t>
      </w:r>
      <w:r>
        <w:rPr>
          <w:rFonts w:ascii="Times New Roman" w:cs="Times New Roman" w:eastAsia="Times New Roman" w:hAnsi="Times New Roman"/>
          <w:sz w:val="18"/>
          <w:szCs w:val="18"/>
          <w:color w:val="auto"/>
        </w:rPr>
        <w:t>The following table sets forth information for the Named Executive Officers with respect to the exercise of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and the vesting of stock awards during fiscal 2017. No options were exercised by any Named Executive Officer in fiscal 2017.</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7" w:name="page38"/>
    <w:bookmarkEnd w:id="3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2017 OPTION EXERCISES AND STOCK VESTED</w:t>
      </w:r>
    </w:p>
    <w:p>
      <w:pPr>
        <w:spacing w:after="0" w:line="242" w:lineRule="exact"/>
        <w:rPr>
          <w:sz w:val="20"/>
          <w:szCs w:val="20"/>
          <w:color w:val="auto"/>
        </w:rPr>
      </w:pPr>
    </w:p>
    <w:tbl>
      <w:tblPr>
        <w:tblLayout w:type="fixed"/>
        <w:tblInd w:w="600" w:type="dxa"/>
        <w:tblCellMar>
          <w:top w:w="0" w:type="dxa"/>
          <w:left w:w="0" w:type="dxa"/>
          <w:bottom w:w="0" w:type="dxa"/>
          <w:right w:w="0" w:type="dxa"/>
        </w:tblCellMar>
      </w:tblPr>
      <w:tr>
        <w:trPr>
          <w:trHeight w:val="165"/>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8"/>
        </w:trPr>
        <w:tc>
          <w:tcPr>
            <w:tcW w:w="6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18"/>
              <w:spacing w:after="0" w:line="13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100" w:type="dxa"/>
            <w:vAlign w:val="bottom"/>
          </w:tcPr>
          <w:p>
            <w:pPr>
              <w:spacing w:after="0"/>
              <w:rPr>
                <w:sz w:val="11"/>
                <w:szCs w:val="11"/>
                <w:color w:val="auto"/>
              </w:rPr>
            </w:pPr>
          </w:p>
        </w:tc>
      </w:tr>
      <w:tr>
        <w:trPr>
          <w:trHeight w:val="148"/>
        </w:trPr>
        <w:tc>
          <w:tcPr>
            <w:tcW w:w="6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Vested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3"/>
                <w:szCs w:val="13"/>
                <w:b w:val="1"/>
                <w:bCs w:val="1"/>
                <w:color w:val="auto"/>
                <w:w w:val="98"/>
              </w:rPr>
              <w:t>on Vesting</w:t>
            </w:r>
          </w:p>
        </w:tc>
      </w:tr>
      <w:tr>
        <w:trPr>
          <w:trHeight w:val="165"/>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00" w:type="dxa"/>
            <w:vAlign w:val="bottom"/>
          </w:tcPr>
          <w:p>
            <w:pPr>
              <w:spacing w:after="0"/>
              <w:rPr>
                <w:sz w:val="14"/>
                <w:szCs w:val="14"/>
                <w:color w:val="auto"/>
              </w:rPr>
            </w:pPr>
          </w:p>
        </w:tc>
      </w:tr>
      <w:tr>
        <w:trPr>
          <w:trHeight w:val="222"/>
        </w:trPr>
        <w:tc>
          <w:tcPr>
            <w:tcW w:w="6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20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85,514</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00" w:type="dxa"/>
            <w:vAlign w:val="bottom"/>
          </w:tcPr>
          <w:p>
            <w:pPr>
              <w:spacing w:after="0"/>
              <w:rPr>
                <w:sz w:val="19"/>
                <w:szCs w:val="19"/>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S. Reaves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40,584</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47,964</w:t>
            </w:r>
          </w:p>
        </w:tc>
        <w:tc>
          <w:tcPr>
            <w:tcW w:w="100" w:type="dxa"/>
            <w:vAlign w:val="bottom"/>
          </w:tcPr>
          <w:p>
            <w:pPr>
              <w:spacing w:after="0"/>
              <w:rPr>
                <w:sz w:val="19"/>
                <w:szCs w:val="19"/>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Kenneth M. Ederle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47,964</w:t>
            </w:r>
          </w:p>
        </w:tc>
        <w:tc>
          <w:tcPr>
            <w:tcW w:w="100" w:type="dxa"/>
            <w:vAlign w:val="bottom"/>
            <w:shd w:val="clear" w:color="auto" w:fill="CFF0FC"/>
          </w:tcPr>
          <w:p>
            <w:pPr>
              <w:spacing w:after="0"/>
              <w:rPr>
                <w:sz w:val="19"/>
                <w:szCs w:val="19"/>
                <w:color w:val="auto"/>
              </w:rPr>
            </w:pP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Sahal S. Laher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left="380" w:right="240" w:hanging="372"/>
        <w:spacing w:after="0" w:line="259"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“All Other Compensation” table.</w:t>
      </w:r>
    </w:p>
    <w:p>
      <w:pPr>
        <w:spacing w:after="0" w:line="79"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In May 2018, in connection with our cost reduction initiatives, the Board of Directors ratified and approved the recommendation of our management team to suspend any further employer contributions to the 401(k) Plan, effective July 1, 2018 to December 31, 2019 at the latest.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 Insurance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key man life insurance policy on the life of Mr. Levin in the amount of $2,000,000.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information with respect to our equity compensation plans as of February 3, 2018: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200" w:type="dxa"/>
            <w:vAlign w:val="bottom"/>
          </w:tcPr>
          <w:p>
            <w:pPr>
              <w:spacing w:after="0"/>
              <w:rPr>
                <w:sz w:val="12"/>
                <w:szCs w:val="12"/>
                <w:color w:val="auto"/>
              </w:rPr>
            </w:pPr>
          </w:p>
        </w:tc>
        <w:tc>
          <w:tcPr>
            <w:tcW w:w="170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3"/>
                <w:szCs w:val="13"/>
                <w:b w:val="1"/>
                <w:bCs w:val="1"/>
                <w:color w:val="auto"/>
              </w:rPr>
              <w:t>exercise price of</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200" w:type="dxa"/>
            <w:vAlign w:val="bottom"/>
          </w:tcPr>
          <w:p>
            <w:pPr>
              <w:spacing w:after="0"/>
              <w:rPr>
                <w:sz w:val="12"/>
                <w:szCs w:val="12"/>
                <w:color w:val="auto"/>
              </w:rPr>
            </w:pPr>
          </w:p>
        </w:tc>
        <w:tc>
          <w:tcPr>
            <w:tcW w:w="1700" w:type="dxa"/>
            <w:vAlign w:val="bottom"/>
            <w:gridSpan w:val="2"/>
          </w:tcPr>
          <w:p>
            <w:pPr>
              <w:jc w:val="center"/>
              <w:ind w:right="460"/>
              <w:spacing w:after="0" w:line="14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3"/>
                <w:szCs w:val="13"/>
                <w:b w:val="1"/>
                <w:bCs w:val="1"/>
                <w:color w:val="auto"/>
              </w:rPr>
              <w:t>outstanding options,</w:t>
            </w:r>
          </w:p>
        </w:tc>
        <w:tc>
          <w:tcPr>
            <w:tcW w:w="200" w:type="dxa"/>
            <w:vAlign w:val="bottom"/>
          </w:tcPr>
          <w:p>
            <w:pPr>
              <w:spacing w:after="0"/>
              <w:rPr>
                <w:sz w:val="12"/>
                <w:szCs w:val="12"/>
                <w:color w:val="auto"/>
              </w:rPr>
            </w:pPr>
          </w:p>
        </w:tc>
        <w:tc>
          <w:tcPr>
            <w:tcW w:w="170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3"/>
                <w:szCs w:val="13"/>
                <w:b w:val="1"/>
                <w:bCs w:val="1"/>
                <w:color w:val="auto"/>
              </w:rPr>
              <w:t>options, warrants</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48"/>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3"/>
                <w:szCs w:val="13"/>
                <w:b w:val="1"/>
                <w:bCs w:val="1"/>
                <w:color w:val="auto"/>
              </w:rPr>
              <w:t>warrants and rights</w:t>
            </w:r>
          </w:p>
        </w:tc>
        <w:tc>
          <w:tcPr>
            <w:tcW w:w="200" w:type="dxa"/>
            <w:vAlign w:val="bottom"/>
          </w:tcPr>
          <w:p>
            <w:pPr>
              <w:spacing w:after="0"/>
              <w:rPr>
                <w:sz w:val="12"/>
                <w:szCs w:val="12"/>
                <w:color w:val="auto"/>
              </w:rPr>
            </w:pPr>
          </w:p>
        </w:tc>
        <w:tc>
          <w:tcPr>
            <w:tcW w:w="170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3"/>
                <w:szCs w:val="13"/>
                <w:b w:val="1"/>
                <w:bCs w:val="1"/>
                <w:color w:val="auto"/>
              </w:rPr>
              <w:t>and rights</w:t>
            </w:r>
          </w:p>
        </w:tc>
        <w:tc>
          <w:tcPr>
            <w:tcW w:w="19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65"/>
        </w:trPr>
        <w:tc>
          <w:tcPr>
            <w:tcW w:w="5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t>
            </w:r>
          </w:p>
        </w:tc>
        <w:tc>
          <w:tcPr>
            <w:tcW w:w="20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(b)</w:t>
            </w: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(c)</w:t>
            </w:r>
          </w:p>
        </w:tc>
      </w:tr>
      <w:tr>
        <w:trPr>
          <w:trHeight w:val="222"/>
        </w:trPr>
        <w:tc>
          <w:tcPr>
            <w:tcW w:w="5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1,195,910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6,536,551</w:t>
            </w:r>
          </w:p>
        </w:tc>
        <w:tc>
          <w:tcPr>
            <w:tcW w:w="340" w:type="dxa"/>
            <w:vAlign w:val="bottom"/>
            <w:tcBorders>
              <w:top w:val="single" w:sz="8" w:color="CFF0FC"/>
            </w:tcBorders>
            <w:shd w:val="clear" w:color="auto" w:fill="CFF0FC"/>
          </w:tcPr>
          <w:p>
            <w:pPr>
              <w:spacing w:after="0"/>
              <w:rPr>
                <w:sz w:val="19"/>
                <w:szCs w:val="19"/>
                <w:color w:val="auto"/>
              </w:rPr>
            </w:pPr>
          </w:p>
        </w:tc>
      </w:tr>
      <w:tr>
        <w:trPr>
          <w:trHeight w:val="22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15"/>
                <w:szCs w:val="15"/>
                <w:color w:val="auto"/>
              </w:rPr>
              <w:t>(2)</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291,409</w:t>
            </w:r>
          </w:p>
        </w:tc>
        <w:tc>
          <w:tcPr>
            <w:tcW w:w="340" w:type="dxa"/>
            <w:vAlign w:val="bottom"/>
          </w:tcPr>
          <w:p>
            <w:pPr>
              <w:spacing w:after="0"/>
              <w:rPr>
                <w:sz w:val="19"/>
                <w:szCs w:val="19"/>
                <w:color w:val="auto"/>
              </w:rPr>
            </w:pPr>
          </w:p>
        </w:tc>
      </w:tr>
      <w:tr>
        <w:trPr>
          <w:trHeight w:val="222"/>
        </w:trPr>
        <w:tc>
          <w:tcPr>
            <w:tcW w:w="56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6,827,960</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18" w:lineRule="exact"/>
        <w:rPr>
          <w:sz w:val="20"/>
          <w:szCs w:val="20"/>
          <w:color w:val="auto"/>
        </w:rPr>
      </w:pPr>
    </w:p>
    <w:p>
      <w:pPr>
        <w:ind w:left="760" w:right="860" w:hanging="376"/>
        <w:spacing w:after="0" w:line="28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2006 Incentive Compensation Plan (as amended, the “2006 Plan”) expired on July 31, 2016 and was replaced by our 2016 Incentive Compensation Plan approved by our stockholders in August 2016 (the “2016 Plan”).</w:t>
      </w:r>
    </w:p>
    <w:p>
      <w:pPr>
        <w:spacing w:after="0" w:line="162" w:lineRule="exact"/>
        <w:rPr>
          <w:rFonts w:ascii="Times New Roman" w:cs="Times New Roman" w:eastAsia="Times New Roman" w:hAnsi="Times New Roman"/>
          <w:sz w:val="18"/>
          <w:szCs w:val="18"/>
          <w:color w:val="auto"/>
        </w:rPr>
      </w:pPr>
    </w:p>
    <w:p>
      <w:pPr>
        <w:ind w:left="760" w:right="24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1,195,910 options outstanding at February 3, 2018, 1,161,408 were issued from the 2006 Plan. If any of these options terminate, expire or are cancelled without having been exercised or paid, they will be added back and become available for issuance under the 2016 Plan.</w:t>
      </w:r>
    </w:p>
    <w:p>
      <w:pPr>
        <w:spacing w:after="0" w:line="54" w:lineRule="exact"/>
        <w:rPr>
          <w:rFonts w:ascii="Times New Roman" w:cs="Times New Roman" w:eastAsia="Times New Roman" w:hAnsi="Times New Roman"/>
          <w:sz w:val="18"/>
          <w:szCs w:val="18"/>
          <w:color w:val="auto"/>
        </w:rPr>
      </w:pPr>
    </w:p>
    <w:p>
      <w:pPr>
        <w:ind w:left="760" w:right="80" w:hanging="376"/>
        <w:spacing w:after="0" w:line="28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Third Amended and Restated Non-Employee Director Compensation Plan (“Director Plan”), we have 500,000 shares authorized for stock issuances in lieu of cash director fees, of which 291,409 shares were available at February 3,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Seymour Holtzman</w:t>
      </w:r>
    </w:p>
    <w:p>
      <w:pPr>
        <w:spacing w:after="0" w:line="1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Pursuant to an Employment and Chairman Compensation Agreement entered into on August 7, 2014 and amended on May 25, 2017, Mr. Holtzman serves as both an employee of the Company, reporting to the Board, and, in his capacity as Executive Chairman of the Board, with the duties of the Chairman of the Board as set forth in our By-Laws. The current expiration date of the agreement is August 7, 2019. As compensation for the employment services,</w:t>
      </w:r>
    </w:p>
    <w:p>
      <w:pPr>
        <w:spacing w:after="0" w:line="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Mr. Holtzman receives an annual base salary of $24,000 and, as compensation for his services as Executive Chairman, he receives annual compensation of $200,000.</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complete summary of all compensation and consulting fees paid to Mr. Holtzman is described above under “</w:t>
      </w:r>
      <w:r>
        <w:rPr>
          <w:rFonts w:ascii="Times New Roman" w:cs="Times New Roman" w:eastAsia="Times New Roman" w:hAnsi="Times New Roman"/>
          <w:sz w:val="18"/>
          <w:szCs w:val="18"/>
          <w:i w:val="1"/>
          <w:iCs w:val="1"/>
          <w:color w:val="auto"/>
        </w:rPr>
        <w:t>Director Compensation- Executive Chairman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Oliver Walsh</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Mr. Walsh was elected as a director at the Company’s Annual Meeting of Stockholders on August 3, 2017. Effective as of August 14, 2017, Mr. Walsh entered into a temporary consulting agreement with the Company to serve as the Interim Chief Marketing Officer through the Fall and Holiday selling seasons, while the Company searched for a Chief Marketing Officer. Pursuant to the terms of the temporary consulting agreement, Mr. Walsh was entitled to receive compensation at a rate of $7,000 per week plus reimbursement for business and travel expenses. The temporary consulting agreement ended on December 18, 2017. For fiscal 2017, Mr. Walsh received total compensation pursuant to the temporary consulting agreement, excluding reimbursement of expenses, of $127,400.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Audit Committee Charter provides that our Audit Committee shall review all related party transactions on an ongoing basis and all such transactions must be approved by the Audit Committee, to the extent required by the Sarbanes−Oxley Act of 2002, the Securities Exchange Commission and NASDAQ. NASDAQ provides that such oversight can be conducted by either a company’s audit committee or another independent body of the board of</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directors. Accordingly, the Audit Committee determined that approval of Mr. Holtzman’s Employment and Chairman Compensation Agreement would be the responsibility of the Compensation Committee.</w:t>
      </w:r>
    </w:p>
    <w:p>
      <w:pPr>
        <w:spacing w:after="0" w:line="182"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For all other related party transactions, the review and approval of such transactions is the responsibility of our Audit Committee, including the review and approval of the temporary consulting agreement with Mr. Walsh, which was approved by the Audit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w:t>
      </w:r>
    </w:p>
    <w:p>
      <w:pPr>
        <w:spacing w:after="0" w:line="1"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file. Based solely upon a review of Forms 3, 4 and 5 and amendments thereto furnished to us by our officers and directors during fiscal 2017, we believe that the Reporting Persons complied with all applicable Section 16(a) reporting requirements and that all required reports were filed in a timely manner, except for one Form 4 reporting the acquisition of restricted stock units of the Company, which was filed late for Mr. Gaeta.</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47" w:right="27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227"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As required under the Dodd-Frank Act, and in accordance with the recommendation by our Board and approval by our stockholders in 2017 of an annual "Say-on-Pay" vote, the Board of Directors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consultants to ensure that the compensation paid to our Named Executive Officers, as well as the structure of our incentive programs, is consistent with that of our identified peers.</w:t>
      </w:r>
    </w:p>
    <w:p>
      <w:pPr>
        <w:spacing w:after="0" w:line="18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of this Proxy Statement, including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provides a summary of our financial performance in fiscal 2017 and describes in detail our executive compensation programs and the decisions made by the Compensation Committee with respect to compensation for fiscal 2017. We encourage you to read our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for a complete discussion of our executive compensation program, including detailed information about the fiscal 2017 compensation of the Named Executive Officers.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Named Executive Officers. The affirmative vote of a majority of the shares of common stock properly cast at the Annual Meeting, in person or by proxy, is necessary to approve this proposal. Any abstentions or broker non-votes will not be counted as votes cast, and therefore will have no effect on the outcome of voting on this proposal. Accordingly, we ask our stockholders to vote on the following resolution at the Annual Meeting:</w:t>
      </w:r>
    </w:p>
    <w:p>
      <w:pPr>
        <w:spacing w:after="0" w:line="187"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3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approval of the compensation of our Named Executive Officers as disclosed in this Proxy Statement.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41" w:name="page42"/>
    <w:bookmarkEnd w:id="41"/>
    <w:p>
      <w:pPr>
        <w:ind w:left="516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AMENDMENT TO OUR RESTATED CERTIFICATE OF INCORPORATION TO MODIFY CERTAIN PROTECTIVE TRANSFER</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RESTRICTIONS DESIGNED TO PRESERVE OUR ABILITY TO UTILIZE OUR NET OPERATING LOSS (“NOL”) CARRYFORWARDS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In August 2009, following stockholder approval, we amended our Restated Certificate of Incorporation (the “Certificate of Incorporation”) to restrict certain transfers of our common stock and other securities of the Company (the “NOL Protective Provisions”) that could adversely affect our ability to utilize our net operating loss carryforwards (“NOLs”) and certain income tax credits to reduce our federal income taxes. These tax attributes are defined in our Certificate of Incorporation as the “Tax Benefits.”</w:t>
      </w:r>
    </w:p>
    <w:p>
      <w:pPr>
        <w:spacing w:after="0" w:line="14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Board believes that the NOL Protective Provisions continue to be an important tool in preserving our ability to utilize the value of our NOLs and other tax assets for the foreseeable future. However, our Board also determined that the NOL Protective Provisions could be modified to provide greater flexibility for the Board to waive the transfer restrictions on a case-by-case basis where the Board determines that the transfer would not be prohibited under the NOL Protective Provisions, or, with respect to a purported prior acquisition of common stock or other securities of the Company, where the Board determines, after taking into account the preservation of the Tax Benefits, that such purported prior acquisition would be in the best interests of the Company and its stockholders.</w:t>
      </w:r>
    </w:p>
    <w:p>
      <w:pPr>
        <w:spacing w:after="0" w:line="15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Accordingly, the Board of Directors has unanimously adopted resolutions approving and declaring advisable an amendment to the Certificate of Incorporation as described below. The complete text of the proposed amendment to our Certificate of Incorporation (the “Certificate Amendment”) is attached as Appendix A to this Proxy Statement and is incorporated by reference herein. Appendix A is marked to show the proposed amendments to the existing NOL Protective Provisions.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take effect, the Certificate Amendment must be approved by our stockholders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NOL Protective Provisions</w:t>
      </w:r>
    </w:p>
    <w:p>
      <w:pPr>
        <w:spacing w:after="0" w:line="198"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Value of our NOLS. </w:t>
      </w:r>
      <w:r>
        <w:rPr>
          <w:rFonts w:ascii="Times New Roman" w:cs="Times New Roman" w:eastAsia="Times New Roman" w:hAnsi="Times New Roman"/>
          <w:sz w:val="18"/>
          <w:szCs w:val="18"/>
          <w:color w:val="auto"/>
        </w:rPr>
        <w:t>Our NOLs are a significant asset that could reduce our federal income tax obligations for a significant period of time. As noted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filed with the SEC on March 23, 2018, as of February 3, 2018, for federal income tax purposes, the Company had NOLs of $141.4 million that expire from 2022 to 2036 and NOLs of $16.1 million that do not expire. Accordingly, our Board believes that the NOL Protective Provisions are an important tool in preserving the value of a significant corporate asset.</w:t>
      </w:r>
    </w:p>
    <w:p>
      <w:pPr>
        <w:spacing w:after="0" w:line="13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382 Limits on Use. </w:t>
      </w:r>
      <w:r>
        <w:rPr>
          <w:rFonts w:ascii="Times New Roman" w:cs="Times New Roman" w:eastAsia="Times New Roman" w:hAnsi="Times New Roman"/>
          <w:sz w:val="18"/>
          <w:szCs w:val="18"/>
          <w:color w:val="auto"/>
        </w:rPr>
        <w:t>Certain transfers of our stock and other securities could result in our undergoing an “ownership change” as defined in Section 382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Internal Revenue Code of 1986, as amended, and the related Treasury Regulations (together, “Section 382”). If that were to happen, our ability to use our NOLs and credits to reduce our current and future federal income taxes subsequent to the ownership change would be significantly reduced. Generally, an ownership change occurs under Section 382 if one or more “5-percent shareholders” (which in general includes stockholders who own 5% or more in value of a company’s capital stock) collectively increase their aggregate percentage ownership by more than 50 percentage points over the lowest percentage of our stock owned by such stockholders during the preceding three-year period. For example, if a single stockholder acquires more than 50% of our common stock within a three-year period, an ownership change would occur. Similarly, if ten persons, none of whom own any shares of our common stock, each acquire at least 5% of our common stock within a three-year period (and such ten persons own, in the aggregate, more than 50%), an ownership change would occur under Section 382. The amount of our NOLs has not been audited or otherwise validated by the IRS. As mentioned above, calculating whether an “ownership change” has occurred is subject to uncertainty, both because of the complexity and ambiguity of Section 382 and because of limitations on a publicly traded company’s knowledge as to the ownership of, and transactions in, its securities. Therefore, we cannot assure you that the IRS will not claim that we experienced an “ownership change” and attempt to reduce or eliminate the benefit of our NOLs even if the NOL Protective Provisions, as amended by the Certificate Amendment, are in place.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Existing NOL Protective Provisions</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 NOL Protective Provisions generally restrict any person or entity from attempting to transfer (which includes any direct or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sale, transfer, assignment, conveyance, pledge or other disposition) any of our stock (or options, warrants or other rights to acquire our stock, or securities convertible or exchangeable into our stock), to the extent that the transfer would (i) create or result in an individual or entity becoming a 5% shareholder of our stock for purposes of Section 382 or (ii) increase the stock ownership percentage of any existing 5% shareholder. Any transfer that violates the NOL Protective Provisions is null and void ab initio and shall not be effective to transfer any record, legal, beneficial or any other ownership of the number of shares which result in the violation of the NOL Protective Provisions.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2" w:name="page43"/>
    <w:bookmarkEnd w:id="42"/>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Authorization of Transfers of Stock</w:t>
      </w:r>
      <w:r>
        <w:rPr>
          <w:rFonts w:ascii="Times New Roman" w:cs="Times New Roman" w:eastAsia="Times New Roman" w:hAnsi="Times New Roman"/>
          <w:sz w:val="18"/>
          <w:szCs w:val="18"/>
          <w:color w:val="auto"/>
        </w:rPr>
        <w:t>. Under the NOL Protective Provisions, our Board may authorize an acquisition of stock or other securities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violate the NOL Protective Provisions if the Board of Directors determines, in its sole discretion, after taking into account the preservation of the Tax Benefits, that such acquisition would be in the best interests of the Company and its stockholders. Any such authorizations are subject to any conditions on the acquisition or the acquiror, any representations or opinions of counsel from the acquiror and any reimbursement to the Company for any costs or expenses associated with the Board of Directors’ review of the proposed acquisition, in each case as imposed by the Board of Directors.</w:t>
      </w:r>
    </w:p>
    <w:p>
      <w:pPr>
        <w:spacing w:after="0" w:line="14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 xml:space="preserve">The foregoing is a brief summary of the existing NOL Protective Provisions in our Certificate of Incorporation, a copy of which is included in our Current Report on Form 8-K filed with the SEC on August 28, 2009 and is incorporated by reference herein. </w:t>
      </w:r>
      <w:r>
        <w:rPr>
          <w:rFonts w:ascii="Times New Roman" w:cs="Times New Roman" w:eastAsia="Times New Roman" w:hAnsi="Times New Roman"/>
          <w:sz w:val="18"/>
          <w:szCs w:val="18"/>
          <w:b w:val="1"/>
          <w:bCs w:val="1"/>
          <w:color w:val="auto"/>
        </w:rPr>
        <w:t>You are urged to read the NOL Protective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their entirety, as those terms (and not this summary) govern our legal rights and those of our stockholders.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Certificate Amendment</w:t>
      </w:r>
    </w:p>
    <w:p>
      <w:pPr>
        <w:spacing w:after="0" w:line="187"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7"/>
          <w:szCs w:val="17"/>
          <w:color w:val="auto"/>
        </w:rPr>
        <w:t>The Certificate Amendment would expand the circumstances in which our Board of Directors may determine whether a prohibited transfer has occurred or authorize a purported prior acquisition of stock or other securities that could violate the NOL Protective Provisions. In particular, the Certificate Amendment:</w:t>
      </w:r>
    </w:p>
    <w:p>
      <w:pPr>
        <w:spacing w:after="0" w:line="100" w:lineRule="exact"/>
        <w:rPr>
          <w:sz w:val="20"/>
          <w:szCs w:val="20"/>
          <w:color w:val="auto"/>
        </w:rPr>
      </w:pPr>
    </w:p>
    <w:p>
      <w:pPr>
        <w:jc w:val="both"/>
        <w:ind w:left="820" w:hanging="382"/>
        <w:spacing w:after="0" w:line="264"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modify the definition of “Prohibited Transfer” such that, with respect any transfer that would not result in an “ownership change,” the Board may determine, in its sole discretion and subject to any conditions it deems reasonable and appropriate in connection with such determination, that such transfer is not a Prohibited Transfer; and</w:t>
      </w:r>
    </w:p>
    <w:p>
      <w:pPr>
        <w:spacing w:after="0" w:line="136" w:lineRule="exact"/>
        <w:rPr>
          <w:rFonts w:ascii="Times New Roman" w:cs="Times New Roman" w:eastAsia="Times New Roman" w:hAnsi="Times New Roman"/>
          <w:sz w:val="18"/>
          <w:szCs w:val="18"/>
          <w:color w:val="auto"/>
        </w:rPr>
      </w:pPr>
    </w:p>
    <w:p>
      <w:pPr>
        <w:ind w:left="820" w:right="60" w:hanging="382"/>
        <w:spacing w:after="0" w:line="253"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create a new Section 4.3.2(c) allowing the Board of Directors to authorize an acquisition that has purported to have occurred if the Board of Directors determines, in its sole discretion, that, after taking into account the preservation of the Tax Benefits and determining that such purported prior acquisition would not result in an “ownership change,” would be in the best interests of the Company and its stockholders. As in the case of any authorization under the existing NOL Protective Provisions, any authorization of a purported prior acquisition would be subject to any conditions on the acquisition or the acquiror, any representations or opinions of counsel from the acquiror and any reimbursement to the Company for any costs or expenses associated with the Board of Directors’ review of the proposed acquisition, in each case as imposed by the Board of Directors. The Board of Directors believes that this change balances the important goal of protecting our Tax Benefits while giving the Board of Directors additional flexibility to consider stockholder transfers under the NOL Protective Provisions.</w:t>
      </w:r>
    </w:p>
    <w:p>
      <w:pPr>
        <w:spacing w:after="0" w:line="15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In addition, as permitted by the Delaware General Corporation Law, the Certificate Amendment also would eliminate provisions in the Certificate of Incorporation that were necessary to effect a reclassification of our common stock that has already taken effect. The elimination of such provisions does not affect in any way the reclassification that has already taken effect.</w:t>
      </w:r>
    </w:p>
    <w:p>
      <w:pPr>
        <w:spacing w:after="0" w:line="14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 xml:space="preserve">The foregoing is a brief summary of the proposed changes to our Certificate of Incorporation that would be implemented by the Certificate Amendment. </w:t>
      </w:r>
      <w:r>
        <w:rPr>
          <w:rFonts w:ascii="Times New Roman" w:cs="Times New Roman" w:eastAsia="Times New Roman" w:hAnsi="Times New Roman"/>
          <w:sz w:val="17"/>
          <w:szCs w:val="17"/>
          <w:b w:val="1"/>
          <w:bCs w:val="1"/>
          <w:color w:val="auto"/>
        </w:rPr>
        <w:t>You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are urged to read the Certificate Amendment in its entirety as set forth in Appendix A, as its terms (and not this summary) will govern our legal rights and those of our stockholders if the Certificate Amendment is approved and becomes effective. </w:t>
      </w:r>
      <w:r>
        <w:rPr>
          <w:rFonts w:ascii="Times New Roman" w:cs="Times New Roman" w:eastAsia="Times New Roman" w:hAnsi="Times New Roman"/>
          <w:sz w:val="17"/>
          <w:szCs w:val="17"/>
          <w:color w:val="auto"/>
        </w:rPr>
        <w:t>The Certificate Amendment should be read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the existing NOL Protective Provisions. For reference, Appendix A is marked to show its revisions to the existing NOL Protective 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87" w:lineRule="exact"/>
        <w:rPr>
          <w:sz w:val="20"/>
          <w:szCs w:val="20"/>
          <w:color w:val="auto"/>
        </w:rPr>
      </w:pPr>
    </w:p>
    <w:p>
      <w:pPr>
        <w:ind w:right="900"/>
        <w:spacing w:after="0" w:line="280" w:lineRule="auto"/>
        <w:rPr>
          <w:sz w:val="20"/>
          <w:szCs w:val="20"/>
          <w:color w:val="auto"/>
        </w:rPr>
      </w:pPr>
      <w:r>
        <w:rPr>
          <w:rFonts w:ascii="Times New Roman" w:cs="Times New Roman" w:eastAsia="Times New Roman" w:hAnsi="Times New Roman"/>
          <w:sz w:val="18"/>
          <w:szCs w:val="18"/>
          <w:color w:val="auto"/>
        </w:rPr>
        <w:t>The affirmative vote by the holders of at least a majority of our outstanding common stock is required for approval and adoption of the Certificate Amendment. Any abstentions and broker non-votes will have the same effect as a vote “AGAINST” this proposal.</w:t>
      </w:r>
    </w:p>
    <w:p>
      <w:pPr>
        <w:spacing w:after="0" w:line="13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Certificate Amendment, if approved, would become effective upon its filing with the office of the Secretary of State of the State of Delaware, which we expect to do as soon as practical after the Certificate Amendment is approved. Even if approved by our stockholders, our Board of Directors retains the authority to abandon the Certificate Amendment for any reason at any time before the effectiveness of its filing with the office of the Secretary of State of the State of Delaware. If our stockholders do not approve the Certificate Amendment at the Annual Meeting, then the NOL Protective Provisions will remain in full force and effect as currently set forth in our Certificate of Incorporation.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adoption of the Certificate Amendment.</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3" w:name="page44"/>
    <w:bookmarkEnd w:id="43"/>
    <w:p>
      <w:pPr>
        <w:ind w:left="516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1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5"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color w:val="auto"/>
        </w:rPr>
        <w:t>Subject to ratification by our stockholders, the Audit Committee has appointed KPMG LLP (“KPMG”) as our independent registered public accounting firm for the fiscal year ending February 2, 2019, subject to completion of KPMG’s customary client acceptance procedures. KPMG has served as our independent registered public accounting firm since June 6, 2013.</w:t>
      </w:r>
    </w:p>
    <w:p>
      <w:pPr>
        <w:spacing w:after="0" w:line="17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8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Representatives of KPMG are expected to be present at the annual meeting to respond to appropriate stockholders' questions and to make any statements they consider appropriate.</w:t>
      </w:r>
    </w:p>
    <w:p>
      <w:pPr>
        <w:spacing w:after="0" w:line="162"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accounting firm for the fiscal years ended February 3, 2018 (“fiscal 2017”) and January 28, 2017 (“fiscal 2016”):</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Fiscal 2017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Fiscal 2016</w:t>
            </w:r>
          </w:p>
        </w:tc>
      </w:tr>
      <w:tr>
        <w:trPr>
          <w:trHeight w:val="222"/>
        </w:trPr>
        <w:tc>
          <w:tcPr>
            <w:tcW w:w="20" w:type="dxa"/>
            <w:vAlign w:val="bottom"/>
          </w:tcPr>
          <w:p>
            <w:pPr>
              <w:spacing w:after="0"/>
              <w:rPr>
                <w:sz w:val="19"/>
                <w:szCs w:val="19"/>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891,665</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fees (2)</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FF0FC"/>
            </w:tcBorders>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893,445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760" w:right="40" w:hanging="376"/>
        <w:spacing w:after="0" w:line="264"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professional services rendered in connection with the audits of our financial statements included in our Annual Reports on Form 10-K for fiscal 2017 and fiscal 2016, for services performed related to compliance with Section 404 of the Sarbanes-Oxley Act of 2002, and for reviews of the financial statements included in each of our Quarterly Reports on Form 10-Q.</w:t>
      </w:r>
    </w:p>
    <w:p>
      <w:pPr>
        <w:spacing w:after="0" w:line="69"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relate to an annual fee for an online accounting research tool.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our independent registered public accounting</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firm. Pursuant to this policy, the Audit Committee will consider annually and, if appropriate, approve the provision of audit services (including audit review and attest services) by our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8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services provided in fiscal 2017 and fiscal 2016 under Audit Fees and Other Fees were pre-approved by the Audit Committee.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22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February 2, 2019. Any abstentions will not be counted as votes cast, and therefore will have no effect on the outcome of voting on this proposal.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75" w:lineRule="exact"/>
        <w:rPr>
          <w:sz w:val="20"/>
          <w:szCs w:val="20"/>
          <w:color w:val="auto"/>
        </w:rPr>
      </w:pPr>
    </w:p>
    <w:p>
      <w:pPr>
        <w:ind w:right="760"/>
        <w:spacing w:after="0" w:line="239" w:lineRule="auto"/>
        <w:rPr>
          <w:sz w:val="20"/>
          <w:szCs w:val="20"/>
          <w:color w:val="auto"/>
        </w:rPr>
      </w:pPr>
      <w:r>
        <w:rPr>
          <w:rFonts w:ascii="Times New Roman" w:cs="Times New Roman" w:eastAsia="Times New Roman" w:hAnsi="Times New Roman"/>
          <w:sz w:val="18"/>
          <w:szCs w:val="18"/>
          <w:b w:val="1"/>
          <w:bCs w:val="1"/>
          <w:color w:val="auto"/>
        </w:rPr>
        <w:t>The Audit Committee and the Board of Directors recommends that you vote FOR the ratification of the appointment of KPMG LLP as our independent registered public accounting firm for the fiscal year ending February 2, 2019.</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February 3, 2018 with U.S. generally accepted accounting principles, their judgments as to the quality, not just the acceptability, of our accounting principles and such other matters as are required to be discussed with the Audit Committee by Statement on Auditing Standards No. 16, “Communication with Audit Committees,” as adopted by the Public Company Accounting Oversight Board.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six meetings during the fiscal year ended February 3, 2018.</w:t>
      </w:r>
    </w:p>
    <w:p>
      <w:pPr>
        <w:spacing w:after="0" w:line="18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February 3, 2018 for filing with the SEC.</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management was required to prepare as part of our Annual Report on Form 10-K for the year ended February 3, 2018 a report on its assessment of our internal control over financial reporting, including management’s assessment of the effectiveness of such internal controls. KPMG LLP issued an audit report relative to our internal control over financial reporting at February 3, 2018. During the course of fiscal 2017,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are included as part of our Annual Report on Form 10-K for the year ended February 3, 2018.</w:t>
      </w:r>
    </w:p>
    <w:p>
      <w:pPr>
        <w:spacing w:after="0" w:line="190"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 xml:space="preserve">The Audit Committee is governed by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http://investor.destinationxl.com.</w:t>
      </w:r>
      <w:r>
        <w:rPr>
          <w:rFonts w:ascii="Times New Roman" w:cs="Times New Roman" w:eastAsia="Times New Roman" w:hAnsi="Times New Roman"/>
          <w:sz w:val="18"/>
          <w:szCs w:val="18"/>
          <w:color w:val="auto"/>
        </w:rPr>
        <w:t xml:space="preserve"> The members of the Audit Committee are considered independent because they satisfy the independence requirements for Board members prescribed by the Nasdaq listing standards and Rule 10A-3 of the Exchange Act.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Ward Mooney, Chairman of the Audit Committee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Willem Mesdag</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John Kyees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0"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persons known to us to be the beneficial owners of more than five percent of the issued and outstanding shares of our common stock as of June 26, 2018. We were informed that, except as indicated, each person has sole voting and investment power with respect to all shares of our common stock shown as beneficially owned by such person, subject to community property laws where applicable.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500" w:type="dxa"/>
            <w:vAlign w:val="bottom"/>
          </w:tcPr>
          <w:p>
            <w:pPr>
              <w:spacing w:after="0"/>
              <w:rPr>
                <w:sz w:val="17"/>
                <w:szCs w:val="17"/>
                <w:color w:val="auto"/>
              </w:rPr>
            </w:pP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Percent of Class</w:t>
            </w: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50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tcPr>
          <w:p>
            <w:pPr>
              <w:spacing w:after="0"/>
              <w:rPr>
                <w:sz w:val="18"/>
                <w:szCs w:val="18"/>
                <w:color w:val="auto"/>
              </w:rPr>
            </w:pPr>
          </w:p>
        </w:tc>
      </w:tr>
      <w:tr>
        <w:trPr>
          <w:trHeight w:val="207"/>
        </w:trPr>
        <w:tc>
          <w:tcPr>
            <w:tcW w:w="7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Red Mountain Capital Partners, LLC</w:t>
            </w:r>
          </w:p>
        </w:tc>
        <w:tc>
          <w:tcPr>
            <w:tcW w:w="120" w:type="dxa"/>
            <w:vAlign w:val="bottom"/>
            <w:tcBorders>
              <w:top w:val="single" w:sz="8" w:color="CFF0FC"/>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8,178,208</w:t>
            </w:r>
          </w:p>
        </w:tc>
        <w:tc>
          <w:tcPr>
            <w:tcW w:w="500" w:type="dxa"/>
            <w:vAlign w:val="bottom"/>
            <w:tcBorders>
              <w:top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Red Mountain Partners, L.P.</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RMCP GP LLC</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Red Mountain Capital Management, Inc.</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Willem Mesdag</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10100 Santa Monica Boulevard, Suite 925</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 Angeles, California 90067</w:t>
            </w: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5"/>
        </w:trPr>
        <w:tc>
          <w:tcPr>
            <w:tcW w:w="7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Glenhill Advisors, LLC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6,162,640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J. Krevlin</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Glenhill Capital Advisors, LLC</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Glenhill Capital Management, LLC</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Glenhill Capital Overseas Master Fund, LP</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600 Fifth Avenue, 11th Floor</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10020</w:t>
            </w:r>
          </w:p>
        </w:tc>
        <w:tc>
          <w:tcPr>
            <w:tcW w:w="1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Prescott Group Capital Management, L.L.C.</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6,013,025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Prescott Group Aggressive Small Cap, L.P.</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Prescott Group Aggressive Small Cap II, L.P.</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 Frohlich</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1924 South Utica, Suite 1120</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Tulsa, Oklahoma 74104-6529</w:t>
            </w: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5"/>
        </w:trPr>
        <w:tc>
          <w:tcPr>
            <w:tcW w:w="7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Global Asset Management (U.S.) Inc.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5,267,123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 South Sixth Street</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Suite 2350</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Minneapolis, Minnesota 55402</w:t>
            </w:r>
          </w:p>
        </w:tc>
        <w:tc>
          <w:tcPr>
            <w:tcW w:w="1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 Carlo Cannell</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4,640,479</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5"/>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245 Meriwether Circle</w:t>
            </w:r>
          </w:p>
        </w:tc>
        <w:tc>
          <w:tcPr>
            <w:tcW w:w="1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3"/>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Alta, Wyoming 83414</w:t>
            </w: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2" w:lineRule="exact"/>
        <w:rPr>
          <w:sz w:val="20"/>
          <w:szCs w:val="20"/>
          <w:color w:val="auto"/>
        </w:rPr>
      </w:pPr>
    </w:p>
    <w:p>
      <w:pPr>
        <w:ind w:left="760" w:right="160" w:hanging="376"/>
        <w:spacing w:after="0" w:line="254"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w:t>
      </w:r>
    </w:p>
    <w:p>
      <w:pPr>
        <w:spacing w:after="0" w:line="2"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Percentage ownership is based on 49,143,012 shares of our common stock outstanding as of June 26, 2018.</w:t>
      </w:r>
    </w:p>
    <w:p>
      <w:pPr>
        <w:spacing w:after="0" w:line="8" w:lineRule="exact"/>
        <w:rPr>
          <w:rFonts w:ascii="Times New Roman" w:cs="Times New Roman" w:eastAsia="Times New Roman" w:hAnsi="Times New Roman"/>
          <w:sz w:val="18"/>
          <w:szCs w:val="18"/>
          <w:color w:val="auto"/>
        </w:rPr>
      </w:pPr>
    </w:p>
    <w:p>
      <w:pPr>
        <w:ind w:left="760" w:hanging="376"/>
        <w:spacing w:after="0" w:line="250"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7 to Schedule 13D, dated April 6, 2018, and a Form 4, dated May 5, 2018. Of the shares reflected in the table, (i), 7,522,354 shares are held directly by Red Mountain Partners, L.P. (“RMP”), (ii) 444,015 shares are held directly by Red Mountain Capital Partners LLC (“RMCP LLC”), (iii) 15,000 shares of common stock receivable upon exercise of options held by Mr. Mesdag and (iv) 99,241 shares of common stock receivable upon settlement of deferred stock upon Mr. Mesdag’s separation from the Board. RMP has the sole power to vote or direct the vote, and the sole power to dispose or direct the disposition of 7,522,354 shares of common stock. Because RMCP GP LLC (“RMCP GP”) may be deemed to control RMP, RMCP GP may be deemed to beneficially own, and to have the power to vote the shares held by RMP. RMCP LLC has the sole power to vote or direct the vote, and the sole power to dispose or direct the disposition of 444,015 shares of common stock. Because RMCP LLC may be deemed to control RMCP GP and RMP, RMCP LLC may be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6" w:name="page47"/>
    <w:bookmarkEnd w:id="46"/>
    <w:p>
      <w:pPr>
        <w:ind w:left="380"/>
        <w:spacing w:after="0" w:line="250" w:lineRule="auto"/>
        <w:rPr>
          <w:sz w:val="20"/>
          <w:szCs w:val="20"/>
          <w:color w:val="auto"/>
        </w:rPr>
      </w:pPr>
      <w:r>
        <w:rPr>
          <w:rFonts w:ascii="Times New Roman" w:cs="Times New Roman" w:eastAsia="Times New Roman" w:hAnsi="Times New Roman"/>
          <w:sz w:val="18"/>
          <w:szCs w:val="18"/>
          <w:color w:val="auto"/>
        </w:rPr>
        <w:t>deemed to beneficially own, and to have the power to vote or direct the vote of, or dispose or direct the disposition of, all of the shares of common stock beneficially owned by RMCP GP and RMP. Because each of Red Mountain Capital Management, Inc. (“RMCM”) and Mr. Mesdag may be deemed to control RMP, RMCP GP and RMCP LLC, RMCM and Mr. Mesdag may be deemed to beneficially own, and to have the power to vote or direct the vote of, or dispose or direct the disposition of, all of the shares of common stock owned by RMP, RMCP GP and RMCP LLC. Each of RMCP LLC, RMP and RMCP GP affirms membership in a group with each other but disclaims membership in 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 stock issued and outstanding, or (ii) any assets of the Company or any subsidiary thereof or any successor to or person in control of the Company.</w:t>
      </w:r>
    </w:p>
    <w:p>
      <w:pPr>
        <w:spacing w:after="0" w:line="11" w:lineRule="exact"/>
        <w:rPr>
          <w:sz w:val="20"/>
          <w:szCs w:val="20"/>
          <w:color w:val="auto"/>
        </w:rPr>
      </w:pPr>
    </w:p>
    <w:p>
      <w:pPr>
        <w:ind w:left="380" w:right="120" w:hanging="376"/>
        <w:spacing w:after="0" w:line="249"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11 to Schedule 13G, dated February 14, 2018.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Company. Glenhill Advisors, LLC is the managing member of Glenhill Capital Management, LLC. Glenhill Capital Management, LLC is the managing member of Glenhill Concentrated Long Master Fund, LLC, and Glenhill Long GP, LLC, and is sole shareholder of Glenhill Capital Overseas GP, Ltd. Glenhill Capital Overseas GP, Ltd. is general partner of Glenhill Capital Overseas Master Fund, LP. Glenhill Long GP, LLC is the general partner of Glenhill Long Fund, LP. Glenhill Capital Advisors, LLC is also the investment manager for certain third party accounts for which shares of the Issuer are held and managed by one or more of the Reporting Persons for the benefit of such third parties. Such Reporting Persons have dispositive power and share certain voting power with respect to such shares, and receive management fees and performance-related fees in connection therewith.</w:t>
      </w:r>
    </w:p>
    <w:p>
      <w:pPr>
        <w:spacing w:after="0" w:line="3" w:lineRule="exact"/>
        <w:rPr>
          <w:rFonts w:ascii="Times New Roman" w:cs="Times New Roman" w:eastAsia="Times New Roman" w:hAnsi="Times New Roman"/>
          <w:sz w:val="18"/>
          <w:szCs w:val="18"/>
          <w:color w:val="auto"/>
        </w:rPr>
      </w:pPr>
    </w:p>
    <w:p>
      <w:pPr>
        <w:ind w:left="380" w:right="180" w:hanging="376"/>
        <w:spacing w:after="0" w:line="249"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 to Schedule 13G, dated June 4, 2018, stating that Prescott Group Capital Management, L.L.C., Prescott Group Aggressive Small Cap, L.P., Prescott Group Aggressive Small Cap II L.P. and Mr. Phil Frohlich were the beneficial owners of an aggregate of 6,013,025 shares of common stock. Prescott Capital, as the general partner of the Small Cap Funds, the general partners of Prescott Master Fund, may direct the Small Cap Funds to direct the vote and disposition of the 6,013,025 shares of Common Stock held by Prescott Master Fund. As the principal of Prescott Capital, Mr. Phil Frohlich may direct the vote and disposition of the 6,013,025 shares of Common Stock held by Prescott Master Fund. Pursuant to a letter agreement between Prescott Group Capital Management, L.L.C. and the Company, Prescott Group Capital Management,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Prescott collectively would beneficially own, for purposes of Section 13(d) of the Exchange Act, and Rule 13d-3 thereunder, after giving effect to such acquisition, in excess of 15% of the amount of the issued and outstanding common stock of the Company or (ii) any assets of the Company or any subsidiary thereof or any successor to or person in control of the Company.</w:t>
      </w:r>
    </w:p>
    <w:p>
      <w:pPr>
        <w:spacing w:after="0" w:line="3" w:lineRule="exact"/>
        <w:rPr>
          <w:rFonts w:ascii="Times New Roman" w:cs="Times New Roman" w:eastAsia="Times New Roman" w:hAnsi="Times New Roman"/>
          <w:sz w:val="18"/>
          <w:szCs w:val="18"/>
          <w:color w:val="auto"/>
        </w:rPr>
      </w:pPr>
    </w:p>
    <w:p>
      <w:pPr>
        <w:ind w:left="380" w:right="160" w:hanging="376"/>
        <w:spacing w:after="0" w:line="249"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9 to Schedule 13G, dated February 12, 2018, stating that RBC Global Asset Management (U.S.) Inc. was the beneficial owner of the number of shares of common stock set forth opposite its name in the table.</w:t>
      </w:r>
    </w:p>
    <w:p>
      <w:pPr>
        <w:ind w:left="380" w:right="100" w:hanging="376"/>
        <w:spacing w:after="0" w:line="251"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4 to Schedule 13D, dated June 11, 2018 (the “Schedule 13D”). Mr. Cannell, identified as the Reporting Person in the Schedule 13D, is the sole managing member of Cannell Capital LLC, the investment adviser to Tonga Partners, L.P. (“Tonga”), Tristan Partners, L.P. (“Tristan”), Tristan Offshore Fund Ltd. (“Tristan Offshore”), and the investor sub-advisor for Cuttyhunk Master Portfolio (“Cuttyhunk,” and collectively with Tonga, Tristan and Tristan Offshore, the “Investment Vehicles”). As sole managing member of Cannell Capital LLC, Mr. Cannell possesses sole voting and dispositive power with respect to the shares held by the Investment Vehicles.</w:t>
      </w:r>
    </w:p>
    <w:p>
      <w:pPr>
        <w:spacing w:after="0" w:line="200" w:lineRule="exact"/>
        <w:rPr>
          <w:sz w:val="20"/>
          <w:szCs w:val="20"/>
          <w:color w:val="auto"/>
        </w:rPr>
      </w:pPr>
    </w:p>
    <w:p>
      <w:pPr>
        <w:spacing w:after="0" w:line="20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72390</wp:posOffset>
            </wp:positionV>
            <wp:extent cx="728980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040"/>
          </w:cols>
          <w:pgMar w:left="620" w:top="336"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12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as of June 26, 2018, with respect to our directors, our Named Executive Officers (as defined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80" w:type="dxa"/>
            <w:vAlign w:val="bottom"/>
          </w:tcPr>
          <w:p>
            <w:pPr>
              <w:spacing w:after="0"/>
              <w:rPr>
                <w:sz w:val="17"/>
                <w:szCs w:val="17"/>
                <w:color w:val="auto"/>
              </w:rPr>
            </w:pPr>
          </w:p>
        </w:tc>
        <w:tc>
          <w:tcPr>
            <w:tcW w:w="1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r>
      <w:tr>
        <w:trPr>
          <w:trHeight w:val="215"/>
        </w:trPr>
        <w:tc>
          <w:tcPr>
            <w:tcW w:w="7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8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tcPr>
          <w:p>
            <w:pPr>
              <w:spacing w:after="0"/>
              <w:rPr>
                <w:sz w:val="18"/>
                <w:szCs w:val="18"/>
                <w:color w:val="auto"/>
              </w:rPr>
            </w:pPr>
          </w:p>
        </w:tc>
      </w:tr>
      <w:tr>
        <w:trPr>
          <w:trHeight w:val="211"/>
        </w:trPr>
        <w:tc>
          <w:tcPr>
            <w:tcW w:w="7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Seymour Holtzman</w:t>
            </w:r>
          </w:p>
        </w:tc>
        <w:tc>
          <w:tcPr>
            <w:tcW w:w="10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4,545,658</w:t>
            </w:r>
          </w:p>
        </w:tc>
        <w:tc>
          <w:tcPr>
            <w:tcW w:w="4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12"/>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Chairman of the Board</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A. Levin</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1,378,793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2"/>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118,732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r>
      <w:tr>
        <w:trPr>
          <w:trHeight w:val="212"/>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Brian S. Reaves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135,402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r>
      <w:tr>
        <w:trPr>
          <w:trHeight w:val="212"/>
        </w:trPr>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Executive Vice President and Chief Customer Officer</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236,379</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r>
      <w:tr>
        <w:trPr>
          <w:trHeight w:val="212"/>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Senior Vice President, Chief Administrative Officer, General Counsel and Secretary</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Kenneth M. Ederle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257,219</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r>
      <w:tr>
        <w:trPr>
          <w:trHeight w:val="212"/>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Former Senior Vice President, Chief Merchandising Officer – Planning and Allocation</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Sahal S. Laher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8,622</w:t>
            </w: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r>
      <w:tr>
        <w:trPr>
          <w:trHeight w:val="212"/>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Former Senior Vice President, Chief Digital and Information Officer</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John E. Kyees, Lead Independent Director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126,015</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r>
      <w:tr>
        <w:trPr>
          <w:trHeight w:val="212"/>
        </w:trPr>
        <w:tc>
          <w:tcPr>
            <w:tcW w:w="7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Jack Boyle, Director</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Lionel F. Conacher, Director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r>
      <w:tr>
        <w:trPr>
          <w:trHeight w:val="212"/>
        </w:trPr>
        <w:tc>
          <w:tcPr>
            <w:tcW w:w="7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Willem Mesdag, Director</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8,178,208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Ward K. Mooney, Director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141,571</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r>
      <w:tr>
        <w:trPr>
          <w:trHeight w:val="212"/>
        </w:trPr>
        <w:tc>
          <w:tcPr>
            <w:tcW w:w="7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Mitchell S. Presser, Director</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313,358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Ivy Ross, Director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76,331</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r>
      <w:tr>
        <w:trPr>
          <w:trHeight w:val="212"/>
        </w:trPr>
        <w:tc>
          <w:tcPr>
            <w:tcW w:w="7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Oliver Walsh, Director</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r>
      <w:tr>
        <w:trPr>
          <w:trHeight w:val="218"/>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 (22 persons)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16,014,109</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32.01%</w:t>
            </w:r>
          </w:p>
        </w:tc>
      </w:tr>
    </w:tbl>
    <w:p>
      <w:pPr>
        <w:spacing w:after="0" w:line="139"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99" w:lineRule="exact"/>
        <w:rPr>
          <w:sz w:val="20"/>
          <w:szCs w:val="20"/>
          <w:color w:val="auto"/>
        </w:rPr>
      </w:pPr>
    </w:p>
    <w:p>
      <w:pPr>
        <w:ind w:left="380" w:right="80" w:hanging="372"/>
        <w:spacing w:after="0" w:line="253"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49,143,012 shares of our common stock outstanding as of June 26, 2018.</w:t>
      </w:r>
    </w:p>
    <w:p>
      <w:pPr>
        <w:spacing w:after="0" w:line="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195,942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42,403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63,679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89,512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54,951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43,648 shares subject to stock options exercisable within 60 days and 64,157 shares of deferred stock.</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right="40" w:hanging="372"/>
        <w:spacing w:after="0" w:line="264" w:lineRule="auto"/>
        <w:tabs>
          <w:tab w:leader="none" w:pos="3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15,000 shares subject to stock options exercisable within 60 days and 103,331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right="80" w:hanging="372"/>
        <w:spacing w:after="0" w:line="258"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724,655 shares subject to stock options exercisable within 60 days, 30,000 of unvested shares of restricted stock and 167,488 shares of deferred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177"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6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 xml:space="preserve">Access to this information as well as other information on our Company is also available on our website at </w:t>
      </w:r>
      <w:r>
        <w:rPr>
          <w:rFonts w:ascii="Times New Roman" w:cs="Times New Roman" w:eastAsia="Times New Roman" w:hAnsi="Times New Roman"/>
          <w:sz w:val="18"/>
          <w:szCs w:val="18"/>
          <w:i w:val="1"/>
          <w:iCs w:val="1"/>
          <w:u w:val="single" w:color="auto"/>
          <w:color w:val="auto"/>
        </w:rPr>
        <w:t>http://investor.destinationxl.com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will furnish without charge to each person whose proxy is being solicited, upon request of any such person, a copy of the 2018 Annual Report as filed with the SEC, including the financial statements and schedules thereto. A request for a copy of such report should be directed to Destination XL Group, Inc., 555 Turnpike Street, Canton, MA 02021, Attention: Investor Relations</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22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or via the “contact us” dropdown on the investor page of our website. We will send you a copy of the Proxy Statement promptly after we receive your request.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i w:val="1"/>
          <w:iCs w:val="1"/>
          <w:color w:val="auto"/>
        </w:rPr>
        <w:t>Stockholder proposals for inclusion in our proxy statement</w:t>
      </w:r>
      <w:r>
        <w:rPr>
          <w:rFonts w:ascii="Times New Roman" w:cs="Times New Roman" w:eastAsia="Times New Roman" w:hAnsi="Times New Roman"/>
          <w:sz w:val="18"/>
          <w:szCs w:val="18"/>
          <w:color w:val="auto"/>
        </w:rPr>
        <w:t>: Under the rules of the SEC, in order for any stockholder proposal to be included in 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and proxy card for presentation at the 2019 Annual Meeting of Stockholders, the proposal must be received by the Secretary of our Company at our principal executive offices by March 15, 2019 (120 days before the anniversary of the date this Proxy Statement is being mailed to our stockholders).</w:t>
      </w:r>
    </w:p>
    <w:p>
      <w:pPr>
        <w:spacing w:after="0" w:line="1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Other stockholder proposals</w:t>
      </w:r>
      <w:r>
        <w:rPr>
          <w:rFonts w:ascii="Times New Roman" w:cs="Times New Roman" w:eastAsia="Times New Roman" w:hAnsi="Times New Roman"/>
          <w:sz w:val="18"/>
          <w:szCs w:val="18"/>
          <w:color w:val="auto"/>
        </w:rPr>
        <w:t>: Our By-Laws provide that for business to be properly brought before an Annual Meeting of Stockholders (or any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2019 Annual Meeting, a stockholder must deliver the requisite notice of such item to the Secretary of our Company not before April 11, 2019 or after May 11, 2019.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Destination XL Group, Inc., a Delaware corporation (hereinafter called the “Corporation”), does hereby certify that:</w:t>
      </w:r>
    </w:p>
    <w:p>
      <w:pPr>
        <w:spacing w:after="0" w:line="223" w:lineRule="exact"/>
        <w:rPr>
          <w:sz w:val="20"/>
          <w:szCs w:val="20"/>
          <w:color w:val="auto"/>
        </w:rPr>
      </w:pPr>
    </w:p>
    <w:p>
      <w:pPr>
        <w:ind w:right="120" w:firstLine="769"/>
        <w:spacing w:after="0" w:line="280" w:lineRule="auto"/>
        <w:tabs>
          <w:tab w:leader="none" w:pos="15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Restated Certificate of Incorporation, as amended, of the Corporation has been duly adopted in accordance with the provisions of Section 242 of the General Corporation Law of the State of Delaware.</w:t>
      </w:r>
    </w:p>
    <w:p>
      <w:pPr>
        <w:spacing w:after="0" w:line="162" w:lineRule="exact"/>
        <w:rPr>
          <w:rFonts w:ascii="Times New Roman" w:cs="Times New Roman" w:eastAsia="Times New Roman" w:hAnsi="Times New Roman"/>
          <w:sz w:val="18"/>
          <w:szCs w:val="18"/>
          <w:color w:val="auto"/>
        </w:rPr>
      </w:pPr>
    </w:p>
    <w:p>
      <w:pPr>
        <w:ind w:right="420" w:firstLine="769"/>
        <w:spacing w:after="0" w:line="264" w:lineRule="auto"/>
        <w:tabs>
          <w:tab w:leader="none" w:pos="15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Restated Certificate of Incorporation, as amended, of the Corporation amends Article FOURTH of the Corporation’s Restated Certificate of Incorporation, as amended, by deleting the existing Article FOURTH in its entirety and substituting therefore a new Article FOURTH to read in its entirety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Shares, Reclassification, and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876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876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29876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876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Authorized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52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525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1152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spacing w:after="0" w:line="20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The </w:t>
      </w:r>
      <w:r>
        <w:rPr>
          <w:rFonts w:ascii="Times New Roman" w:cs="Times New Roman" w:eastAsia="Times New Roman" w:hAnsi="Times New Roman"/>
          <w:sz w:val="18"/>
          <w:szCs w:val="18"/>
          <w:color w:val="auto"/>
        </w:rPr>
        <w:t>total authorized stock of the Corporation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6"/>
          <w:szCs w:val="16"/>
          <w:color w:val="auto"/>
          <w:strike w:val="1"/>
        </w:rPr>
        <w:t>consist of three classes: (i) 100,000,000 shares of existing Common Stock having a par value of $0.01 per share (“</w:t>
      </w:r>
      <w:r>
        <w:rPr>
          <w:rFonts w:ascii="Times New Roman" w:cs="Times New Roman" w:eastAsia="Times New Roman" w:hAnsi="Times New Roman"/>
          <w:sz w:val="16"/>
          <w:szCs w:val="16"/>
          <w:b w:val="1"/>
          <w:bCs w:val="1"/>
          <w:color w:val="auto"/>
          <w:strike w:val="1"/>
        </w:rPr>
        <w:t>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6"/>
          <w:szCs w:val="16"/>
          <w:b w:val="1"/>
          <w:bCs w:val="1"/>
          <w:color w:val="auto"/>
          <w:strike w:val="1"/>
        </w:rPr>
        <w:t>Common Stock</w:t>
      </w:r>
      <w:r>
        <w:rPr>
          <w:rFonts w:ascii="Times New Roman" w:cs="Times New Roman" w:eastAsia="Times New Roman" w:hAnsi="Times New Roman"/>
          <w:sz w:val="16"/>
          <w:szCs w:val="16"/>
          <w:color w:val="auto"/>
          <w:strike w:val="1"/>
        </w:rPr>
        <w:t>”); (ii)</w:t>
      </w:r>
      <w:r>
        <w:rPr>
          <w:rFonts w:ascii="Times New Roman" w:cs="Times New Roman" w:eastAsia="Times New Roman" w:hAnsi="Times New Roman"/>
          <w:sz w:val="17"/>
          <w:szCs w:val="17"/>
          <w:b w:val="1"/>
          <w:bCs w:val="1"/>
          <w:color w:val="auto"/>
        </w:rPr>
        <w:t>be 101,000,000 shares, divided into: (i)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100,000,000 shares of Common Stock having a par value of $0.01 per share (“</w:t>
      </w:r>
      <w:r>
        <w:rPr>
          <w:rFonts w:ascii="Times New Roman" w:cs="Times New Roman" w:eastAsia="Times New Roman" w:hAnsi="Times New Roman"/>
          <w:sz w:val="17"/>
          <w:szCs w:val="17"/>
          <w:b w:val="1"/>
          <w:bCs w:val="1"/>
          <w:color w:val="auto"/>
        </w:rPr>
        <w:t>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6"/>
          <w:szCs w:val="16"/>
          <w:color w:val="auto"/>
          <w:strike w:val="1"/>
        </w:rPr>
        <w:t>iii</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1,000,000 shares of Preferred Stock having a par value of $0.01 per share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6"/>
          <w:szCs w:val="16"/>
          <w:color w:val="auto"/>
          <w:strike w:val="1"/>
        </w:rPr>
        <w:t>Immediately following the Effectiveness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6"/>
          <w:szCs w:val="16"/>
          <w:color w:val="auto"/>
          <w:strike w:val="1"/>
        </w:rPr>
        <w:t>Reclassification (as defined below), the total authorized stock of the Corporation shall consist of two classes: (i) 100,000,000 shares of Common Stock; and (ii) 1,000,000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1879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7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-264160</wp:posOffset>
            </wp:positionV>
            <wp:extent cx="18611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61185" cy="8255"/>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-247015</wp:posOffset>
            </wp:positionV>
            <wp:extent cx="18611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61185" cy="82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-127635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-110490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6"/>
          <w:szCs w:val="16"/>
          <w:i w:val="1"/>
          <w:iCs w:val="1"/>
          <w:color w:val="auto"/>
          <w:strike w:val="1"/>
        </w:rPr>
        <w:t>Reclassification.</w:t>
      </w:r>
      <w:r>
        <w:rPr>
          <w:rFonts w:ascii="Times New Roman" w:cs="Times New Roman" w:eastAsia="Times New Roman" w:hAnsi="Times New Roman"/>
          <w:sz w:val="18"/>
          <w:szCs w:val="18"/>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10795</wp:posOffset>
            </wp:positionV>
            <wp:extent cx="520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0700" cy="8255"/>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27940</wp:posOffset>
            </wp:positionV>
            <wp:extent cx="520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0700" cy="8255"/>
                    </a:xfrm>
                    <a:prstGeom prst="rect">
                      <a:avLst/>
                    </a:prstGeom>
                    <a:noFill/>
                  </pic:spPr>
                </pic:pic>
              </a:graphicData>
            </a:graphic>
          </wp:anchor>
        </w:drawing>
      </w:r>
    </w:p>
    <w:p>
      <w:pPr>
        <w:spacing w:after="0" w:line="212"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color w:val="auto"/>
          <w:strike w:val="1"/>
        </w:rPr>
        <w:t>Immediately following the Effective Time, each share of Old Common Stock issued and outstanding at the Effective Time shall be reclassified as and converted into and shall become one share of Common Stock (“</w:t>
      </w:r>
      <w:r>
        <w:rPr>
          <w:rFonts w:ascii="Times New Roman" w:cs="Times New Roman" w:eastAsia="Times New Roman" w:hAnsi="Times New Roman"/>
          <w:sz w:val="16"/>
          <w:szCs w:val="16"/>
          <w:b w:val="1"/>
          <w:bCs w:val="1"/>
          <w:color w:val="auto"/>
          <w:strike w:val="1"/>
        </w:rPr>
        <w:t>Common Stock</w:t>
      </w:r>
      <w:r>
        <w:rPr>
          <w:rFonts w:ascii="Times New Roman" w:cs="Times New Roman" w:eastAsia="Times New Roman" w:hAnsi="Times New Roman"/>
          <w:sz w:val="16"/>
          <w:szCs w:val="16"/>
          <w:color w:val="auto"/>
          <w:strike w:val="1"/>
        </w:rPr>
        <w:t>,” pursuant to the “</w:t>
      </w:r>
      <w:r>
        <w:rPr>
          <w:rFonts w:ascii="Times New Roman" w:cs="Times New Roman" w:eastAsia="Times New Roman" w:hAnsi="Times New Roman"/>
          <w:sz w:val="16"/>
          <w:szCs w:val="16"/>
          <w:b w:val="1"/>
          <w:bCs w:val="1"/>
          <w:color w:val="auto"/>
          <w:strike w:val="1"/>
        </w:rPr>
        <w:t>Reclassification</w:t>
      </w:r>
      <w:r>
        <w:rPr>
          <w:rFonts w:ascii="Times New Roman" w:cs="Times New Roman" w:eastAsia="Times New Roman" w:hAnsi="Times New Roman"/>
          <w:sz w:val="16"/>
          <w:szCs w:val="16"/>
          <w:color w:val="auto"/>
          <w:strike w:val="1"/>
        </w:rPr>
        <w:t>”).</w:t>
      </w:r>
    </w:p>
    <w:p>
      <w:pPr>
        <w:spacing w:after="0" w:line="10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strike w:val="1"/>
        </w:rPr>
        <w:t>The Reclassification of the shares of Old Common Stock into shares of Common Stock shall be deemed to occur immediately following the Effective Time (the “</w:t>
      </w:r>
      <w:r>
        <w:rPr>
          <w:rFonts w:ascii="Times New Roman" w:cs="Times New Roman" w:eastAsia="Times New Roman" w:hAnsi="Times New Roman"/>
          <w:sz w:val="16"/>
          <w:szCs w:val="16"/>
          <w:b w:val="1"/>
          <w:bCs w:val="1"/>
          <w:color w:val="auto"/>
          <w:strike w:val="1"/>
        </w:rPr>
        <w:t>Effectiveness</w:t>
      </w:r>
      <w:r>
        <w:rPr>
          <w:rFonts w:ascii="Times New Roman" w:cs="Times New Roman" w:eastAsia="Times New Roman" w:hAnsi="Times New Roman"/>
          <w:sz w:val="16"/>
          <w:szCs w:val="16"/>
          <w:color w:val="auto"/>
          <w:strike w:val="1"/>
        </w:rPr>
        <w:t xml:space="preserve"> </w:t>
      </w:r>
      <w:r>
        <w:rPr>
          <w:rFonts w:ascii="Times New Roman" w:cs="Times New Roman" w:eastAsia="Times New Roman" w:hAnsi="Times New Roman"/>
          <w:sz w:val="16"/>
          <w:szCs w:val="16"/>
          <w:b w:val="1"/>
          <w:bCs w:val="1"/>
          <w:color w:val="auto"/>
          <w:strike w:val="1"/>
        </w:rPr>
        <w:t>of the Reclassification</w:t>
      </w:r>
      <w:r>
        <w:rPr>
          <w:rFonts w:ascii="Times New Roman" w:cs="Times New Roman" w:eastAsia="Times New Roman" w:hAnsi="Times New Roman"/>
          <w:sz w:val="16"/>
          <w:szCs w:val="16"/>
          <w:color w:val="auto"/>
          <w:strike w:val="1"/>
        </w:rPr>
        <w:t>”), regardless of when any certificate previously representing such shares of Old Common Stock (if such shares are held in certificated form) are</w:t>
      </w:r>
      <w:r>
        <w:rPr>
          <w:rFonts w:ascii="Times New Roman" w:cs="Times New Roman" w:eastAsia="Times New Roman" w:hAnsi="Times New Roman"/>
          <w:sz w:val="16"/>
          <w:szCs w:val="16"/>
          <w:b w:val="1"/>
          <w:bCs w:val="1"/>
          <w:color w:val="auto"/>
          <w:strike w:val="1"/>
        </w:rPr>
        <w:t xml:space="preserve"> </w:t>
      </w:r>
      <w:r>
        <w:rPr>
          <w:rFonts w:ascii="Times New Roman" w:cs="Times New Roman" w:eastAsia="Times New Roman" w:hAnsi="Times New Roman"/>
          <w:sz w:val="16"/>
          <w:szCs w:val="16"/>
          <w:color w:val="auto"/>
          <w:strike w:val="1"/>
        </w:rPr>
        <w:t>physically surrendered to the Corporation in exchange for certificates representing shares of such Common Stock. Each certificate outstanding immediately prior to the Effectiveness of the Reclassification representing shares of Old Common Stock shall, until surrendered to the Corporation in exchange for a certificate representing such new number of shares of Common Stock, automatically represent from and after the Effectiveness of the Reclassification the reclassified number of shares of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Transfer Restrictions.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4.3.1. Certain Definitions.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Section 4.3:</w:t>
      </w:r>
    </w:p>
    <w:p>
      <w:pPr>
        <w:spacing w:after="0" w:line="2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Acquire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Acquisition</w:t>
      </w:r>
      <w:r>
        <w:rPr>
          <w:rFonts w:ascii="Times New Roman" w:cs="Times New Roman" w:eastAsia="Times New Roman" w:hAnsi="Times New Roman"/>
          <w:sz w:val="17"/>
          <w:szCs w:val="17"/>
          <w:color w:val="auto"/>
        </w:rPr>
        <w:t>” and similar terms means the acquisition of record, legal, beneficial or any other ownership of Corporation Securities by any means, including, without limitation, (a) the exercise of any rights under any option, warrant, convertible security, pledge or other security interest or similar right to acquire shares, or (b) the entering into of any swap, hedge or other arrangement that results in the acquisition of any of the economic consequences of ownership of Corporation Securities, but shall not include the acquisition of any such rights unless, as a result, the acquirer would be considered an owner.</w:t>
      </w:r>
    </w:p>
    <w:p>
      <w:pPr>
        <w:spacing w:after="0" w:line="16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day on which banks located in Boston, Massachusetts, are authorized or required by law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Securities</w:t>
      </w:r>
      <w:r>
        <w:rPr>
          <w:rFonts w:ascii="Times New Roman" w:cs="Times New Roman" w:eastAsia="Times New Roman" w:hAnsi="Times New Roman"/>
          <w:sz w:val="18"/>
          <w:szCs w:val="18"/>
          <w:color w:val="auto"/>
        </w:rPr>
        <w:t>” means (a) shares of Common Stock, (b) shares of Preferred Stock of any class or series of Preferred Stock, (c) warrants, rights or options (including within the meaning of Treasury Regulation Section 1.382-2T(h)(4)(v)) to purchase stock of the Corporation, and (d) any other interests that would be treated as “stock” of the Corporation pursuant to Treasury Regulation Section 1.382-2T(f)(18).</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1" w:name="page52"/>
    <w:bookmarkEnd w:id="51"/>
    <w:p>
      <w:pPr>
        <w:ind w:right="4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6"/>
          <w:szCs w:val="16"/>
          <w:color w:val="auto"/>
          <w:strike w:val="1"/>
        </w:rPr>
        <w:t>the date of filing of the Certificate of Amendment to the Corporation’s Restated Certificate of Incorporation, as amended, first containing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strike w:val="1"/>
        </w:rPr>
        <w:t>provision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b w:val="1"/>
          <w:bCs w:val="1"/>
          <w:color w:val="auto"/>
        </w:rPr>
        <w:t>August 27, 2009</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-31750</wp:posOffset>
            </wp:positionV>
            <wp:extent cx="7766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660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-14605</wp:posOffset>
            </wp:positionV>
            <wp:extent cx="7766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6605"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means an entity within the meaning of Treasury Regulation Section 1.382-3(a)(1).</w:t>
      </w:r>
    </w:p>
    <w:p>
      <w:pPr>
        <w:spacing w:after="0" w:line="2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Five Percent Shareholder</w:t>
      </w:r>
      <w:r>
        <w:rPr>
          <w:rFonts w:ascii="Times New Roman" w:cs="Times New Roman" w:eastAsia="Times New Roman" w:hAnsi="Times New Roman"/>
          <w:sz w:val="18"/>
          <w:szCs w:val="18"/>
          <w:color w:val="auto"/>
        </w:rPr>
        <w:t>” means a Person or group of Persons that is identified as a “5-percent shareholder” of the Corporation Securities pursuant to Treasury Regulation Section 1.382-2T(g)(1), but excluding any “direct public group” with respect to the Corporation, as that term is defined in Treasury Regulation Section 1.382-2T(j)(2)(ii). For the purposes of determining the existence and identity of, and the amount of Corporation Securities owned by, any Five Percent Shareholder, the Corporation is entitled to rely conclusively on (a) the existence and absence of filings of Schedules 13D or 13G under the Securities Exchange Act of 1934, as amended (or any similar schedules) as of any date, and (b) its actual knowledge of the ownership of the Corporation Securities.</w:t>
      </w:r>
    </w:p>
    <w:p>
      <w:pPr>
        <w:spacing w:after="0" w:line="18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Percentage Stock Ownership</w:t>
      </w:r>
      <w:r>
        <w:rPr>
          <w:rFonts w:ascii="Times New Roman" w:cs="Times New Roman" w:eastAsia="Times New Roman" w:hAnsi="Times New Roman"/>
          <w:sz w:val="18"/>
          <w:szCs w:val="18"/>
          <w:color w:val="auto"/>
        </w:rPr>
        <w:t>” and similar terms means percentage stock ownership as determined in accordance with Treasury Regulation Section 1.382-2T(g), (h), (j) and (k).</w:t>
      </w:r>
    </w:p>
    <w:p>
      <w:pPr>
        <w:spacing w:after="0" w:line="15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estate, trust, association, limited liability company, partnership, joint venture or similar organization, and also includes a syndicate or group as those terms are used for the purposes of Section 13(d)(3) of the Securities Exchange Act of 1934, as amended.</w:t>
      </w:r>
    </w:p>
    <w:p>
      <w:pPr>
        <w:spacing w:after="0" w:line="15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Prohibited Transfer</w:t>
      </w:r>
      <w:r>
        <w:rPr>
          <w:rFonts w:ascii="Times New Roman" w:cs="Times New Roman" w:eastAsia="Times New Roman" w:hAnsi="Times New Roman"/>
          <w:sz w:val="17"/>
          <w:szCs w:val="17"/>
          <w:color w:val="auto"/>
        </w:rPr>
        <w:t>” means any purported Transfer of Corporation Securities to the extent that such a Transfer is prohibited and/or void under this Article FOURTH</w:t>
      </w:r>
      <w:r>
        <w:rPr>
          <w:rFonts w:ascii="Times New Roman" w:cs="Times New Roman" w:eastAsia="Times New Roman" w:hAnsi="Times New Roman"/>
          <w:sz w:val="15"/>
          <w:szCs w:val="15"/>
          <w:color w:val="auto"/>
          <w:strike w:val="1"/>
        </w:rPr>
        <w:t>.</w:t>
      </w:r>
      <w:r>
        <w:rPr>
          <w:rFonts w:ascii="Times New Roman" w:cs="Times New Roman" w:eastAsia="Times New Roman" w:hAnsi="Times New Roman"/>
          <w:sz w:val="17"/>
          <w:szCs w:val="17"/>
          <w:b w:val="1"/>
          <w:bCs w:val="1"/>
          <w:color w:val="auto"/>
        </w:rPr>
        <w:t>, unless, with respect to any Transfer that would not result in an “ownership change” of the Corporation Securities (within the meaning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-6985</wp:posOffset>
            </wp:positionV>
            <wp:extent cx="6666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6865" cy="8255"/>
                    </a:xfrm>
                    <a:prstGeom prst="rect">
                      <a:avLst/>
                    </a:prstGeom>
                    <a:noFill/>
                  </pic:spPr>
                </pic:pic>
              </a:graphicData>
            </a:graphic>
          </wp:anchor>
        </w:drawing>
      </w:r>
    </w:p>
    <w:p>
      <w:pPr>
        <w:ind w:right="120"/>
        <w:spacing w:after="0" w:line="258" w:lineRule="auto"/>
        <w:rPr>
          <w:sz w:val="20"/>
          <w:szCs w:val="20"/>
          <w:color w:val="auto"/>
        </w:rPr>
      </w:pPr>
      <w:r>
        <w:rPr>
          <w:rFonts w:ascii="Times New Roman" w:cs="Times New Roman" w:eastAsia="Times New Roman" w:hAnsi="Times New Roman"/>
          <w:sz w:val="18"/>
          <w:szCs w:val="18"/>
          <w:b w:val="1"/>
          <w:bCs w:val="1"/>
          <w:color w:val="auto"/>
        </w:rPr>
        <w:t>Section 382(g) of the Code), the Board of Directors determines that such a Transfer is not a Prohibited Transfer, in its sole discretion and subject to any conditions that it deems reasonable and appropriate in connection with its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-273685</wp:posOffset>
            </wp:positionV>
            <wp:extent cx="6666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6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107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107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45415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415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45415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41520" cy="8255"/>
                    </a:xfrm>
                    <a:prstGeom prst="rect">
                      <a:avLst/>
                    </a:prstGeom>
                    <a:noFill/>
                  </pic:spPr>
                </pic:pic>
              </a:graphicData>
            </a:graphic>
          </wp:anchor>
        </w:drawing>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Restriction Release Date</w:t>
      </w:r>
      <w:r>
        <w:rPr>
          <w:rFonts w:ascii="Times New Roman" w:cs="Times New Roman" w:eastAsia="Times New Roman" w:hAnsi="Times New Roman"/>
          <w:sz w:val="18"/>
          <w:szCs w:val="18"/>
          <w:color w:val="auto"/>
        </w:rPr>
        <w:t>” means such date, after the Effective Date, that the Board of Directors determines in good faith that it is in the best interests of the Corporation and its stockholders for the transfer restrictions set forth in this Article FOURTH to terminate.</w:t>
      </w:r>
    </w:p>
    <w:p>
      <w:pPr>
        <w:spacing w:after="0" w:line="15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Holder</w:t>
      </w:r>
      <w:r>
        <w:rPr>
          <w:rFonts w:ascii="Times New Roman" w:cs="Times New Roman" w:eastAsia="Times New Roman" w:hAnsi="Times New Roman"/>
          <w:sz w:val="18"/>
          <w:szCs w:val="18"/>
          <w:color w:val="auto"/>
        </w:rPr>
        <w:t>” means a Person or group of Persons that (a) is a Five Percent Shareholder and Acquires or proposes to Acquire Corporation Securities, or (b) is proposing to Acquire Corporation Securities, and following such proposed Acquisition of Corporation Securities, would be a Five Percent Shareholder.</w:t>
      </w:r>
    </w:p>
    <w:p>
      <w:pPr>
        <w:spacing w:after="0" w:line="17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Benefits</w:t>
      </w:r>
      <w:r>
        <w:rPr>
          <w:rFonts w:ascii="Times New Roman" w:cs="Times New Roman" w:eastAsia="Times New Roman" w:hAnsi="Times New Roman"/>
          <w:sz w:val="18"/>
          <w:szCs w:val="18"/>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of the Corporation or any direct or indirect subsidiary thereof.</w:t>
      </w:r>
    </w:p>
    <w:p>
      <w:pPr>
        <w:spacing w:after="0" w:line="1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any direct or indirect Acquisition, sale, transfer, assignment, conveyance, pledge or other disposition of Corporation Securities in any manner whatsoever, whether voluntary or involuntary, by operation of law or otherwise, or any attempt to do any of the foregoing. A Transfer shall also include the creation or grant of an option (including within the meaning of Treasury Regulation Section 1.382-2T(h)(4)(v)). A Transfer shall not include an issuance or grant of Corporation Securities by the Corporation.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w:t>
      </w:r>
      <w:r>
        <w:rPr>
          <w:rFonts w:ascii="Times New Roman" w:cs="Times New Roman" w:eastAsia="Times New Roman" w:hAnsi="Times New Roman"/>
          <w:sz w:val="18"/>
          <w:szCs w:val="18"/>
          <w:color w:val="auto"/>
        </w:rPr>
        <w:t>” means a Treasury Regulation promulgated under the Code.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4.3.2. Transfer Restrictions.</w:t>
      </w:r>
    </w:p>
    <w:p>
      <w:pPr>
        <w:spacing w:after="0" w:line="221" w:lineRule="exact"/>
        <w:rPr>
          <w:sz w:val="20"/>
          <w:szCs w:val="20"/>
          <w:color w:val="auto"/>
        </w:rPr>
      </w:pPr>
    </w:p>
    <w:p>
      <w:pPr>
        <w:ind w:right="180" w:firstLine="8"/>
        <w:spacing w:after="0" w:line="255" w:lineRule="auto"/>
        <w:tabs>
          <w:tab w:leader="none" w:pos="2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Date and prior to the Restriction Release Date, </w:t>
      </w:r>
      <w:r>
        <w:rPr>
          <w:rFonts w:ascii="Times New Roman" w:cs="Times New Roman" w:eastAsia="Times New Roman" w:hAnsi="Times New Roman"/>
          <w:sz w:val="18"/>
          <w:szCs w:val="18"/>
          <w:b w:val="1"/>
          <w:bCs w:val="1"/>
          <w:color w:val="auto"/>
        </w:rPr>
        <w:t>subject to Section 4.3.2(b) and (c),</w:t>
      </w:r>
      <w:r>
        <w:rPr>
          <w:rFonts w:ascii="Times New Roman" w:cs="Times New Roman" w:eastAsia="Times New Roman" w:hAnsi="Times New Roman"/>
          <w:sz w:val="18"/>
          <w:szCs w:val="18"/>
          <w:color w:val="auto"/>
        </w:rPr>
        <w:t xml:space="preserve"> no Transfer shall be permitted, and any such purported Transfer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to the extent that after giving effect to such purported Transfer (or any series of Transfers of which such Transfer is a part), either (i) any Person or group of Persons shall become a Five Percent Shareholder or (ii) the Percentage Stock Ownership interest in the Corporation of any Five Percent Shareholder shall be increased. The prior sentence is not intended to prevent the Corporation Securities from being DTC-eligible and shall not preclude the settlement of any transactions in the Corporation Securities entered into through the facilities of a national securities exchange or any national securities quotation system, provided, that if the settlement of the transaction would result in a Prohibited Transfer, such Transfer shall nonetheless be a Prohibited Transfer.</w:t>
      </w:r>
    </w:p>
    <w:p>
      <w:pPr>
        <w:spacing w:after="0" w:line="185" w:lineRule="exact"/>
        <w:rPr>
          <w:rFonts w:ascii="Times New Roman" w:cs="Times New Roman" w:eastAsia="Times New Roman" w:hAnsi="Times New Roman"/>
          <w:sz w:val="18"/>
          <w:szCs w:val="18"/>
          <w:color w:val="auto"/>
        </w:rPr>
      </w:pPr>
    </w:p>
    <w:p>
      <w:pPr>
        <w:ind w:right="20" w:firstLine="8"/>
        <w:spacing w:after="0" w:line="257" w:lineRule="auto"/>
        <w:tabs>
          <w:tab w:leader="none" w:pos="2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Article FOURTH are for the purposes of reducing the risk that any “ownership change” of the Corporation Securities (as defined in the Code) may limit the Corporation’s ability to utilize its Tax Benefits. In connection therewith, and to provide for effective policing of these provisions, a Restricted Holder who proposes to Acquire Corporation Securities shall, prior to the date of the proposed Acquisition, request in writing (a “</w:t>
      </w:r>
      <w:r>
        <w:rPr>
          <w:rFonts w:ascii="Times New Roman" w:cs="Times New Roman" w:eastAsia="Times New Roman" w:hAnsi="Times New Roman"/>
          <w:sz w:val="18"/>
          <w:szCs w:val="18"/>
          <w:b w:val="1"/>
          <w:bCs w:val="1"/>
          <w:color w:val="auto"/>
        </w:rPr>
        <w:t>Request</w:t>
      </w:r>
      <w:r>
        <w:rPr>
          <w:rFonts w:ascii="Times New Roman" w:cs="Times New Roman" w:eastAsia="Times New Roman" w:hAnsi="Times New Roman"/>
          <w:sz w:val="18"/>
          <w:szCs w:val="18"/>
          <w:color w:val="auto"/>
        </w:rPr>
        <w:t>”) that the Board of Directors of the Corporation (or a committee thereof that has been appointed by the Board of Directors) review the proposed Acquisition and authorize or not authorize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-1647190</wp:posOffset>
            </wp:positionV>
            <wp:extent cx="16471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471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-1630680</wp:posOffset>
            </wp:positionV>
            <wp:extent cx="16471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47190" cy="8255"/>
                    </a:xfrm>
                    <a:prstGeom prst="rect">
                      <a:avLst/>
                    </a:prstGeom>
                    <a:noFill/>
                  </pic:spPr>
                </pic:pic>
              </a:graphicData>
            </a:graphic>
          </wp:anchor>
        </w:drawing>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20"/>
          </w:cols>
          <w:pgMar w:left="240" w:top="494" w:right="339" w:bottom="1440" w:gutter="0" w:footer="0" w:header="0"/>
        </w:sectPr>
      </w:pPr>
    </w:p>
    <w:bookmarkStart w:id="52" w:name="page53"/>
    <w:bookmarkEnd w:id="52"/>
    <w:p>
      <w:pPr>
        <w:spacing w:after="0" w:line="256" w:lineRule="auto"/>
        <w:rPr>
          <w:sz w:val="20"/>
          <w:szCs w:val="20"/>
          <w:color w:val="auto"/>
        </w:rPr>
      </w:pPr>
      <w:r>
        <w:rPr>
          <w:rFonts w:ascii="Times New Roman" w:cs="Times New Roman" w:eastAsia="Times New Roman" w:hAnsi="Times New Roman"/>
          <w:sz w:val="18"/>
          <w:szCs w:val="18"/>
          <w:color w:val="auto"/>
        </w:rPr>
        <w:t xml:space="preserve">the proposed Acquisition in accordance with this Section 4.3.2(b) of Article FOURTH. A Request shall be mailed or delivered to the Secretary of the Corporation at the Corporation’s principal place of business, or telecopied to the Corporation’s telecopier number at its principal place of business. Such Request shall be deemed to have been received by the Corporation when actually received by the Corporation. A Request shall include (i) the name, address and telephone number of the Restricted Holder; (ii) a description of the Restricted Holder’s existing direct or indirect ownership of Corporation Securities; (iii) a description of the Corporation Securities that the Restricted Holder proposes to Acquire; (iv) the date on which the proposed Acquisition is expected to take place (or, if the Acquisition is proposed to be made by a Five Percent Shareholder in a transaction on a national securities exchange or any national securities quotation system, a statement to that effect); (v) the name of the proposed transferor of the Corporation Securities that the Restricted Holder proposes to Acquire (or, if the Acquisition is proposed to be made by a Five Percent Shareholder in a transaction on a national securities exchange or any national securities quotation system, a statement to that effect); and (vi) a request that the Board of Directors (or a committee thereof that has been appointed by the Board of Directors) authorize, if appropriate, the Acquisition pursuant to this Section 4.3.2(b) of Article FOURTH. The Board of Directors may authorize an Acquisition by a Restricted Holder, if it determines, in its sole discretion, that, after taking into account the preservation of the Tax Benefits, such Acquisition would be in the best interests of the Corporation and its stockholders. </w:t>
      </w:r>
      <w:r>
        <w:rPr>
          <w:rFonts w:ascii="Times New Roman" w:cs="Times New Roman" w:eastAsia="Times New Roman" w:hAnsi="Times New Roman"/>
          <w:sz w:val="16"/>
          <w:szCs w:val="16"/>
          <w:color w:val="auto"/>
          <w:strike w:val="1"/>
        </w:rPr>
        <w:t>Any determination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Subject to Section 4.3.2(c), unless and until</w:t>
      </w:r>
      <w:r>
        <w:rPr>
          <w:rFonts w:ascii="Times New Roman" w:cs="Times New Roman" w:eastAsia="Times New Roman" w:hAnsi="Times New Roman"/>
          <w:sz w:val="18"/>
          <w:szCs w:val="18"/>
          <w:color w:val="auto"/>
        </w:rPr>
        <w:t xml:space="preserve"> the Board of Directors </w:t>
      </w:r>
      <w:r>
        <w:rPr>
          <w:rFonts w:ascii="Times New Roman" w:cs="Times New Roman" w:eastAsia="Times New Roman" w:hAnsi="Times New Roman"/>
          <w:sz w:val="16"/>
          <w:szCs w:val="16"/>
          <w:color w:val="auto"/>
          <w:strike w:val="1"/>
        </w:rPr>
        <w:t>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b w:val="1"/>
          <w:bCs w:val="1"/>
          <w:color w:val="auto"/>
        </w:rPr>
        <w:t>determines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to authorize a proposed Acquisition by a Restricted 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strike w:val="1"/>
        </w:rPr>
        <w:t>shall cause such proposed</w:t>
      </w:r>
      <w:r>
        <w:rPr>
          <w:rFonts w:ascii="Times New Roman" w:cs="Times New Roman" w:eastAsia="Times New Roman" w:hAnsi="Times New Roman"/>
          <w:sz w:val="17"/>
          <w:szCs w:val="17"/>
          <w:b w:val="1"/>
          <w:bCs w:val="1"/>
          <w:color w:val="auto"/>
        </w:rPr>
        <w:t>, the consummation of 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Acquisition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strike w:val="1"/>
        </w:rPr>
        <w:t>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b w:val="1"/>
          <w:bCs w:val="1"/>
          <w:color w:val="auto"/>
        </w:rPr>
        <w:t>shall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strike w:val="1"/>
        </w:rPr>
        <w:t>deemed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 Prohibited Transfer. The Board of Directors may, in its sole discretion, impose any conditions that it deems reasonable and appropriate in connection with authorizing any such Acquisition by a Restricted Holder. In addition, the Board of Directors may, in its sole discretion, require such representations from the Restricted Holder or such opinions of counsel to be rendered by counsel selected by the Board of Directors, in each case as to such matters as the Board of Directors may determine. Any Restricted Holder who makes a Request to the Board of Directors shall reimburse the Corporation, on demand, for all costs and expenses incurred by the Corporation with respect to any proposed Acquisition of Corporation Securities, including, without limitation, the Corporation’s costs and expenses incurred in determining whether to authorize the proposed Acquisition, which costs may include, but are not limited to, any expenses of counsel and/or tax advisors engaged by the Board of Directors to advise the Board of Directors or deliver an opinion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-1106805</wp:posOffset>
            </wp:positionV>
            <wp:extent cx="20745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-1089660</wp:posOffset>
            </wp:positionV>
            <wp:extent cx="20745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-970280</wp:posOffset>
            </wp:positionV>
            <wp:extent cx="5378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784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-953135</wp:posOffset>
            </wp:positionV>
            <wp:extent cx="5378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7845"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-970280</wp:posOffset>
            </wp:positionV>
            <wp:extent cx="13233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2334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-953135</wp:posOffset>
            </wp:positionV>
            <wp:extent cx="13233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23340" cy="8255"/>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-970280</wp:posOffset>
            </wp:positionV>
            <wp:extent cx="2305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0505" cy="8255"/>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-953135</wp:posOffset>
            </wp:positionV>
            <wp:extent cx="2305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0505" cy="8255"/>
                    </a:xfrm>
                    <a:prstGeom prst="rect">
                      <a:avLst/>
                    </a:prstGeom>
                    <a:noFill/>
                  </pic:spPr>
                </pic:pic>
              </a:graphicData>
            </a:graphic>
          </wp:anchor>
        </w:drawing>
      </w:r>
    </w:p>
    <w:p>
      <w:pPr>
        <w:spacing w:after="0" w:line="163" w:lineRule="exact"/>
        <w:rPr>
          <w:sz w:val="20"/>
          <w:szCs w:val="20"/>
          <w:color w:val="auto"/>
        </w:rPr>
      </w:pPr>
    </w:p>
    <w:p>
      <w:pPr>
        <w:ind w:firstLine="8"/>
        <w:spacing w:after="0" w:line="255" w:lineRule="auto"/>
        <w:tabs>
          <w:tab w:leader="none" w:pos="24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Notwithstanding the foregoing Section 4.3.2(b), the Board of Directors may also authorize a purported prior Acquisition in respect of a Prohibited Transfer, if such Acquisition would not result in an “ownership change” of the Corporation Securities (within the meaning of Section 382(g) of the Code) and the Board of Directors determines, in its sole discretion, that, after taking into account the preservation of the Tax Benefits, such Acquisition would be in the best interests of the Corporation and its stockholders. Any determination by the Board of Directors not to authorize any purported prior Acquisition shall cause such purported prior Acquisition to continue to be deemed a Prohibited Transfer. The Request and Board of Director approval procedures set forth in Section 4.3.2(b) applicable to Restricted Holders with respect to proposed Acquisitions shall also apply to purported prior Acquisitions by any Person or group of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301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3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-817880</wp:posOffset>
            </wp:positionV>
            <wp:extent cx="72301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3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-697865</wp:posOffset>
            </wp:positionV>
            <wp:extent cx="70592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592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0592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592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-561340</wp:posOffset>
            </wp:positionV>
            <wp:extent cx="67348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48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67348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48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704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704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958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58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107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107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31413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413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31413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4.3.3. Treatment of Excess Securities.</w:t>
      </w:r>
    </w:p>
    <w:p>
      <w:pPr>
        <w:spacing w:after="0" w:line="221" w:lineRule="exact"/>
        <w:rPr>
          <w:sz w:val="20"/>
          <w:szCs w:val="20"/>
          <w:color w:val="auto"/>
        </w:rPr>
      </w:pPr>
    </w:p>
    <w:p>
      <w:pPr>
        <w:ind w:right="20" w:firstLine="8"/>
        <w:spacing w:after="0" w:line="256" w:lineRule="auto"/>
        <w:tabs>
          <w:tab w:leader="none" w:pos="2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or agent of the Corporation shall record any Prohibited Transfer, and the purported transferee of a Prohibited Transfer (the “</w:t>
      </w:r>
      <w:r>
        <w:rPr>
          <w:rFonts w:ascii="Times New Roman" w:cs="Times New Roman" w:eastAsia="Times New Roman" w:hAnsi="Times New Roman"/>
          <w:sz w:val="18"/>
          <w:szCs w:val="18"/>
          <w:b w:val="1"/>
          <w:bCs w:val="1"/>
          <w:color w:val="auto"/>
        </w:rPr>
        <w:t>Purported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not be recognized as a stockholder of the Corporation for any purpose whatsoever in respect of the Corporation Securities which 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of the Prohibited Transfer (the “</w:t>
      </w:r>
      <w:r>
        <w:rPr>
          <w:rFonts w:ascii="Times New Roman" w:cs="Times New Roman" w:eastAsia="Times New Roman" w:hAnsi="Times New Roman"/>
          <w:sz w:val="18"/>
          <w:szCs w:val="18"/>
          <w:b w:val="1"/>
          <w:bCs w:val="1"/>
          <w:color w:val="auto"/>
        </w:rPr>
        <w:t>Excess Securities</w:t>
      </w:r>
      <w:r>
        <w:rPr>
          <w:rFonts w:ascii="Times New Roman" w:cs="Times New Roman" w:eastAsia="Times New Roman" w:hAnsi="Times New Roman"/>
          <w:sz w:val="18"/>
          <w:szCs w:val="18"/>
          <w:color w:val="auto"/>
        </w:rPr>
        <w:t>”).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Once the Excess Securities have been acquired in a Transfer that is not a Prohibited Transfer, such Corporation Securities shall cease to be Excess Securities.</w:t>
      </w:r>
    </w:p>
    <w:p>
      <w:pPr>
        <w:spacing w:after="0" w:line="184" w:lineRule="exact"/>
        <w:rPr>
          <w:rFonts w:ascii="Times New Roman" w:cs="Times New Roman" w:eastAsia="Times New Roman" w:hAnsi="Times New Roman"/>
          <w:sz w:val="18"/>
          <w:szCs w:val="18"/>
          <w:color w:val="auto"/>
        </w:rPr>
      </w:pPr>
    </w:p>
    <w:p>
      <w:pPr>
        <w:ind w:firstLine="8"/>
        <w:spacing w:after="0" w:line="251" w:lineRule="auto"/>
        <w:tabs>
          <w:tab w:leader="none" w:pos="2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Board of Directors determines that a Prohibited Transfer has been recorded by an agent or employee of the Corporation notwithstanding the prohibition in Section 4.3.3(a) of this Article FOURTH, such recording and the Prohibited Transfer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have no legal effect and,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(the “</w:t>
      </w:r>
      <w:r>
        <w:rPr>
          <w:rFonts w:ascii="Times New Roman" w:cs="Times New Roman" w:eastAsia="Times New Roman" w:hAnsi="Times New Roman"/>
          <w:sz w:val="18"/>
          <w:szCs w:val="18"/>
          <w:b w:val="1"/>
          <w:bCs w:val="1"/>
          <w:color w:val="auto"/>
        </w:rPr>
        <w:t>Prohibited Distributions</w:t>
      </w:r>
      <w:r>
        <w:rPr>
          <w:rFonts w:ascii="Times New Roman" w:cs="Times New Roman" w:eastAsia="Times New Roman" w:hAnsi="Times New Roman"/>
          <w:sz w:val="18"/>
          <w:szCs w:val="18"/>
          <w:color w:val="auto"/>
        </w:rPr>
        <w:t>”), to an agent designated by the Board of Directors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In the event of an attempted Prohibited Transfer involving the purchase or Acquisition of Corporation Securities in violation of this Article FOURTH by a Restricted Holder, the Agent shall thereupon sell to a buyer or buyers, which may include the Corporation or the purported transferor, the Excess Securities transferred to it in one or more arm’s-length transactions (including over a national securities exchange or national securities quotation system on which the Corporation Securities may be traded); provided, however, that the Agent, in its sole discretion, shall effect such sale or sales in an orderly fashion and shall not be required to effect any such sale within any specific time frame if, in the Agent’s discretion, such sale or sales would disrupt the market for the Corporation Securities, would adversely affect the value of the Corporation Securities or would be in violation of applicable securities laws. If the Purported Transferee has resold the Excess Securities before receiving the Corporation’s demand to surrender the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53" w:name="page54"/>
    <w:bookmarkEnd w:id="53"/>
    <w:p>
      <w:pPr>
        <w:ind w:right="100"/>
        <w:spacing w:after="0" w:line="310" w:lineRule="auto"/>
        <w:rPr>
          <w:sz w:val="20"/>
          <w:szCs w:val="20"/>
          <w:color w:val="auto"/>
        </w:rPr>
      </w:pPr>
      <w:r>
        <w:rPr>
          <w:rFonts w:ascii="Times New Roman" w:cs="Times New Roman" w:eastAsia="Times New Roman" w:hAnsi="Times New Roman"/>
          <w:sz w:val="17"/>
          <w:szCs w:val="17"/>
          <w:color w:val="auto"/>
        </w:rPr>
        <w:t>permission to the Purported Transferee to retain a portion of such sales proceeds not exceeding the amount that the Purported Transferee would have received from the Agent pursuant to Section 4.3.3(c) of this Article FOURTH if the Agent, rather than the Purported Transferee, had resold the Excess Securities.</w:t>
      </w:r>
    </w:p>
    <w:p>
      <w:pPr>
        <w:spacing w:after="0" w:line="140" w:lineRule="exact"/>
        <w:rPr>
          <w:sz w:val="20"/>
          <w:szCs w:val="20"/>
          <w:color w:val="auto"/>
        </w:rPr>
      </w:pPr>
    </w:p>
    <w:p>
      <w:pPr>
        <w:ind w:right="40" w:firstLine="8"/>
        <w:spacing w:after="0" w:line="252" w:lineRule="auto"/>
        <w:tabs>
          <w:tab w:leader="none" w:pos="2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apply any proceeds of a sale by it of Excess Securities and, if the Purported Transferee had previously resold the Excess Securities, any amounts received by it from a Purported Transferee, as follows: (i) first, to reimburse itself to the extent necessary to cover its costs and expenses incurred in accordance with its duties hereunder; (ii) second, to reimburse the Purported Transferee for the amounts paid by the Purported Transferee for the Excess Securities (or in the case of any Prohibited Transfer by gift, devise or inheritance or any other Prohibited Transfer without consideration, the fair market value, calculated on the basis of the closing market price for the Corporation Securities on the day before the Prohibited Transfer); and (iii) third, the remainder, if any, to the original transferor, or, if the original transferor cannot be readily identified, to an entity designated by the Corporation’s Board of Directors that is described in Section 501(c) of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 (ii) of this Section 4.3.3(c) of this Article FOURTH. Except as may be required by law, in no event shall the proceeds of any sale of Excess Securities pursuant to this Article FOURTH inure to the benefit of the Corporation or the Agent, except to the extent used to cover expenses incurred by the Agent in performing its duties hereunder.</w:t>
      </w:r>
    </w:p>
    <w:p>
      <w:pPr>
        <w:spacing w:after="0" w:line="190" w:lineRule="exact"/>
        <w:rPr>
          <w:rFonts w:ascii="Times New Roman" w:cs="Times New Roman" w:eastAsia="Times New Roman" w:hAnsi="Times New Roman"/>
          <w:sz w:val="18"/>
          <w:szCs w:val="18"/>
          <w:color w:val="auto"/>
        </w:rPr>
      </w:pPr>
    </w:p>
    <w:p>
      <w:pPr>
        <w:ind w:right="260" w:firstLine="8"/>
        <w:spacing w:after="0" w:line="264" w:lineRule="auto"/>
        <w:tabs>
          <w:tab w:leader="none" w:pos="2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Purported Transferee fails to surrender the Excess Securities or the proceeds of a sale thereof to the Agent within thirty (30) days from the date on which the Corporation makes a demand pursuant to Section 4.3.3(b) of this Article FOURTH, then the Corporation may take such actions as it deems necessary to enforce the provisions hereof, including the institution of legal proceedings to compel such surrender.</w:t>
      </w:r>
    </w:p>
    <w:p>
      <w:pPr>
        <w:spacing w:after="0" w:line="173" w:lineRule="exact"/>
        <w:rPr>
          <w:rFonts w:ascii="Times New Roman" w:cs="Times New Roman" w:eastAsia="Times New Roman" w:hAnsi="Times New Roman"/>
          <w:sz w:val="18"/>
          <w:szCs w:val="18"/>
          <w:color w:val="auto"/>
        </w:rPr>
      </w:pPr>
    </w:p>
    <w:p>
      <w:pPr>
        <w:ind w:right="60" w:firstLine="8"/>
        <w:spacing w:after="0" w:line="261" w:lineRule="auto"/>
        <w:tabs>
          <w:tab w:leader="none" w:pos="2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shall knowingly violate, or knowingly cause any other Person under control of such Person (a “</w:t>
      </w:r>
      <w:r>
        <w:rPr>
          <w:rFonts w:ascii="Times New Roman" w:cs="Times New Roman" w:eastAsia="Times New Roman" w:hAnsi="Times New Roman"/>
          <w:sz w:val="18"/>
          <w:szCs w:val="18"/>
          <w:b w:val="1"/>
          <w:bCs w:val="1"/>
          <w:color w:val="auto"/>
        </w:rPr>
        <w:t>Controlled Person</w:t>
      </w:r>
      <w:r>
        <w:rPr>
          <w:rFonts w:ascii="Times New Roman" w:cs="Times New Roman" w:eastAsia="Times New Roman" w:hAnsi="Times New Roman"/>
          <w:sz w:val="18"/>
          <w:szCs w:val="18"/>
          <w:color w:val="auto"/>
        </w:rPr>
        <w:t>”) to violate this Article FOURTH, then that Person and any Controlled Person shall be jointly and severally liable for, and shall pay to the Corporation, such amount as will, after taking account of all taxes imposed with respect to the receipt or accrual of such amount and all costs incurred by the Corporation as a result of such violation, put the Corporation in the same financial position as it would have been in had such violation not occurred.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4.3.4. Legends; Compliance</w:t>
      </w:r>
    </w:p>
    <w:p>
      <w:pPr>
        <w:spacing w:after="0" w:line="225" w:lineRule="exact"/>
        <w:rPr>
          <w:sz w:val="20"/>
          <w:szCs w:val="20"/>
          <w:color w:val="auto"/>
        </w:rPr>
      </w:pPr>
    </w:p>
    <w:p>
      <w:pPr>
        <w:ind w:right="540" w:firstLine="8"/>
        <w:spacing w:after="0" w:line="280" w:lineRule="auto"/>
        <w:tabs>
          <w:tab w:leader="none" w:pos="2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reflecting Corporation Securities on or after the Effective Date shall, until the Restriction Release Date, bear a conspicuous legend in substantially the following form:</w:t>
      </w:r>
    </w:p>
    <w:p>
      <w:pPr>
        <w:spacing w:after="0" w:line="162"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8"/>
          <w:szCs w:val="18"/>
          <w:color w:val="auto"/>
        </w:rPr>
        <w:t>THE TRANSFER OF SECURITIES REPRESENTED HEREBY IS SUBJECT TO RESTRICTION PURSUANT TO ARTICLE FOURTH OF THE RESTATED CERTIFICATE OF INCORPORATION OF CASUAL MALE RETAIL GROUP, INC., AS AMENDED AND IN EFFECT FROM TIME TO TIME, A COPY OF WHICH MAY BE OBTAINED FROM THE CORPORATION UPON REQUEST.</w:t>
      </w:r>
    </w:p>
    <w:p>
      <w:pPr>
        <w:spacing w:after="0" w:line="177" w:lineRule="exact"/>
        <w:rPr>
          <w:sz w:val="20"/>
          <w:szCs w:val="20"/>
          <w:color w:val="auto"/>
        </w:rPr>
      </w:pPr>
    </w:p>
    <w:p>
      <w:pPr>
        <w:jc w:val="both"/>
        <w:ind w:right="220" w:firstLine="8"/>
        <w:spacing w:after="0" w:line="264" w:lineRule="auto"/>
        <w:tabs>
          <w:tab w:leader="none" w:pos="2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the power to make appropriate notations upon its stock transfer records and to instruct any transfer agent, registrar, securities intermediary or depository with respect to the requirements of this Article FOURTH for any uncertificated Corporation Securities or Corporation Securities held in an indirect holding system.</w:t>
      </w:r>
    </w:p>
    <w:p>
      <w:pPr>
        <w:spacing w:after="0" w:line="177" w:lineRule="exact"/>
        <w:rPr>
          <w:rFonts w:ascii="Times New Roman" w:cs="Times New Roman" w:eastAsia="Times New Roman" w:hAnsi="Times New Roman"/>
          <w:sz w:val="18"/>
          <w:szCs w:val="18"/>
          <w:color w:val="auto"/>
        </w:rPr>
      </w:pPr>
    </w:p>
    <w:p>
      <w:pPr>
        <w:ind w:right="160" w:firstLine="8"/>
        <w:spacing w:after="0" w:line="268" w:lineRule="auto"/>
        <w:tabs>
          <w:tab w:leader="none" w:pos="24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Article FOURTH shall limit the authority of the Board of Directors of the Corporation to take such other action to the extent permitted by law as it deems necessary or advisable to preserve the Corporation’s Tax Benefits. The Board of Directors of the Corporation shall have the power to determine all matters necessary for determining compliance with this Article FOURTH, including, without limitation, determining (i) the identification of Five Percent Shareholders and Restricted Holders; (ii) whether a Transfer or proposed Transfer is a Prohibited Transfer; (iii) the Percentage Stock Ownership in the Corporation of any Five Percent Shareholders and Restricted Holders; (iv) whether an instrument constitutes a Corporation Security;</w:t>
      </w:r>
    </w:p>
    <w:p>
      <w:pPr>
        <w:spacing w:after="0" w:line="2" w:lineRule="exact"/>
        <w:rPr>
          <w:rFonts w:ascii="Times New Roman" w:cs="Times New Roman" w:eastAsia="Times New Roman" w:hAnsi="Times New Roman"/>
          <w:sz w:val="17"/>
          <w:szCs w:val="17"/>
          <w:color w:val="auto"/>
        </w:rPr>
      </w:pPr>
    </w:p>
    <w:p>
      <w:pPr>
        <w:ind w:firstLine="8"/>
        <w:spacing w:after="0" w:line="250" w:lineRule="auto"/>
        <w:tabs>
          <w:tab w:leader="none" w:pos="2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fair market value) due to a Purported Transferee; (vi) the interpretation of the provisions of this Article FOURTH; and (vii) any other matters which the Board of Directors deems relevant. In the case of an ambiguity in the application of any of the provisions of this Article FOURTH, including any definition used herein, the Board of Directors shall have the power to determine the application of such provisions with respect to any situation based on its reasonable belief, understanding or knowledge of the circumstances. In the event that this Article FOURTH requires an action by the Board of Directors but fails to provide specific guidance with respect to such action, the Board of Directors shall have the power to determine the action to be taken so long as such action is not contrary to the provisions of this Article FOURTH. All such actions, calculations, interpretations and determinations that are done or made by the Board of Directors in good faith shall be final, conclusive and binding on the Corporation, the Agent, and all other parties to a Transfer; provided, however, that the Board of Directors may delegate all or any portion of its duties and powers under this Article FOURTH to a committee of the Board of Directors as it deems advisable or necessary.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4" w:name="page55"/>
    <w:bookmarkEnd w:id="54"/>
    <w:p>
      <w:pPr>
        <w:ind w:right="440" w:firstLine="8"/>
        <w:spacing w:after="0" w:line="280" w:lineRule="auto"/>
        <w:tabs>
          <w:tab w:leader="none" w:pos="2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FOURTH shall be construed to give any Person other than the Corporation or the Agent any legal or equitable right, remedy or claim under this Article FOURTH. This Article FOURTH shall be for the sole and exclusive benefit of the Corporation and the Agent.</w:t>
      </w:r>
    </w:p>
    <w:p>
      <w:pPr>
        <w:spacing w:after="0" w:line="162" w:lineRule="exact"/>
        <w:rPr>
          <w:rFonts w:ascii="Times New Roman" w:cs="Times New Roman" w:eastAsia="Times New Roman" w:hAnsi="Times New Roman"/>
          <w:sz w:val="18"/>
          <w:szCs w:val="18"/>
          <w:color w:val="auto"/>
        </w:rPr>
      </w:pPr>
    </w:p>
    <w:p>
      <w:pPr>
        <w:ind w:right="160" w:firstLine="8"/>
        <w:spacing w:after="0" w:line="264" w:lineRule="auto"/>
        <w:tabs>
          <w:tab w:leader="none" w:pos="2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Article FOURTH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FOURTH.</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Voting Power, Preferences, and Other Rights of Capital Stock.</w:t>
      </w:r>
      <w:r>
        <w:rPr>
          <w:rFonts w:ascii="Times New Roman" w:cs="Times New Roman" w:eastAsia="Times New Roman" w:hAnsi="Times New Roman"/>
          <w:sz w:val="18"/>
          <w:szCs w:val="18"/>
          <w:color w:val="auto"/>
        </w:rPr>
        <w:t xml:space="preserve"> The voting power, preferences and relative participating, optional or other special rights and the qualifications, limitations or restrictions of the Common Stock and Preferred Stock are as follows:</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4.4.1. Common Stock. </w:t>
      </w:r>
      <w:r>
        <w:rPr>
          <w:rFonts w:ascii="Times New Roman" w:cs="Times New Roman" w:eastAsia="Times New Roman" w:hAnsi="Times New Roman"/>
          <w:sz w:val="18"/>
          <w:szCs w:val="18"/>
          <w:color w:val="auto"/>
        </w:rPr>
        <w:t>The holders of the Common Stock shall be entitled to one vote for each share of Common Stock registered in the name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 holders of the Common Stock shall be entitled to such dividends as may from time to time be declared by the Board of Directors, but only when and as declared by the Board of Directors, out of any funds legally available for declaration of dividends, and subject to any provisions of this Certificate of Incorporation, as amended from time to time, or of resolutions of the Board of Directors adopted pursuant to authority herein contained, requiring that dividends be declared, paid or set aside upon the outstanding shares of Preferred Stock of any series or upon the outstanding shares of any other class of capital stock ranking senior to the Common Stock as to dividends or that the Corporation fulfill any obligations it may have with respect to the redemption of any outstanding Preferred Stock as a condition to the declaration and/or payment of any dividend on the Common Stock; but no such provisions shall restrict the declaration of payment of any dividend or distribution on the Common Stock payable solely in shares of Common Stock. In the event of the liquidation, dissolution or winding up of the affairs of the Corporation, the holders of the Common Stock shall be entitled to share pro rata in the net assets available for distribution to holders of Common Stock after satisfaction of the prior claims of the holders of shares of Preferred Stock of any series and shares of any other class of capital stock ranking senior to the Common Stock as to assets, in accordance with the provisions of this Certificate of Incorporation, as amended from time to time, or of resolutions of the Board of Directors adopted pursuant to authority herein contained.</w:t>
      </w:r>
    </w:p>
    <w:p>
      <w:pPr>
        <w:spacing w:after="0" w:line="18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Section 4.4.2. Preferred Stock. </w:t>
      </w:r>
      <w:r>
        <w:rPr>
          <w:rFonts w:ascii="Times New Roman" w:cs="Times New Roman" w:eastAsia="Times New Roman" w:hAnsi="Times New Roman"/>
          <w:sz w:val="18"/>
          <w:szCs w:val="18"/>
          <w:color w:val="auto"/>
        </w:rPr>
        <w:t>The Board of Directors is authorized, subject to limitations prescribed by law, to provide for the issuance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authority of the Board of Directors with respect to each series shall include, but not be limited to, determination of the following:</w:t>
      </w:r>
    </w:p>
    <w:p>
      <w:pPr>
        <w:spacing w:after="0" w:line="223" w:lineRule="exact"/>
        <w:rPr>
          <w:sz w:val="20"/>
          <w:szCs w:val="20"/>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 and the distinctive designation of that series;</w:t>
      </w:r>
    </w:p>
    <w:p>
      <w:pPr>
        <w:spacing w:after="0" w:line="223" w:lineRule="exact"/>
        <w:rPr>
          <w:rFonts w:ascii="Times New Roman" w:cs="Times New Roman" w:eastAsia="Times New Roman" w:hAnsi="Times New Roman"/>
          <w:sz w:val="18"/>
          <w:szCs w:val="18"/>
          <w:color w:val="auto"/>
        </w:rPr>
      </w:pPr>
    </w:p>
    <w:p>
      <w:pPr>
        <w:ind w:right="40" w:firstLine="8"/>
        <w:spacing w:after="0" w:line="280" w:lineRule="auto"/>
        <w:tabs>
          <w:tab w:leader="none" w:pos="2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that series, whether dividends shall be cumulative, and, if so, from which date or dates, and the relative rights of priority, if any, of payment of dividends on shares of that series;</w:t>
      </w:r>
    </w:p>
    <w:p>
      <w:pPr>
        <w:spacing w:after="0" w:line="16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voting rights, in addition to the voting rights provided by law, and, if so, the terms of such voting rights;</w:t>
      </w:r>
    </w:p>
    <w:p>
      <w:pPr>
        <w:spacing w:after="0" w:line="223" w:lineRule="exact"/>
        <w:rPr>
          <w:rFonts w:ascii="Times New Roman" w:cs="Times New Roman" w:eastAsia="Times New Roman" w:hAnsi="Times New Roman"/>
          <w:sz w:val="18"/>
          <w:szCs w:val="18"/>
          <w:color w:val="auto"/>
        </w:rPr>
      </w:pPr>
    </w:p>
    <w:p>
      <w:pPr>
        <w:ind w:right="400" w:firstLine="8"/>
        <w:spacing w:after="0" w:line="280" w:lineRule="auto"/>
        <w:tabs>
          <w:tab w:leader="none" w:pos="2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62" w:lineRule="exact"/>
        <w:rPr>
          <w:rFonts w:ascii="Times New Roman" w:cs="Times New Roman" w:eastAsia="Times New Roman" w:hAnsi="Times New Roman"/>
          <w:sz w:val="18"/>
          <w:szCs w:val="18"/>
          <w:color w:val="auto"/>
        </w:rPr>
      </w:pPr>
    </w:p>
    <w:p>
      <w:pPr>
        <w:ind w:right="300" w:firstLine="8"/>
        <w:spacing w:after="0" w:line="264" w:lineRule="auto"/>
        <w:tabs>
          <w:tab w:leader="none" w:pos="2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that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a sinking fund for the redemption or purchase of shares of that series, and, if so, the terms and amount of such sinking fund;</w:t>
      </w:r>
    </w:p>
    <w:p>
      <w:pPr>
        <w:spacing w:after="0" w:line="223" w:lineRule="exact"/>
        <w:rPr>
          <w:rFonts w:ascii="Times New Roman" w:cs="Times New Roman" w:eastAsia="Times New Roman" w:hAnsi="Times New Roman"/>
          <w:sz w:val="18"/>
          <w:szCs w:val="18"/>
          <w:color w:val="auto"/>
        </w:rPr>
      </w:pPr>
    </w:p>
    <w:p>
      <w:pPr>
        <w:ind w:right="340" w:firstLine="8"/>
        <w:spacing w:after="0" w:line="280" w:lineRule="auto"/>
        <w:tabs>
          <w:tab w:leader="none" w:pos="2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of winding up of the Corporation, and the relative rights of priority, if any, of payment of shares of that series; and</w:t>
      </w:r>
    </w:p>
    <w:p>
      <w:pPr>
        <w:spacing w:after="0" w:line="16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rights, preferences and limitations of that series.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5" w:name="page56"/>
    <w:bookmarkEnd w:id="55"/>
    <w:p>
      <w:pPr>
        <w:ind w:right="80" w:firstLine="761"/>
        <w:spacing w:after="0" w:line="280" w:lineRule="auto"/>
        <w:rPr>
          <w:sz w:val="20"/>
          <w:szCs w:val="20"/>
          <w:color w:val="auto"/>
        </w:rPr>
      </w:pPr>
      <w:r>
        <w:rPr>
          <w:rFonts w:ascii="Times New Roman" w:cs="Times New Roman" w:eastAsia="Times New Roman" w:hAnsi="Times New Roman"/>
          <w:sz w:val="18"/>
          <w:szCs w:val="18"/>
          <w:color w:val="auto"/>
        </w:rPr>
        <w:t>IN WITNESS WHEREOF, this Certificate of Amendment to the Corporation’s Restated Certificate of Incorporation, as amended, has been executed by a duly authorized officer of the Corporation on this the __________th day of _____________, 2018.</w:t>
      </w:r>
    </w:p>
    <w:p>
      <w:pPr>
        <w:spacing w:after="0" w:line="200" w:lineRule="exact"/>
        <w:rPr>
          <w:sz w:val="20"/>
          <w:szCs w:val="20"/>
          <w:color w:val="auto"/>
        </w:rPr>
      </w:pPr>
    </w:p>
    <w:p>
      <w:pPr>
        <w:spacing w:after="0" w:line="39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Name:</w:t>
      </w:r>
    </w:p>
    <w:p>
      <w:pPr>
        <w:spacing w:after="0" w:line="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820"/>
          </w:cols>
          <w:pgMar w:left="240" w:top="498" w:right="8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Non-GAAP Financial Measures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above discussion references non-GAAP measures that we use on a regular basis in order to track the progress of our business. These measures include EBITDA (earnings before interest, taxes, depreciation and amortization), Adjusted EBITDA (EBITDA before impairment of assets) and free cash flow. We believe these measures provide helpful information with respect to the Company’s operating performance. In addition, we use EBITDA because it: (i) measures performance over the periods in which executives can have significant impact, (ii) is directly linked to our annual incentive plan and long-term growth plan, and (iii) is a key metric used by management and the Board to assess our operating performance. However, these measures may not be comparable to similar measures used by other companies and should not be considered superior to or as a substitute for operating income (loss), net income (loss) or cash flows from operating activities in accordance with GAAP.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Adjusted EBITDA and EBITDA from Net Loss, on a GAAP basis: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Fiscal 2017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Fiscal 2016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Fiscal 2015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Fiscal 2014</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Fiscal 2013</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on a GAAP basis</w:t>
            </w: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180" w:type="dxa"/>
            <w:vAlign w:val="bottom"/>
            <w:gridSpan w:val="2"/>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(18.8)</w:t>
            </w:r>
          </w:p>
        </w:tc>
        <w:tc>
          <w:tcPr>
            <w:tcW w:w="1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(12.3)</w:t>
            </w:r>
          </w:p>
        </w:tc>
        <w:tc>
          <w:tcPr>
            <w:tcW w:w="440" w:type="dxa"/>
            <w:vAlign w:val="bottom"/>
            <w:shd w:val="clear" w:color="auto" w:fill="CFF0FC"/>
          </w:tcPr>
          <w:p>
            <w:pPr>
              <w:jc w:val="right"/>
              <w:ind w:right="188"/>
              <w:spacing w:after="0" w:line="14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61"/>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 back: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4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61"/>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4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1"/>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(23.7)</w:t>
            </w:r>
          </w:p>
        </w:tc>
        <w:tc>
          <w:tcPr>
            <w:tcW w:w="4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55"/>
        </w:trPr>
        <w:tc>
          <w:tcPr>
            <w:tcW w:w="5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EBITDA</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Deduct: Income (loss) from discontinued operations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4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EBITDA from continuing operations</w:t>
            </w: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3"/>
                <w:szCs w:val="13"/>
                <w:color w:val="auto"/>
              </w:rPr>
            </w:pPr>
          </w:p>
        </w:tc>
        <w:tc>
          <w:tcPr>
            <w:tcW w:w="2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3"/>
                <w:szCs w:val="13"/>
                <w:color w:val="auto"/>
              </w:rPr>
            </w:pPr>
          </w:p>
        </w:tc>
        <w:tc>
          <w:tcPr>
            <w:tcW w:w="440" w:type="dxa"/>
            <w:vAlign w:val="bottom"/>
            <w:tcBorders>
              <w:top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Impairment of assets</w:t>
            </w:r>
          </w:p>
        </w:tc>
        <w:tc>
          <w:tcPr>
            <w:tcW w:w="140" w:type="dxa"/>
            <w:vAlign w:val="bottom"/>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760" w:hanging="376"/>
        <w:spacing w:after="0"/>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loss for fiscal 2013 includes a charge of $51.3 million to establish a full valuation allowance against our deferred tax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Free Cash Flow from Cash Flow from Operating Activities: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2016</w:t>
            </w:r>
          </w:p>
        </w:tc>
      </w:tr>
      <w:tr>
        <w:trPr>
          <w:trHeight w:val="148"/>
        </w:trPr>
        <w:tc>
          <w:tcPr>
            <w:tcW w:w="4420" w:type="dxa"/>
            <w:vAlign w:val="bottom"/>
            <w:tcBorders>
              <w:top w:val="single" w:sz="8" w:color="CFF0FC"/>
            </w:tcBorders>
            <w:gridSpan w:val="3"/>
            <w:shd w:val="clear" w:color="auto" w:fill="CFF0FC"/>
          </w:tcPr>
          <w:p>
            <w:pPr>
              <w:ind w:left="80"/>
              <w:spacing w:after="0" w:line="148" w:lineRule="exact"/>
              <w:rPr>
                <w:sz w:val="20"/>
                <w:szCs w:val="20"/>
                <w:color w:val="auto"/>
              </w:rPr>
            </w:pPr>
            <w:r>
              <w:rPr>
                <w:rFonts w:ascii="Times New Roman" w:cs="Times New Roman" w:eastAsia="Times New Roman" w:hAnsi="Times New Roman"/>
                <w:sz w:val="14"/>
                <w:szCs w:val="14"/>
                <w:color w:val="auto"/>
              </w:rPr>
              <w:t>Cash flow provided by operations activities, on a GAAP basis</w:t>
            </w:r>
          </w:p>
        </w:tc>
        <w:tc>
          <w:tcPr>
            <w:tcW w:w="7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31.0</w:t>
            </w: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top w:val="single" w:sz="8" w:color="CFF0FC"/>
            </w:tcBorders>
            <w:shd w:val="clear" w:color="auto" w:fill="CFF0FC"/>
          </w:tcPr>
          <w:p>
            <w:pPr>
              <w:spacing w:after="0"/>
              <w:rPr>
                <w:sz w:val="12"/>
                <w:szCs w:val="12"/>
                <w:color w:val="auto"/>
              </w:rPr>
            </w:pPr>
          </w:p>
        </w:tc>
      </w:tr>
      <w:tr>
        <w:trPr>
          <w:trHeight w:val="161"/>
        </w:trPr>
        <w:tc>
          <w:tcPr>
            <w:tcW w:w="44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Less: capital expenditures</w:t>
            </w:r>
          </w:p>
        </w:tc>
        <w:tc>
          <w:tcPr>
            <w:tcW w:w="96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(29.2)</w:t>
            </w:r>
          </w:p>
        </w:tc>
      </w:tr>
      <w:tr>
        <w:trPr>
          <w:trHeight w:val="155"/>
        </w:trPr>
        <w:tc>
          <w:tcPr>
            <w:tcW w:w="4420" w:type="dxa"/>
            <w:vAlign w:val="bottom"/>
            <w:tcBorders>
              <w:top w:val="single" w:sz="8" w:color="CFF0FC"/>
            </w:tcBorders>
            <w:gridSpan w:val="3"/>
            <w:shd w:val="clear" w:color="auto" w:fill="CFF0FC"/>
          </w:tcPr>
          <w:p>
            <w:pPr>
              <w:ind w:left="80"/>
              <w:spacing w:after="0" w:line="155" w:lineRule="exact"/>
              <w:rPr>
                <w:sz w:val="20"/>
                <w:szCs w:val="20"/>
                <w:color w:val="auto"/>
              </w:rPr>
            </w:pPr>
            <w:r>
              <w:rPr>
                <w:rFonts w:ascii="Times New Roman" w:cs="Times New Roman" w:eastAsia="Times New Roman" w:hAnsi="Times New Roman"/>
                <w:sz w:val="14"/>
                <w:szCs w:val="14"/>
                <w:color w:val="auto"/>
              </w:rPr>
              <w:t>Free cash flow</w:t>
            </w:r>
          </w:p>
        </w:tc>
        <w:tc>
          <w:tcPr>
            <w:tcW w:w="7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8.4</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FF0FC"/>
            </w:tcBorders>
            <w:shd w:val="clear" w:color="auto" w:fill="CFF0FC"/>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8980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7" w:name="page58"/>
    <w:bookmarkEnd w:id="57"/>
    <w:p>
      <w:pPr>
        <w:ind w:left="5020"/>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Notice of 2018 Annual Meeting of</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Stockholders and Proxy Statement</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Thursday, August 9, 2018</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9:30 A.M. EDT</w:t>
      </w:r>
    </w:p>
    <w:p>
      <w:pPr>
        <w:spacing w:after="0" w:line="9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9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Please sign your proxy and</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return it in the enclosed</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postage-paid envelope so</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that you may be represented</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470535</wp:posOffset>
            </wp:positionV>
            <wp:extent cx="728980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58" w:name="page59"/>
    <w:bookmarkEnd w:id="58"/>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ANNUAL MEETING OF STOCKHOLDERS OF</w:t>
      </w:r>
    </w:p>
    <w:p>
      <w:pPr>
        <w:spacing w:after="0" w:line="2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2"/>
          <w:szCs w:val="22"/>
          <w:color w:val="auto"/>
        </w:rPr>
        <w:t>DESTINATION XL GROUP, INC.</w:t>
      </w:r>
    </w:p>
    <w:p>
      <w:pPr>
        <w:ind w:left="5120"/>
        <w:spacing w:after="0"/>
        <w:rPr>
          <w:sz w:val="20"/>
          <w:szCs w:val="20"/>
          <w:color w:val="auto"/>
        </w:rPr>
      </w:pPr>
      <w:r>
        <w:rPr>
          <w:rFonts w:ascii="Times New Roman" w:cs="Times New Roman" w:eastAsia="Times New Roman" w:hAnsi="Times New Roman"/>
          <w:sz w:val="18"/>
          <w:szCs w:val="18"/>
          <w:b w:val="1"/>
          <w:bCs w:val="1"/>
          <w:color w:val="auto"/>
        </w:rPr>
        <w:t>August 9, 2018</w:t>
      </w:r>
    </w:p>
    <w:p>
      <w:pPr>
        <w:spacing w:after="0" w:line="14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9"/>
          <w:szCs w:val="9"/>
          <w:b w:val="1"/>
          <w:bCs w:val="1"/>
          <w:color w:val="auto"/>
        </w:rPr>
        <w:t>GO GREEN</w:t>
      </w:r>
    </w:p>
    <w:p>
      <w:pPr>
        <w:jc w:val="center"/>
        <w:ind w:right="-899"/>
        <w:spacing w:after="0" w:line="224" w:lineRule="auto"/>
        <w:rPr>
          <w:sz w:val="20"/>
          <w:szCs w:val="20"/>
          <w:color w:val="auto"/>
        </w:rPr>
      </w:pPr>
      <w:r>
        <w:rPr>
          <w:rFonts w:ascii="Times New Roman" w:cs="Times New Roman" w:eastAsia="Times New Roman" w:hAnsi="Times New Roman"/>
          <w:sz w:val="9"/>
          <w:szCs w:val="9"/>
          <w:color w:val="auto"/>
        </w:rPr>
        <w:t>e-consent makes it easy to go paperless. With e-consent, you can quickly access your proxy material, statements and other eligible documents online, while reducing costs, clutter and paper</w:t>
      </w:r>
    </w:p>
    <w:p>
      <w:pPr>
        <w:jc w:val="center"/>
        <w:ind w:right="-899"/>
        <w:spacing w:after="0"/>
        <w:rPr>
          <w:sz w:val="20"/>
          <w:szCs w:val="20"/>
          <w:color w:val="auto"/>
        </w:rPr>
      </w:pPr>
      <w:r>
        <w:rPr>
          <w:rFonts w:ascii="Times New Roman" w:cs="Times New Roman" w:eastAsia="Times New Roman" w:hAnsi="Times New Roman"/>
          <w:sz w:val="9"/>
          <w:szCs w:val="9"/>
          <w:color w:val="auto"/>
        </w:rPr>
        <w:t xml:space="preserve">waste. Enroll today via </w:t>
      </w:r>
      <w:r>
        <w:rPr>
          <w:rFonts w:ascii="Times New Roman" w:cs="Times New Roman" w:eastAsia="Times New Roman" w:hAnsi="Times New Roman"/>
          <w:sz w:val="9"/>
          <w:szCs w:val="9"/>
          <w:u w:val="single" w:color="auto"/>
          <w:color w:val="auto"/>
        </w:rPr>
        <w:t>www.astfinancial.com</w:t>
      </w:r>
      <w:r>
        <w:rPr>
          <w:rFonts w:ascii="Times New Roman" w:cs="Times New Roman" w:eastAsia="Times New Roman" w:hAnsi="Times New Roman"/>
          <w:sz w:val="9"/>
          <w:szCs w:val="9"/>
          <w:color w:val="auto"/>
        </w:rPr>
        <w:t xml:space="preserve"> to enjoy online access.</w:t>
      </w:r>
    </w:p>
    <w:p>
      <w:pPr>
        <w:spacing w:after="0" w:line="12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u w:val="single" w:color="auto"/>
          <w:color w:val="auto"/>
        </w:rPr>
        <w:t>Important Notice Regarding Internet Availability of Proxy Materials for the Annual Meeting of Stockholders to be Held on August 9, 2018</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color w:val="auto"/>
        </w:rPr>
        <w:t xml:space="preserve">The Proxy Statement and 2018 Annual Report to Stockholders are available at </w:t>
      </w:r>
      <w:r>
        <w:rPr>
          <w:rFonts w:ascii="Times New Roman" w:cs="Times New Roman" w:eastAsia="Times New Roman" w:hAnsi="Times New Roman"/>
          <w:sz w:val="16"/>
          <w:szCs w:val="16"/>
          <w:u w:val="single" w:color="auto"/>
          <w:color w:val="auto"/>
        </w:rPr>
        <w:t>http://investor.destinationxl.com/financial-information/annual-reports</w:t>
      </w:r>
    </w:p>
    <w:p>
      <w:pPr>
        <w:spacing w:after="0" w:line="14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color w:val="auto"/>
        </w:rPr>
        <w:t>PLEASE SIGN, DATE AND MAIL</w:t>
      </w:r>
    </w:p>
    <w:p>
      <w:pPr>
        <w:jc w:val="center"/>
        <w:ind w:right="-899"/>
        <w:spacing w:after="0" w:line="224" w:lineRule="auto"/>
        <w:rPr>
          <w:sz w:val="20"/>
          <w:szCs w:val="20"/>
          <w:color w:val="auto"/>
        </w:rPr>
      </w:pPr>
      <w:r>
        <w:rPr>
          <w:rFonts w:ascii="Times New Roman" w:cs="Times New Roman" w:eastAsia="Times New Roman" w:hAnsi="Times New Roman"/>
          <w:sz w:val="14"/>
          <w:szCs w:val="14"/>
          <w:color w:val="auto"/>
        </w:rPr>
        <w:t>YOUR PROXY CARD IN THE ENVELOPE</w:t>
      </w:r>
    </w:p>
    <w:p>
      <w:pPr>
        <w:jc w:val="center"/>
        <w:ind w:right="-899"/>
        <w:spacing w:after="0" w:line="232" w:lineRule="auto"/>
        <w:rPr>
          <w:sz w:val="20"/>
          <w:szCs w:val="20"/>
          <w:color w:val="auto"/>
        </w:rPr>
      </w:pPr>
      <w:r>
        <w:rPr>
          <w:rFonts w:ascii="Times New Roman" w:cs="Times New Roman" w:eastAsia="Times New Roman" w:hAnsi="Times New Roman"/>
          <w:sz w:val="14"/>
          <w:szCs w:val="14"/>
          <w:color w:val="auto"/>
        </w:rPr>
        <w:t>PROVIDED AS SOON AS POSSIBLE.</w:t>
      </w:r>
    </w:p>
    <w:p>
      <w:pPr>
        <w:ind w:left="4440"/>
        <w:spacing w:after="0"/>
        <w:rPr>
          <w:sz w:val="20"/>
          <w:szCs w:val="20"/>
          <w:color w:val="auto"/>
        </w:rPr>
      </w:pPr>
      <w:r>
        <w:rPr>
          <w:rFonts w:ascii="Times New Roman" w:cs="Times New Roman" w:eastAsia="Times New Roman" w:hAnsi="Times New Roman"/>
          <w:sz w:val="9"/>
          <w:szCs w:val="9"/>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161925</wp:posOffset>
            </wp:positionV>
            <wp:extent cx="7251065" cy="3111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065" cy="311150"/>
                    </a:xfrm>
                    <a:prstGeom prst="rect">
                      <a:avLst/>
                    </a:prstGeom>
                    <a:noFill/>
                  </pic:spPr>
                </pic:pic>
              </a:graphicData>
            </a:graphic>
          </wp:anchor>
        </w:drawing>
      </w:r>
    </w:p>
    <w:p>
      <w:pPr>
        <w:spacing w:after="0" w:line="24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3"/>
          <w:szCs w:val="13"/>
          <w:b w:val="1"/>
          <w:bCs w:val="1"/>
          <w:color w:val="auto"/>
        </w:rPr>
        <w:t>THE BOARD OF DIRECTORS RECOMMENDS A VOTE “FOR” THE ELECTION OF DIRECTORS,</w:t>
      </w:r>
    </w:p>
    <w:p>
      <w:pPr>
        <w:jc w:val="center"/>
        <w:ind w:right="-899"/>
        <w:spacing w:after="0" w:line="231" w:lineRule="auto"/>
        <w:rPr>
          <w:sz w:val="20"/>
          <w:szCs w:val="20"/>
          <w:color w:val="auto"/>
        </w:rPr>
      </w:pPr>
      <w:r>
        <w:rPr>
          <w:rFonts w:ascii="Times New Roman" w:cs="Times New Roman" w:eastAsia="Times New Roman" w:hAnsi="Times New Roman"/>
          <w:sz w:val="13"/>
          <w:szCs w:val="13"/>
          <w:b w:val="1"/>
          <w:bCs w:val="1"/>
          <w:color w:val="auto"/>
        </w:rPr>
        <w:t>AND “FOR” PROPOSALS 2, 3 AND 4.</w:t>
      </w:r>
    </w:p>
    <w:p>
      <w:pPr>
        <w:ind w:left="1080"/>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PLEASE SIGN, DATE AND RETURN PROMPTLY IN THE ENCLOSED ENVELOPE. PLEASE MARK YOUR VOTE IN BLUE OR BLACK INK AS SHOWN HERE </w:t>
      </w:r>
      <w:r>
        <w:rPr>
          <w:rFonts w:ascii="MS PGothic" w:cs="MS PGothic" w:eastAsia="MS PGothic" w:hAnsi="MS PGothic"/>
          <w:sz w:val="11"/>
          <w:szCs w:val="11"/>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47255" cy="5343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7255" cy="5343525"/>
                    </a:xfrm>
                    <a:prstGeom prst="rect">
                      <a:avLst/>
                    </a:prstGeom>
                    <a:noFill/>
                  </pic:spPr>
                </pic:pic>
              </a:graphicData>
            </a:graphic>
          </wp:anchor>
        </w:drawing>
      </w:r>
    </w:p>
    <w:p>
      <w:pPr>
        <w:spacing w:after="0" w:line="174" w:lineRule="exact"/>
        <w:rPr>
          <w:sz w:val="20"/>
          <w:szCs w:val="20"/>
          <w:color w:val="auto"/>
        </w:rPr>
      </w:pPr>
    </w:p>
    <w:p>
      <w:pPr>
        <w:ind w:left="1740" w:right="2540" w:hanging="1416"/>
        <w:spacing w:after="0" w:line="260"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Election of Directors. </w:t>
      </w:r>
      <w:r>
        <w:rPr>
          <w:rFonts w:ascii="Times New Roman" w:cs="Times New Roman" w:eastAsia="Times New Roman" w:hAnsi="Times New Roman"/>
          <w:sz w:val="14"/>
          <w:szCs w:val="14"/>
          <w:color w:val="auto"/>
        </w:rPr>
        <w:t>THE BOARD OF DIRECTORS RECOMMENDS A VOTE “FOR” EACH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NOMINEES NAMED BELOW.</w:t>
      </w:r>
    </w:p>
    <w:p>
      <w:pPr>
        <w:spacing w:after="0" w:line="68"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325"/>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Seymour Holtzman</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David A. Levin</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Jack Boyle</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Lionel F. Conacher</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John E. Kyees</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Willem Mesdag</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Ward K. Mooney</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Mitchell S. Presser</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4"/>
                <w:szCs w:val="24"/>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Ivy Ross</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1"/>
        </w:trPr>
        <w:tc>
          <w:tcPr>
            <w:tcW w:w="76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61"/>
        </w:trPr>
        <w:tc>
          <w:tcPr>
            <w:tcW w:w="7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94"/>
              </w:rPr>
              <w:t>2.</w:t>
            </w: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To approve, on an advisory basis, named executive officer compensation. </w:t>
            </w:r>
            <w:r>
              <w:rPr>
                <w:rFonts w:ascii="Times New Roman" w:cs="Times New Roman" w:eastAsia="Times New Roman" w:hAnsi="Times New Roman"/>
                <w:sz w:val="14"/>
                <w:szCs w:val="14"/>
                <w:color w:val="auto"/>
              </w:rPr>
              <w:t>THE BOARD OF</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DIRECTORS RECOMMENDS A VOTE “FOR” PROPOSAL 2.</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61"/>
        </w:trPr>
        <w:tc>
          <w:tcPr>
            <w:tcW w:w="7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94"/>
              </w:rPr>
              <w:t>3.</w:t>
            </w: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To approve and adopt an amendment to the Company’s Restated Certificate of Incorporation to</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37"/>
        </w:trPr>
        <w:tc>
          <w:tcPr>
            <w:tcW w:w="760" w:type="dxa"/>
            <w:vAlign w:val="bottom"/>
          </w:tcPr>
          <w:p>
            <w:pPr>
              <w:spacing w:after="0"/>
              <w:rPr>
                <w:sz w:val="11"/>
                <w:szCs w:val="11"/>
                <w:color w:val="auto"/>
              </w:rPr>
            </w:pPr>
          </w:p>
        </w:tc>
        <w:tc>
          <w:tcPr>
            <w:tcW w:w="7060" w:type="dxa"/>
            <w:vAlign w:val="bottom"/>
          </w:tcPr>
          <w:p>
            <w:pPr>
              <w:ind w:left="660"/>
              <w:spacing w:after="0" w:line="137" w:lineRule="exact"/>
              <w:rPr>
                <w:sz w:val="20"/>
                <w:szCs w:val="20"/>
                <w:color w:val="auto"/>
              </w:rPr>
            </w:pPr>
            <w:r>
              <w:rPr>
                <w:rFonts w:ascii="Times New Roman" w:cs="Times New Roman" w:eastAsia="Times New Roman" w:hAnsi="Times New Roman"/>
                <w:sz w:val="14"/>
                <w:szCs w:val="14"/>
                <w:b w:val="1"/>
                <w:bCs w:val="1"/>
                <w:color w:val="auto"/>
              </w:rPr>
              <w:t>modify certain protective transfer restrictions designed to preserve its ability to utilize its net operating</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60" w:type="dxa"/>
            <w:vAlign w:val="bottom"/>
          </w:tcPr>
          <w:p>
            <w:pPr>
              <w:spacing w:after="0"/>
              <w:rPr>
                <w:sz w:val="13"/>
                <w:szCs w:val="13"/>
                <w:color w:val="auto"/>
              </w:rPr>
            </w:pPr>
          </w:p>
        </w:tc>
        <w:tc>
          <w:tcPr>
            <w:tcW w:w="7060" w:type="dxa"/>
            <w:vAlign w:val="bottom"/>
          </w:tcPr>
          <w:p>
            <w:pPr>
              <w:ind w:left="660"/>
              <w:spacing w:after="0" w:line="150" w:lineRule="exact"/>
              <w:rPr>
                <w:sz w:val="20"/>
                <w:szCs w:val="20"/>
                <w:color w:val="auto"/>
              </w:rPr>
            </w:pPr>
            <w:r>
              <w:rPr>
                <w:rFonts w:ascii="Times New Roman" w:cs="Times New Roman" w:eastAsia="Times New Roman" w:hAnsi="Times New Roman"/>
                <w:sz w:val="14"/>
                <w:szCs w:val="14"/>
                <w:b w:val="1"/>
                <w:bCs w:val="1"/>
                <w:color w:val="auto"/>
              </w:rPr>
              <w:t xml:space="preserve">loss (“NOL”) carryforwards. </w:t>
            </w:r>
            <w:r>
              <w:rPr>
                <w:rFonts w:ascii="Times New Roman" w:cs="Times New Roman" w:eastAsia="Times New Roman" w:hAnsi="Times New Roman"/>
                <w:sz w:val="14"/>
                <w:szCs w:val="14"/>
                <w:color w:val="auto"/>
              </w:rPr>
              <w:t>THE BOARD OF DIRECTORS RECOMMENDS A VOTE “FOR”</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PROPOSAL 3.</w:t>
            </w:r>
          </w:p>
        </w:tc>
        <w:tc>
          <w:tcPr>
            <w:tcW w:w="5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7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94"/>
              </w:rPr>
              <w:t>4.</w:t>
            </w:r>
          </w:p>
        </w:tc>
        <w:tc>
          <w:tcPr>
            <w:tcW w:w="70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To ratify the appointment of KPMG LLP as the Company’s independent registered public accounting</w:t>
            </w:r>
          </w:p>
        </w:tc>
        <w:tc>
          <w:tcPr>
            <w:tcW w:w="58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060" w:type="dxa"/>
            <w:vAlign w:val="bottom"/>
          </w:tcPr>
          <w:p>
            <w:pPr>
              <w:ind w:left="66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firm for fiscal year ending February 2, 2019. </w:t>
            </w:r>
            <w:r>
              <w:rPr>
                <w:rFonts w:ascii="Times New Roman" w:cs="Times New Roman" w:eastAsia="Times New Roman" w:hAnsi="Times New Roman"/>
                <w:sz w:val="14"/>
                <w:szCs w:val="14"/>
                <w:color w:val="auto"/>
              </w:rPr>
              <w:t>THE BOARD OF DIRECTORS RECOMMENDS A VOTE</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740"/>
        <w:spacing w:after="0"/>
        <w:rPr>
          <w:sz w:val="20"/>
          <w:szCs w:val="20"/>
          <w:color w:val="auto"/>
        </w:rPr>
      </w:pPr>
      <w:r>
        <w:rPr>
          <w:rFonts w:ascii="Times New Roman" w:cs="Times New Roman" w:eastAsia="Times New Roman" w:hAnsi="Times New Roman"/>
          <w:sz w:val="14"/>
          <w:szCs w:val="14"/>
          <w:color w:val="auto"/>
        </w:rPr>
        <w:t>“FOR” PROPOSAL 4.</w:t>
      </w:r>
    </w:p>
    <w:p>
      <w:pPr>
        <w:sectPr>
          <w:pgSz w:w="11900" w:h="16838" w:orient="portrait"/>
          <w:cols w:equalWidth="0" w:num="1">
            <w:col w:w="10480"/>
          </w:cols>
          <w:pgMar w:left="260" w:top="399" w:right="1159" w:bottom="1440" w:gutter="0" w:footer="0" w:header="0"/>
        </w:sectPr>
      </w:pPr>
    </w:p>
    <w:p>
      <w:pPr>
        <w:spacing w:after="0" w:line="9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4"/>
          <w:szCs w:val="14"/>
          <w:color w:val="auto"/>
        </w:rPr>
        <w:t>IF THIS PROXY IS PROPERLY EXECUTED AND RETURNED IT WILL BE VOTED AS SPECIFIED HEREIN. IF NO SPECIFIC DIRECTION IS GIVEN, IT WILL BE VOTED “FOR” EACH DIRECTOR NOMINEE AND “FOR” EACH OF THE OTHER PROPOSALS. RECEIPT IS HEREBY ACKNOWLEDGED OF THE NOTICE OF ANNUAL MEETING AND PROXY STATEMENT OF DESTINATION XL GROUP, INC. DATED July 13, 2018.</w:t>
      </w:r>
    </w:p>
    <w:p>
      <w:pPr>
        <w:spacing w:after="0" w:line="11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2" w:lineRule="exact"/>
        <w:rPr>
          <w:sz w:val="20"/>
          <w:szCs w:val="20"/>
          <w:color w:val="auto"/>
        </w:rPr>
      </w:pPr>
    </w:p>
    <w:p>
      <w:pPr>
        <w:sectPr>
          <w:pgSz w:w="11900" w:h="16838" w:orient="portrait"/>
          <w:cols w:equalWidth="0" w:num="2">
            <w:col w:w="7880" w:space="440"/>
            <w:col w:w="2160"/>
          </w:cols>
          <w:pgMar w:left="260" w:top="399" w:right="1159" w:bottom="1440" w:gutter="0" w:footer="0" w:header="0"/>
          <w:type w:val="continuous"/>
        </w:sectPr>
      </w:pPr>
    </w:p>
    <w:p>
      <w:pPr>
        <w:ind w:right="360"/>
        <w:spacing w:after="0" w:line="239"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85" w:lineRule="exact"/>
        <w:rPr>
          <w:sz w:val="20"/>
          <w:szCs w:val="20"/>
          <w:color w:val="auto"/>
        </w:rPr>
      </w:pPr>
    </w:p>
    <w:p>
      <w:pPr>
        <w:ind w:left="260"/>
        <w:spacing w:after="0"/>
        <w:tabs>
          <w:tab w:leader="none" w:pos="3200" w:val="left"/>
          <w:tab w:leader="none" w:pos="5240" w:val="left"/>
          <w:tab w:leader="none" w:pos="9180" w:val="left"/>
        </w:tabs>
        <w:rPr>
          <w:sz w:val="20"/>
          <w:szCs w:val="20"/>
          <w:color w:val="auto"/>
        </w:rPr>
      </w:pP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394335</wp:posOffset>
            </wp:positionV>
            <wp:extent cx="728980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480"/>
          </w:cols>
          <w:pgMar w:left="260" w:top="399" w:right="1159" w:bottom="1440"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247255" cy="2663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7255" cy="2663190"/>
                    </a:xfrm>
                    <a:prstGeom prst="rect">
                      <a:avLst/>
                    </a:prstGeom>
                    <a:noFill/>
                  </pic:spPr>
                </pic:pic>
              </a:graphicData>
            </a:graphic>
          </wp:anchor>
        </w:drawing>
      </w:r>
    </w:p>
    <w:p>
      <w:pPr>
        <w:spacing w:after="0" w:line="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August 9, 2018</w:t>
      </w:r>
    </w:p>
    <w:p>
      <w:pPr>
        <w:spacing w:after="0" w:line="2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undersigned stockholder of Destination XL Group, Inc. (the “Company”) hereby appoints Seymour Holtzman and David A. Levin,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9, 2018, at 9:30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280"/>
      </w:cols>
      <w:pgMar w:left="26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lvl w:ilvl="1">
      <w:lvlJc w:val="left"/>
      <w:lvlText w:val="%2)"/>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4"/>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4"/>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lvl w:ilvl="1">
      <w:lvlJc w:val="left"/>
      <w:lvlText w:val="(%2)"/>
      <w:numFmt w:val="decimal"/>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
    </w:lvl>
    <w:lvl w:ilvl="1">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3"/>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3"/>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3"/>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3"/>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lowerLetter"/>
      <w:start w:val="22"/>
    </w:lvl>
  </w:abstractNum>
  <w:abstractNum w:abstractNumId="53">
    <w:nsid w:val="649BB77C"/>
    <w:multiLevelType w:val="hybridMultilevel"/>
    <w:lvl w:ilvl="0">
      <w:lvlJc w:val="left"/>
      <w:lvlText w:val="(%1)"/>
      <w:numFmt w:val="lowerLetter"/>
      <w:start w:val="4"/>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2019-12-05T17:50:50Z</dcterms:created>
  <dcterms:modified xsi:type="dcterms:W3CDTF">2019-12-05T17:50:50Z</dcterms:modified>
</cp:coreProperties>
</file>