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276860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6" w:lineRule="exact"/>
        <w:rPr>
          <w:sz w:val="24"/>
          <w:szCs w:val="24"/>
          <w:color w:val="auto"/>
        </w:rPr>
      </w:pPr>
    </w:p>
    <w:p>
      <w:pPr>
        <w:jc w:val="center"/>
        <w:ind w:right="-4"/>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140970</wp:posOffset>
            </wp:positionV>
            <wp:extent cx="5556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5625" cy="7620"/>
                    </a:xfrm>
                    <a:prstGeom prst="rect">
                      <a:avLst/>
                    </a:prstGeom>
                    <a:noFill/>
                  </pic:spPr>
                </pic:pic>
              </a:graphicData>
            </a:graphic>
          </wp:anchor>
        </w:drawing>
      </w:r>
    </w:p>
    <w:p>
      <w:pPr>
        <w:spacing w:after="0" w:line="328" w:lineRule="exact"/>
        <w:rPr>
          <w:sz w:val="24"/>
          <w:szCs w:val="24"/>
          <w:color w:val="auto"/>
        </w:rPr>
      </w:pPr>
    </w:p>
    <w:p>
      <w:pPr>
        <w:jc w:val="center"/>
        <w:ind w:right="-4"/>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158115</wp:posOffset>
            </wp:positionV>
            <wp:extent cx="5556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5625" cy="7620"/>
                    </a:xfrm>
                    <a:prstGeom prst="rect">
                      <a:avLst/>
                    </a:prstGeom>
                    <a:noFill/>
                  </pic:spPr>
                </pic:pic>
              </a:graphicData>
            </a:graphic>
          </wp:anchor>
        </w:drawing>
      </w:r>
    </w:p>
    <w:p>
      <w:pPr>
        <w:spacing w:after="0" w:line="311"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89"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89"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Date of Report (Date of earliest event reported): September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154940</wp:posOffset>
            </wp:positionV>
            <wp:extent cx="5556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5625" cy="7620"/>
                    </a:xfrm>
                    <a:prstGeom prst="rect">
                      <a:avLst/>
                    </a:prstGeom>
                    <a:noFill/>
                  </pic:spPr>
                </pic:pic>
              </a:graphicData>
            </a:graphic>
          </wp:anchor>
        </w:drawing>
      </w:r>
    </w:p>
    <w:p>
      <w:pPr>
        <w:spacing w:after="0" w:line="350" w:lineRule="exact"/>
        <w:rPr>
          <w:sz w:val="24"/>
          <w:szCs w:val="24"/>
          <w:color w:val="auto"/>
        </w:rPr>
      </w:pPr>
    </w:p>
    <w:p>
      <w:pPr>
        <w:jc w:val="center"/>
        <w:ind w:right="-4"/>
        <w:spacing w:after="0"/>
        <w:rPr>
          <w:sz w:val="20"/>
          <w:szCs w:val="20"/>
          <w:color w:val="auto"/>
        </w:rPr>
      </w:pPr>
      <w:r>
        <w:rPr>
          <w:rFonts w:ascii="Arial" w:cs="Arial" w:eastAsia="Arial" w:hAnsi="Arial"/>
          <w:sz w:val="25"/>
          <w:szCs w:val="25"/>
          <w:b w:val="1"/>
          <w:bCs w:val="1"/>
          <w:color w:val="auto"/>
        </w:rPr>
        <w:t>DESTINATION XL GROUP, INC.</w:t>
      </w:r>
    </w:p>
    <w:p>
      <w:pPr>
        <w:spacing w:after="0" w:line="37"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137160</wp:posOffset>
            </wp:positionV>
            <wp:extent cx="5556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625" cy="7620"/>
                    </a:xfrm>
                    <a:prstGeom prst="rect">
                      <a:avLst/>
                    </a:prstGeom>
                    <a:noFill/>
                  </pic:spPr>
                </pic:pic>
              </a:graphicData>
            </a:graphic>
          </wp:anchor>
        </w:drawing>
      </w:r>
    </w:p>
    <w:p>
      <w:pPr>
        <w:spacing w:after="0" w:line="360" w:lineRule="exact"/>
        <w:rPr>
          <w:sz w:val="24"/>
          <w:szCs w:val="24"/>
          <w:color w:val="auto"/>
        </w:rPr>
      </w:pPr>
    </w:p>
    <w:tbl>
      <w:tblPr>
        <w:tblLayout w:type="fixed"/>
        <w:tblInd w:w="865" w:type="dxa"/>
        <w:tblCellMar>
          <w:top w:w="0" w:type="dxa"/>
          <w:left w:w="0" w:type="dxa"/>
          <w:bottom w:w="0" w:type="dxa"/>
          <w:right w:w="0" w:type="dxa"/>
        </w:tblCellMar>
      </w:tblPr>
      <w:tr>
        <w:trPr>
          <w:trHeight w:val="227"/>
        </w:trPr>
        <w:tc>
          <w:tcPr>
            <w:tcW w:w="3040" w:type="dxa"/>
            <w:vAlign w:val="bottom"/>
          </w:tcPr>
          <w:p>
            <w:pPr>
              <w:jc w:val="center"/>
              <w:ind w:right="948"/>
              <w:spacing w:after="0"/>
              <w:rPr>
                <w:sz w:val="20"/>
                <w:szCs w:val="20"/>
                <w:color w:val="auto"/>
              </w:rPr>
            </w:pPr>
            <w:r>
              <w:rPr>
                <w:rFonts w:ascii="Arial" w:cs="Arial" w:eastAsia="Arial" w:hAnsi="Arial"/>
                <w:sz w:val="19"/>
                <w:szCs w:val="19"/>
                <w:b w:val="1"/>
                <w:bCs w:val="1"/>
                <w:color w:val="auto"/>
                <w:w w:val="93"/>
              </w:rPr>
              <w:t>Delaware</w:t>
            </w:r>
          </w:p>
        </w:tc>
        <w:tc>
          <w:tcPr>
            <w:tcW w:w="3700" w:type="dxa"/>
            <w:vAlign w:val="bottom"/>
          </w:tcPr>
          <w:p>
            <w:pPr>
              <w:jc w:val="right"/>
              <w:ind w:right="1543"/>
              <w:spacing w:after="0"/>
              <w:rPr>
                <w:sz w:val="20"/>
                <w:szCs w:val="20"/>
                <w:color w:val="auto"/>
              </w:rPr>
            </w:pPr>
            <w:r>
              <w:rPr>
                <w:rFonts w:ascii="Arial" w:cs="Arial" w:eastAsia="Arial" w:hAnsi="Arial"/>
                <w:sz w:val="19"/>
                <w:szCs w:val="19"/>
                <w:b w:val="1"/>
                <w:bCs w:val="1"/>
                <w:color w:val="auto"/>
              </w:rPr>
              <w:t>01-34219</w:t>
            </w:r>
          </w:p>
        </w:tc>
        <w:tc>
          <w:tcPr>
            <w:tcW w:w="2240" w:type="dxa"/>
            <w:vAlign w:val="bottom"/>
          </w:tcPr>
          <w:p>
            <w:pPr>
              <w:jc w:val="right"/>
              <w:spacing w:after="0"/>
              <w:rPr>
                <w:sz w:val="20"/>
                <w:szCs w:val="20"/>
                <w:color w:val="auto"/>
              </w:rPr>
            </w:pPr>
            <w:r>
              <w:rPr>
                <w:rFonts w:ascii="Arial" w:cs="Arial" w:eastAsia="Arial" w:hAnsi="Arial"/>
                <w:sz w:val="19"/>
                <w:szCs w:val="19"/>
                <w:b w:val="1"/>
                <w:bCs w:val="1"/>
                <w:color w:val="auto"/>
              </w:rPr>
              <w:t>04-2623104</w:t>
            </w:r>
          </w:p>
        </w:tc>
        <w:tc>
          <w:tcPr>
            <w:tcW w:w="0" w:type="dxa"/>
            <w:vAlign w:val="bottom"/>
          </w:tcPr>
          <w:p>
            <w:pPr>
              <w:spacing w:after="0"/>
              <w:rPr>
                <w:sz w:val="1"/>
                <w:szCs w:val="1"/>
                <w:color w:val="auto"/>
              </w:rPr>
            </w:pPr>
          </w:p>
        </w:tc>
      </w:tr>
      <w:tr>
        <w:trPr>
          <w:trHeight w:val="130"/>
        </w:trPr>
        <w:tc>
          <w:tcPr>
            <w:tcW w:w="3040" w:type="dxa"/>
            <w:vAlign w:val="bottom"/>
          </w:tcPr>
          <w:p>
            <w:pPr>
              <w:jc w:val="center"/>
              <w:ind w:right="948"/>
              <w:spacing w:after="0" w:line="130" w:lineRule="exact"/>
              <w:rPr>
                <w:sz w:val="20"/>
                <w:szCs w:val="20"/>
                <w:color w:val="auto"/>
              </w:rPr>
            </w:pPr>
            <w:r>
              <w:rPr>
                <w:rFonts w:ascii="Arial" w:cs="Arial" w:eastAsia="Arial" w:hAnsi="Arial"/>
                <w:sz w:val="12"/>
                <w:szCs w:val="12"/>
                <w:b w:val="1"/>
                <w:bCs w:val="1"/>
                <w:color w:val="auto"/>
                <w:w w:val="91"/>
              </w:rPr>
              <w:t>(State or Other Jurisdiction</w:t>
            </w:r>
          </w:p>
        </w:tc>
        <w:tc>
          <w:tcPr>
            <w:tcW w:w="3700" w:type="dxa"/>
            <w:vAlign w:val="bottom"/>
          </w:tcPr>
          <w:p>
            <w:pPr>
              <w:spacing w:after="0"/>
              <w:rPr>
                <w:sz w:val="11"/>
                <w:szCs w:val="11"/>
                <w:color w:val="auto"/>
              </w:rPr>
            </w:pPr>
          </w:p>
        </w:tc>
        <w:tc>
          <w:tcPr>
            <w:tcW w:w="2240" w:type="dxa"/>
            <w:vAlign w:val="bottom"/>
          </w:tcPr>
          <w:p>
            <w:pPr>
              <w:jc w:val="center"/>
              <w:ind w:left="1247"/>
              <w:spacing w:after="0" w:line="130" w:lineRule="exact"/>
              <w:rPr>
                <w:sz w:val="20"/>
                <w:szCs w:val="20"/>
                <w:color w:val="auto"/>
              </w:rPr>
            </w:pPr>
            <w:r>
              <w:rPr>
                <w:rFonts w:ascii="Arial" w:cs="Arial" w:eastAsia="Arial" w:hAnsi="Arial"/>
                <w:sz w:val="12"/>
                <w:szCs w:val="12"/>
                <w:b w:val="1"/>
                <w:bCs w:val="1"/>
                <w:color w:val="auto"/>
                <w:w w:val="92"/>
              </w:rPr>
              <w:t>(IRS Employer</w:t>
            </w:r>
          </w:p>
        </w:tc>
        <w:tc>
          <w:tcPr>
            <w:tcW w:w="0" w:type="dxa"/>
            <w:vAlign w:val="bottom"/>
          </w:tcPr>
          <w:p>
            <w:pPr>
              <w:spacing w:after="0"/>
              <w:rPr>
                <w:sz w:val="1"/>
                <w:szCs w:val="1"/>
                <w:color w:val="auto"/>
              </w:rPr>
            </w:pPr>
          </w:p>
        </w:tc>
      </w:tr>
      <w:tr>
        <w:trPr>
          <w:trHeight w:val="151"/>
        </w:trPr>
        <w:tc>
          <w:tcPr>
            <w:tcW w:w="3040" w:type="dxa"/>
            <w:vAlign w:val="bottom"/>
          </w:tcPr>
          <w:p>
            <w:pPr>
              <w:jc w:val="center"/>
              <w:ind w:right="948"/>
              <w:spacing w:after="0"/>
              <w:rPr>
                <w:sz w:val="20"/>
                <w:szCs w:val="20"/>
                <w:color w:val="auto"/>
              </w:rPr>
            </w:pPr>
            <w:r>
              <w:rPr>
                <w:rFonts w:ascii="Arial" w:cs="Arial" w:eastAsia="Arial" w:hAnsi="Arial"/>
                <w:sz w:val="12"/>
                <w:szCs w:val="12"/>
                <w:b w:val="1"/>
                <w:bCs w:val="1"/>
                <w:color w:val="auto"/>
                <w:w w:val="89"/>
              </w:rPr>
              <w:t>of Incorporation)</w:t>
            </w:r>
          </w:p>
        </w:tc>
        <w:tc>
          <w:tcPr>
            <w:tcW w:w="3700" w:type="dxa"/>
            <w:vAlign w:val="bottom"/>
          </w:tcPr>
          <w:p>
            <w:pPr>
              <w:jc w:val="center"/>
              <w:ind w:right="183"/>
              <w:spacing w:after="0"/>
              <w:rPr>
                <w:sz w:val="20"/>
                <w:szCs w:val="20"/>
                <w:color w:val="auto"/>
              </w:rPr>
            </w:pPr>
            <w:r>
              <w:rPr>
                <w:rFonts w:ascii="Arial" w:cs="Arial" w:eastAsia="Arial" w:hAnsi="Arial"/>
                <w:sz w:val="12"/>
                <w:szCs w:val="12"/>
                <w:b w:val="1"/>
                <w:bCs w:val="1"/>
                <w:color w:val="auto"/>
                <w:w w:val="89"/>
              </w:rPr>
              <w:t>(Commission File Number)</w:t>
            </w:r>
          </w:p>
        </w:tc>
        <w:tc>
          <w:tcPr>
            <w:tcW w:w="2240" w:type="dxa"/>
            <w:vAlign w:val="bottom"/>
          </w:tcPr>
          <w:p>
            <w:pPr>
              <w:jc w:val="center"/>
              <w:ind w:left="1227"/>
              <w:spacing w:after="0"/>
              <w:rPr>
                <w:sz w:val="20"/>
                <w:szCs w:val="20"/>
                <w:color w:val="auto"/>
              </w:rPr>
            </w:pPr>
            <w:r>
              <w:rPr>
                <w:rFonts w:ascii="Arial" w:cs="Arial" w:eastAsia="Arial" w:hAnsi="Arial"/>
                <w:sz w:val="12"/>
                <w:szCs w:val="12"/>
                <w:b w:val="1"/>
                <w:bCs w:val="1"/>
                <w:color w:val="auto"/>
                <w:w w:val="92"/>
              </w:rPr>
              <w:t>Identification No.)</w:t>
            </w:r>
          </w:p>
        </w:tc>
        <w:tc>
          <w:tcPr>
            <w:tcW w:w="0" w:type="dxa"/>
            <w:vAlign w:val="bottom"/>
          </w:tcPr>
          <w:p>
            <w:pPr>
              <w:spacing w:after="0"/>
              <w:rPr>
                <w:sz w:val="1"/>
                <w:szCs w:val="1"/>
                <w:color w:val="auto"/>
              </w:rPr>
            </w:pPr>
          </w:p>
        </w:tc>
      </w:tr>
      <w:tr>
        <w:trPr>
          <w:trHeight w:val="375"/>
        </w:trPr>
        <w:tc>
          <w:tcPr>
            <w:tcW w:w="3040" w:type="dxa"/>
            <w:vAlign w:val="bottom"/>
          </w:tcPr>
          <w:p>
            <w:pPr>
              <w:jc w:val="center"/>
              <w:ind w:right="948"/>
              <w:spacing w:after="0"/>
              <w:rPr>
                <w:sz w:val="20"/>
                <w:szCs w:val="20"/>
                <w:color w:val="auto"/>
              </w:rPr>
            </w:pPr>
            <w:r>
              <w:rPr>
                <w:rFonts w:ascii="Arial" w:cs="Arial" w:eastAsia="Arial" w:hAnsi="Arial"/>
                <w:sz w:val="16"/>
                <w:szCs w:val="16"/>
                <w:b w:val="1"/>
                <w:bCs w:val="1"/>
                <w:color w:val="auto"/>
                <w:w w:val="89"/>
              </w:rPr>
              <w:t>555 Turnpike Street</w:t>
            </w:r>
            <w:r>
              <w:rPr>
                <w:rFonts w:ascii="Arial" w:cs="Arial" w:eastAsia="Arial" w:hAnsi="Arial"/>
                <w:sz w:val="18"/>
                <w:szCs w:val="18"/>
                <w:b w:val="1"/>
                <w:bCs w:val="1"/>
                <w:color w:val="auto"/>
                <w:w w:val="89"/>
              </w:rPr>
              <w:t>,</w:t>
            </w:r>
          </w:p>
        </w:tc>
        <w:tc>
          <w:tcPr>
            <w:tcW w:w="3700" w:type="dxa"/>
            <w:vAlign w:val="bottom"/>
          </w:tcPr>
          <w:p>
            <w:pPr>
              <w:spacing w:after="0"/>
              <w:rPr>
                <w:sz w:val="24"/>
                <w:szCs w:val="24"/>
                <w:color w:val="auto"/>
              </w:rPr>
            </w:pPr>
          </w:p>
        </w:tc>
        <w:tc>
          <w:tcPr>
            <w:tcW w:w="2240" w:type="dxa"/>
            <w:vAlign w:val="bottom"/>
            <w:vMerge w:val="restart"/>
          </w:tcPr>
          <w:p>
            <w:pPr>
              <w:jc w:val="right"/>
              <w:ind w:right="167"/>
              <w:spacing w:after="0"/>
              <w:rPr>
                <w:sz w:val="20"/>
                <w:szCs w:val="20"/>
                <w:color w:val="auto"/>
              </w:rPr>
            </w:pPr>
            <w:r>
              <w:rPr>
                <w:rFonts w:ascii="Arial" w:cs="Arial" w:eastAsia="Arial" w:hAnsi="Arial"/>
                <w:sz w:val="19"/>
                <w:szCs w:val="19"/>
                <w:b w:val="1"/>
                <w:bCs w:val="1"/>
                <w:color w:val="auto"/>
              </w:rPr>
              <w:t>02021</w:t>
            </w:r>
          </w:p>
        </w:tc>
        <w:tc>
          <w:tcPr>
            <w:tcW w:w="0" w:type="dxa"/>
            <w:vAlign w:val="bottom"/>
          </w:tcPr>
          <w:p>
            <w:pPr>
              <w:spacing w:after="0"/>
              <w:rPr>
                <w:sz w:val="1"/>
                <w:szCs w:val="1"/>
                <w:color w:val="auto"/>
              </w:rPr>
            </w:pPr>
          </w:p>
        </w:tc>
      </w:tr>
      <w:tr>
        <w:trPr>
          <w:trHeight w:val="195"/>
        </w:trPr>
        <w:tc>
          <w:tcPr>
            <w:tcW w:w="3040" w:type="dxa"/>
            <w:vAlign w:val="bottom"/>
          </w:tcPr>
          <w:p>
            <w:pPr>
              <w:jc w:val="center"/>
              <w:ind w:right="948"/>
              <w:spacing w:after="0"/>
              <w:rPr>
                <w:sz w:val="20"/>
                <w:szCs w:val="20"/>
                <w:color w:val="auto"/>
              </w:rPr>
            </w:pPr>
            <w:r>
              <w:rPr>
                <w:rFonts w:ascii="Arial" w:cs="Arial" w:eastAsia="Arial" w:hAnsi="Arial"/>
                <w:sz w:val="16"/>
                <w:szCs w:val="16"/>
                <w:b w:val="1"/>
                <w:bCs w:val="1"/>
                <w:color w:val="auto"/>
                <w:w w:val="86"/>
              </w:rPr>
              <w:t>Canton, Massachusetts</w:t>
            </w:r>
          </w:p>
        </w:tc>
        <w:tc>
          <w:tcPr>
            <w:tcW w:w="3700" w:type="dxa"/>
            <w:vAlign w:val="bottom"/>
          </w:tcPr>
          <w:p>
            <w:pPr>
              <w:spacing w:after="0"/>
              <w:rPr>
                <w:sz w:val="16"/>
                <w:szCs w:val="16"/>
                <w:color w:val="auto"/>
              </w:rPr>
            </w:pP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040" w:type="dxa"/>
            <w:vAlign w:val="bottom"/>
          </w:tcPr>
          <w:p>
            <w:pPr>
              <w:jc w:val="center"/>
              <w:ind w:right="948"/>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3700" w:type="dxa"/>
            <w:vAlign w:val="bottom"/>
          </w:tcPr>
          <w:p>
            <w:pPr>
              <w:spacing w:after="0"/>
              <w:rPr>
                <w:sz w:val="13"/>
                <w:szCs w:val="13"/>
                <w:color w:val="auto"/>
              </w:rPr>
            </w:pPr>
          </w:p>
        </w:tc>
        <w:tc>
          <w:tcPr>
            <w:tcW w:w="2240" w:type="dxa"/>
            <w:vAlign w:val="bottom"/>
          </w:tcPr>
          <w:p>
            <w:pPr>
              <w:jc w:val="center"/>
              <w:ind w:left="1227"/>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 xml:space="preserve">Registrant’s Telephone Number, Including Area Code: </w:t>
      </w:r>
      <w:r>
        <w:rPr>
          <w:rFonts w:ascii="Arial" w:cs="Arial" w:eastAsia="Arial" w:hAnsi="Arial"/>
          <w:sz w:val="15"/>
          <w:szCs w:val="15"/>
          <w:b w:val="1"/>
          <w:bCs w:val="1"/>
          <w:color w:val="auto"/>
        </w:rPr>
        <w:t>(781) 828-9300</w:t>
      </w:r>
    </w:p>
    <w:p>
      <w:pPr>
        <w:spacing w:after="0" w:line="102" w:lineRule="exact"/>
        <w:rPr>
          <w:sz w:val="24"/>
          <w:szCs w:val="24"/>
          <w:color w:val="auto"/>
        </w:rPr>
      </w:pPr>
    </w:p>
    <w:p>
      <w:pPr>
        <w:jc w:val="center"/>
        <w:ind w:right="-4"/>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133350</wp:posOffset>
            </wp:positionV>
            <wp:extent cx="5556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5625" cy="7620"/>
                    </a:xfrm>
                    <a:prstGeom prst="rect">
                      <a:avLst/>
                    </a:prstGeom>
                    <a:noFill/>
                  </pic:spPr>
                </pic:pic>
              </a:graphicData>
            </a:graphic>
          </wp:anchor>
        </w:drawing>
      </w:r>
    </w:p>
    <w:p>
      <w:pPr>
        <w:spacing w:after="0" w:line="331"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28" w:lineRule="exact"/>
        <w:rPr>
          <w:sz w:val="24"/>
          <w:szCs w:val="24"/>
          <w:color w:val="auto"/>
        </w:rPr>
      </w:pPr>
    </w:p>
    <w:p>
      <w:pPr>
        <w:ind w:left="5"/>
        <w:spacing w:after="0"/>
        <w:rPr>
          <w:sz w:val="20"/>
          <w:szCs w:val="20"/>
          <w:color w:val="auto"/>
        </w:rPr>
      </w:pPr>
      <w:r>
        <w:rPr>
          <w:rFonts w:ascii="Arial" w:cs="Arial" w:eastAsia="Arial" w:hAnsi="Arial"/>
          <w:sz w:val="16"/>
          <w:szCs w:val="16"/>
          <w:color w:val="auto"/>
        </w:rPr>
        <w:t>General Instructions A.2. below):</w:t>
      </w:r>
    </w:p>
    <w:p>
      <w:pPr>
        <w:spacing w:after="0" w:line="89" w:lineRule="exact"/>
        <w:rPr>
          <w:sz w:val="24"/>
          <w:szCs w:val="24"/>
          <w:color w:val="auto"/>
        </w:rPr>
      </w:pPr>
    </w:p>
    <w:p>
      <w:pPr>
        <w:ind w:left="625" w:hanging="625"/>
        <w:spacing w:after="0"/>
        <w:tabs>
          <w:tab w:leader="none" w:pos="6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64" w:lineRule="exact"/>
        <w:rPr>
          <w:rFonts w:ascii="MS PGothic" w:cs="MS PGothic" w:eastAsia="MS PGothic" w:hAnsi="MS PGothic"/>
          <w:sz w:val="16"/>
          <w:szCs w:val="16"/>
          <w:color w:val="auto"/>
        </w:rPr>
      </w:pPr>
    </w:p>
    <w:p>
      <w:pPr>
        <w:ind w:left="625" w:hanging="625"/>
        <w:spacing w:after="0"/>
        <w:tabs>
          <w:tab w:leader="none" w:pos="6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64" w:lineRule="exact"/>
        <w:rPr>
          <w:rFonts w:ascii="MS PGothic" w:cs="MS PGothic" w:eastAsia="MS PGothic" w:hAnsi="MS PGothic"/>
          <w:sz w:val="16"/>
          <w:szCs w:val="16"/>
          <w:color w:val="auto"/>
        </w:rPr>
      </w:pPr>
    </w:p>
    <w:p>
      <w:pPr>
        <w:ind w:left="625" w:hanging="625"/>
        <w:spacing w:after="0"/>
        <w:tabs>
          <w:tab w:leader="none" w:pos="6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64" w:lineRule="exact"/>
        <w:rPr>
          <w:rFonts w:ascii="MS PGothic" w:cs="MS PGothic" w:eastAsia="MS PGothic" w:hAnsi="MS PGothic"/>
          <w:sz w:val="16"/>
          <w:szCs w:val="16"/>
          <w:color w:val="auto"/>
        </w:rPr>
      </w:pPr>
    </w:p>
    <w:p>
      <w:pPr>
        <w:ind w:left="625" w:hanging="625"/>
        <w:spacing w:after="0"/>
        <w:tabs>
          <w:tab w:leader="none" w:pos="6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9" w:lineRule="exact"/>
        <w:rPr>
          <w:sz w:val="24"/>
          <w:szCs w:val="24"/>
          <w:color w:val="auto"/>
        </w:rPr>
      </w:pPr>
    </w:p>
    <w:p>
      <w:pPr>
        <w:ind w:left="5"/>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 w:lineRule="exact"/>
        <w:rPr>
          <w:sz w:val="24"/>
          <w:szCs w:val="24"/>
          <w:color w:val="auto"/>
        </w:rPr>
      </w:pPr>
    </w:p>
    <w:tbl>
      <w:tblPr>
        <w:tblLayout w:type="fixed"/>
        <w:tblInd w:w="15" w:type="dxa"/>
        <w:tblCellMar>
          <w:top w:w="0" w:type="dxa"/>
          <w:left w:w="0" w:type="dxa"/>
          <w:bottom w:w="0" w:type="dxa"/>
          <w:right w:w="0" w:type="dxa"/>
        </w:tblCellMar>
      </w:tblPr>
      <w:tr>
        <w:trPr>
          <w:trHeight w:val="264"/>
        </w:trPr>
        <w:tc>
          <w:tcPr>
            <w:tcW w:w="4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4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29"/>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03"/>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$0.01 par value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4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NASDAQ Stock Market LLC</w:t>
            </w:r>
          </w:p>
        </w:tc>
      </w:tr>
      <w:tr>
        <w:trPr>
          <w:trHeight w:val="25"/>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pacing w:after="0" w:line="82" w:lineRule="exact"/>
        <w:rPr>
          <w:sz w:val="24"/>
          <w:szCs w:val="24"/>
          <w:color w:val="auto"/>
        </w:rPr>
      </w:pPr>
    </w:p>
    <w:p>
      <w:pPr>
        <w:ind w:left="5" w:right="1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4"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left="5" w:right="30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549" w:right="33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7.01 Regulation FD Disclosure</w:t>
      </w:r>
      <w:r>
        <w:rPr>
          <w:rFonts w:ascii="Arial" w:cs="Arial" w:eastAsia="Arial" w:hAnsi="Arial"/>
          <w:sz w:val="19"/>
          <w:szCs w:val="19"/>
          <w:color w:val="auto"/>
        </w:rPr>
        <w:t>.</w:t>
      </w:r>
    </w:p>
    <w:p>
      <w:pPr>
        <w:spacing w:after="0" w:line="190"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color w:val="auto"/>
        </w:rPr>
        <w:t xml:space="preserve">Destination XL Group, Inc. (the “Company”) has updated its Investor Presentation, which will be used by the Company in upcoming meetings with investors. A copy of the Investor Presentation is furnished herewith as Exhibit 99.1 and will also be available on the Company’s website at </w:t>
      </w:r>
      <w:r>
        <w:rPr>
          <w:rFonts w:ascii="Arial" w:cs="Arial" w:eastAsia="Arial" w:hAnsi="Arial"/>
          <w:sz w:val="19"/>
          <w:szCs w:val="19"/>
          <w:u w:val="single" w:color="auto"/>
          <w:color w:val="0000FF"/>
        </w:rPr>
        <w:t>investor.destinationxl.com</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Item 9.01 Financial Statements and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40" w:type="dxa"/>
            <w:vAlign w:val="bottom"/>
            <w:gridSpan w:val="2"/>
          </w:tcPr>
          <w:p>
            <w:pPr>
              <w:ind w:left="860"/>
              <w:spacing w:after="0"/>
              <w:rPr>
                <w:sz w:val="20"/>
                <w:szCs w:val="20"/>
                <w:color w:val="auto"/>
              </w:rPr>
            </w:pPr>
            <w:r>
              <w:rPr>
                <w:rFonts w:ascii="Arial" w:cs="Arial" w:eastAsia="Arial" w:hAnsi="Arial"/>
                <w:sz w:val="19"/>
                <w:szCs w:val="19"/>
                <w:color w:val="auto"/>
              </w:rPr>
              <w:t>(d) Exhibits</w:t>
            </w:r>
          </w:p>
        </w:tc>
        <w:tc>
          <w:tcPr>
            <w:tcW w:w="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82"/>
        </w:trPr>
        <w:tc>
          <w:tcPr>
            <w:tcW w:w="2340" w:type="dxa"/>
            <w:vAlign w:val="bottom"/>
            <w:gridSpan w:val="2"/>
          </w:tcPr>
          <w:p>
            <w:pPr>
              <w:spacing w:after="0"/>
              <w:rPr>
                <w:sz w:val="20"/>
                <w:szCs w:val="20"/>
                <w:color w:val="auto"/>
              </w:rPr>
            </w:pPr>
            <w:r>
              <w:rPr>
                <w:rFonts w:ascii="Arial" w:cs="Arial" w:eastAsia="Arial" w:hAnsi="Arial"/>
                <w:sz w:val="19"/>
                <w:szCs w:val="19"/>
                <w:b w:val="1"/>
                <w:bCs w:val="1"/>
                <w:color w:val="auto"/>
              </w:rPr>
              <w:t>Exhibit No.</w:t>
            </w:r>
          </w:p>
        </w:tc>
        <w:tc>
          <w:tcPr>
            <w:tcW w:w="8920" w:type="dxa"/>
            <w:vAlign w:val="bottom"/>
            <w:gridSpan w:val="5"/>
          </w:tcPr>
          <w:p>
            <w:pPr>
              <w:spacing w:after="0"/>
              <w:rPr>
                <w:sz w:val="20"/>
                <w:szCs w:val="20"/>
                <w:color w:val="auto"/>
              </w:rPr>
            </w:pPr>
            <w:r>
              <w:rPr>
                <w:rFonts w:ascii="Arial" w:cs="Arial" w:eastAsia="Arial" w:hAnsi="Arial"/>
                <w:sz w:val="19"/>
                <w:szCs w:val="19"/>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3"/>
        </w:trPr>
        <w:tc>
          <w:tcPr>
            <w:tcW w:w="880" w:type="dxa"/>
            <w:vAlign w:val="bottom"/>
          </w:tcPr>
          <w:p>
            <w:pPr>
              <w:spacing w:after="0" w:line="193" w:lineRule="exact"/>
              <w:rPr>
                <w:sz w:val="20"/>
                <w:szCs w:val="20"/>
                <w:color w:val="auto"/>
              </w:rPr>
            </w:pPr>
            <w:r>
              <w:rPr>
                <w:rFonts w:ascii="Arial" w:cs="Arial" w:eastAsia="Arial" w:hAnsi="Arial"/>
                <w:sz w:val="19"/>
                <w:szCs w:val="19"/>
                <w:color w:val="auto"/>
              </w:rPr>
              <w:t>99.1</w:t>
            </w:r>
          </w:p>
        </w:tc>
        <w:tc>
          <w:tcPr>
            <w:tcW w:w="1460" w:type="dxa"/>
            <w:vAlign w:val="bottom"/>
          </w:tcPr>
          <w:p>
            <w:pPr>
              <w:spacing w:after="0"/>
              <w:rPr>
                <w:sz w:val="16"/>
                <w:szCs w:val="16"/>
                <w:color w:val="auto"/>
              </w:rPr>
            </w:pPr>
          </w:p>
        </w:tc>
        <w:tc>
          <w:tcPr>
            <w:tcW w:w="8920" w:type="dxa"/>
            <w:vAlign w:val="bottom"/>
            <w:gridSpan w:val="5"/>
          </w:tcPr>
          <w:p>
            <w:pPr>
              <w:spacing w:after="0" w:line="193" w:lineRule="exact"/>
              <w:rPr>
                <w:rFonts w:ascii="Arial" w:cs="Arial" w:eastAsia="Arial" w:hAnsi="Arial"/>
                <w:sz w:val="19"/>
                <w:szCs w:val="19"/>
                <w:color w:val="0000EE"/>
              </w:rPr>
            </w:pPr>
            <w:hyperlink w:anchor="page4">
              <w:r>
                <w:rPr>
                  <w:rFonts w:ascii="Arial" w:cs="Arial" w:eastAsia="Arial" w:hAnsi="Arial"/>
                  <w:sz w:val="19"/>
                  <w:szCs w:val="19"/>
                  <w:color w:val="0000EE"/>
                </w:rPr>
                <w:t>Investor Presentation - September 2021</w:t>
              </w:r>
            </w:hyperlink>
            <w:r>
              <w:rPr>
                <w:rFonts w:ascii="Arial" w:cs="Arial" w:eastAsia="Arial" w:hAnsi="Arial"/>
                <w:sz w:val="19"/>
                <w:szCs w:val="19"/>
                <w:color w:val="000000"/>
              </w:rPr>
              <w:t>.</w:t>
            </w:r>
          </w:p>
        </w:tc>
      </w:tr>
      <w:tr>
        <w:trPr>
          <w:trHeight w:val="20"/>
        </w:trPr>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6"/>
        </w:trPr>
        <w:tc>
          <w:tcPr>
            <w:tcW w:w="880" w:type="dxa"/>
            <w:vAlign w:val="bottom"/>
          </w:tcPr>
          <w:p>
            <w:pPr>
              <w:spacing w:after="0"/>
              <w:rPr>
                <w:sz w:val="20"/>
                <w:szCs w:val="20"/>
                <w:color w:val="auto"/>
              </w:rPr>
            </w:pPr>
            <w:r>
              <w:rPr>
                <w:rFonts w:ascii="Arial" w:cs="Arial" w:eastAsia="Arial" w:hAnsi="Arial"/>
                <w:sz w:val="19"/>
                <w:szCs w:val="19"/>
                <w:color w:val="auto"/>
              </w:rPr>
              <w:t>104</w:t>
            </w:r>
          </w:p>
        </w:tc>
        <w:tc>
          <w:tcPr>
            <w:tcW w:w="1460" w:type="dxa"/>
            <w:vAlign w:val="bottom"/>
          </w:tcPr>
          <w:p>
            <w:pPr>
              <w:spacing w:after="0"/>
              <w:rPr>
                <w:sz w:val="24"/>
                <w:szCs w:val="24"/>
                <w:color w:val="auto"/>
              </w:rPr>
            </w:pPr>
          </w:p>
        </w:tc>
        <w:tc>
          <w:tcPr>
            <w:tcW w:w="8920" w:type="dxa"/>
            <w:vAlign w:val="bottom"/>
            <w:gridSpan w:val="5"/>
          </w:tcPr>
          <w:p>
            <w:pPr>
              <w:spacing w:after="0"/>
              <w:rPr>
                <w:sz w:val="20"/>
                <w:szCs w:val="20"/>
                <w:color w:val="auto"/>
              </w:rPr>
            </w:pPr>
            <w:r>
              <w:rPr>
                <w:rFonts w:ascii="Arial" w:cs="Arial" w:eastAsia="Arial" w:hAnsi="Arial"/>
                <w:sz w:val="19"/>
                <w:szCs w:val="19"/>
                <w:color w:val="auto"/>
                <w:w w:val="93"/>
              </w:rPr>
              <w:t>Cover Page Interactive Data File – The cover page interactive data file does not appear in the interactive data file</w:t>
            </w:r>
          </w:p>
        </w:tc>
      </w:tr>
      <w:tr>
        <w:trPr>
          <w:trHeight w:val="193"/>
        </w:trPr>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560" w:type="dxa"/>
            <w:vAlign w:val="bottom"/>
            <w:tcBorders>
              <w:top w:val="single" w:sz="8" w:color="auto"/>
            </w:tcBorders>
            <w:gridSpan w:val="4"/>
          </w:tcPr>
          <w:p>
            <w:pPr>
              <w:spacing w:after="0" w:line="193" w:lineRule="exact"/>
              <w:rPr>
                <w:sz w:val="20"/>
                <w:szCs w:val="20"/>
                <w:color w:val="auto"/>
              </w:rPr>
            </w:pPr>
            <w:r>
              <w:rPr>
                <w:rFonts w:ascii="Arial" w:cs="Arial" w:eastAsia="Arial" w:hAnsi="Arial"/>
                <w:sz w:val="19"/>
                <w:szCs w:val="19"/>
                <w:color w:val="auto"/>
              </w:rPr>
              <w:t>because its XBRL tags are embedded within the Inline XBRL document.</w:t>
            </w:r>
          </w:p>
        </w:tc>
        <w:tc>
          <w:tcPr>
            <w:tcW w:w="360" w:type="dxa"/>
            <w:vAlign w:val="bottom"/>
          </w:tcPr>
          <w:p>
            <w:pPr>
              <w:spacing w:after="0"/>
              <w:rPr>
                <w:sz w:val="16"/>
                <w:szCs w:val="16"/>
                <w:color w:val="auto"/>
              </w:rPr>
            </w:pPr>
          </w:p>
        </w:tc>
      </w:tr>
      <w:tr>
        <w:trPr>
          <w:trHeight w:val="1036"/>
        </w:trPr>
        <w:tc>
          <w:tcPr>
            <w:tcW w:w="8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2060" w:type="dxa"/>
            <w:vAlign w:val="bottom"/>
            <w:tcBorders>
              <w:top w:val="single" w:sz="8" w:color="auto"/>
              <w:bottom w:val="single" w:sz="8" w:color="9A9A9A"/>
            </w:tcBorders>
          </w:tcPr>
          <w:p>
            <w:pPr>
              <w:spacing w:after="0"/>
              <w:rPr>
                <w:sz w:val="24"/>
                <w:szCs w:val="24"/>
                <w:color w:val="auto"/>
              </w:rPr>
            </w:pPr>
          </w:p>
        </w:tc>
        <w:tc>
          <w:tcPr>
            <w:tcW w:w="2540" w:type="dxa"/>
            <w:vAlign w:val="bottom"/>
            <w:tcBorders>
              <w:top w:val="single" w:sz="8" w:color="auto"/>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1" w:right="3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9"/>
          <w:szCs w:val="19"/>
          <w:b w:val="1"/>
          <w:bCs w:val="1"/>
          <w:color w:val="auto"/>
        </w:rPr>
        <w:t>SIGNATURES</w:t>
      </w:r>
    </w:p>
    <w:p>
      <w:pPr>
        <w:spacing w:after="0" w:line="21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580"/>
        <w:spacing w:after="0"/>
        <w:rPr>
          <w:sz w:val="20"/>
          <w:szCs w:val="20"/>
          <w:color w:val="auto"/>
        </w:rPr>
      </w:pPr>
      <w:r>
        <w:rPr>
          <w:rFonts w:ascii="Arial" w:cs="Arial" w:eastAsia="Arial" w:hAnsi="Arial"/>
          <w:sz w:val="19"/>
          <w:szCs w:val="19"/>
          <w:color w:val="auto"/>
        </w:rPr>
        <w:t>DESTINATION XL GROUP, INC.</w:t>
      </w:r>
    </w:p>
    <w:p>
      <w:pPr>
        <w:spacing w:after="0" w:line="160" w:lineRule="exact"/>
        <w:rPr>
          <w:sz w:val="20"/>
          <w:szCs w:val="20"/>
          <w:color w:val="auto"/>
        </w:rPr>
      </w:pPr>
    </w:p>
    <w:p>
      <w:pPr>
        <w:ind w:left="20"/>
        <w:spacing w:after="0"/>
        <w:tabs>
          <w:tab w:leader="none" w:pos="840" w:val="left"/>
          <w:tab w:leader="none" w:pos="5840" w:val="left"/>
          <w:tab w:leader="none" w:pos="81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September 14, 2021</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8255</wp:posOffset>
            </wp:positionV>
            <wp:extent cx="29286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8620" cy="7620"/>
                    </a:xfrm>
                    <a:prstGeom prst="rect">
                      <a:avLst/>
                    </a:prstGeom>
                    <a:noFill/>
                  </pic:spPr>
                </pic:pic>
              </a:graphicData>
            </a:graphic>
          </wp:anchor>
        </w:drawing>
      </w:r>
    </w:p>
    <w:p>
      <w:pPr>
        <w:jc w:val="center"/>
        <w:ind w:left="6580"/>
        <w:spacing w:after="0"/>
        <w:rPr>
          <w:sz w:val="20"/>
          <w:szCs w:val="20"/>
          <w:color w:val="auto"/>
        </w:rPr>
      </w:pPr>
      <w:r>
        <w:rPr>
          <w:rFonts w:ascii="Arial" w:cs="Arial" w:eastAsia="Arial" w:hAnsi="Arial"/>
          <w:sz w:val="13"/>
          <w:szCs w:val="13"/>
          <w:b w:val="1"/>
          <w:bCs w:val="1"/>
          <w:color w:val="auto"/>
        </w:rPr>
        <w:t>Robert S. Molloy</w:t>
      </w:r>
    </w:p>
    <w:p>
      <w:pPr>
        <w:jc w:val="center"/>
        <w:ind w:left="6580"/>
        <w:spacing w:after="0"/>
        <w:rPr>
          <w:sz w:val="20"/>
          <w:szCs w:val="20"/>
          <w:color w:val="auto"/>
        </w:rPr>
      </w:pPr>
      <w:r>
        <w:rPr>
          <w:rFonts w:ascii="Arial" w:cs="Arial" w:eastAsia="Arial" w:hAnsi="Arial"/>
          <w:sz w:val="13"/>
          <w:szCs w:val="13"/>
          <w:b w:val="1"/>
          <w:bCs w:val="1"/>
          <w:color w:val="auto"/>
        </w:rPr>
        <w:t>General Counsel and Secretary</w:t>
      </w:r>
    </w:p>
    <w:p>
      <w:pPr>
        <w:sectPr>
          <w:pgSz w:w="11900" w:h="16838" w:orient="portrait"/>
          <w:cols w:equalWidth="0" w:num="1">
            <w:col w:w="10800"/>
          </w:cols>
          <w:pgMar w:left="320" w:top="493" w:right="77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88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4384675</wp:posOffset>
            </wp:positionV>
            <wp:extent cx="7149465" cy="2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4474845</wp:posOffset>
            </wp:positionV>
            <wp:extent cx="7149465" cy="2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288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288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2021-09-14T15:23:14Z</dcterms:created>
  <dcterms:modified xsi:type="dcterms:W3CDTF">2021-09-14T15:23:14Z</dcterms:modified>
</cp:coreProperties>
</file>