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SCHEDULE 13G</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(Rule 13d-102)</w:t>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TO BE INCLUDED IN STATEMENTS FILED PURSUANT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TO RULES 13d-1(b), (c) AND (d) AND AMENDMENTS THERETO FILED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RULE 13d-2(b)</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6)*</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Casual Male Retail Group, Inc.</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Common Stock, $0.01 par value per share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148711104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November 30, 2009</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jc w:val="both"/>
        <w:ind w:left="660" w:right="9480" w:hanging="4"/>
        <w:spacing w:after="0" w:line="598" w:lineRule="auto"/>
        <w:tabs>
          <w:tab w:leader="none" w:pos="930"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o Rule 13d-1(c) o Rule 13d-1(d)</w:t>
      </w:r>
    </w:p>
    <w:p>
      <w:pPr>
        <w:spacing w:after="0" w:line="2"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spacing w:after="0" w:line="308" w:lineRule="auto"/>
        <w:rPr>
          <w:sz w:val="20"/>
          <w:szCs w:val="20"/>
          <w:color w:val="auto"/>
        </w:rPr>
      </w:pPr>
      <w:r>
        <w:rPr>
          <w:rFonts w:ascii="Arial" w:cs="Arial" w:eastAsia="Arial" w:hAnsi="Arial"/>
          <w:sz w:val="17"/>
          <w:szCs w:val="17"/>
          <w:color w:val="auto"/>
        </w:rPr>
        <w:t>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340360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398"/>
        </w:trPr>
        <w:tc>
          <w:tcPr>
            <w:tcW w:w="3760" w:type="dxa"/>
            <w:vAlign w:val="bottom"/>
            <w:tcBorders>
              <w:top w:val="single" w:sz="8" w:color="auto"/>
              <w:left w:val="single" w:sz="8" w:color="auto"/>
              <w:right w:val="single" w:sz="8" w:color="auto"/>
            </w:tcBorders>
          </w:tcPr>
          <w:p>
            <w:pPr>
              <w:ind w:left="200"/>
              <w:spacing w:after="0"/>
              <w:rPr>
                <w:sz w:val="20"/>
                <w:szCs w:val="20"/>
                <w:color w:val="auto"/>
              </w:rPr>
            </w:pPr>
            <w:r>
              <w:rPr>
                <w:rFonts w:ascii="Arial" w:cs="Arial" w:eastAsia="Arial" w:hAnsi="Arial"/>
                <w:sz w:val="18"/>
                <w:szCs w:val="18"/>
                <w:b w:val="1"/>
                <w:bCs w:val="1"/>
                <w:color w:val="auto"/>
              </w:rPr>
              <w:t>CUSIP No. 148711104</w:t>
            </w:r>
          </w:p>
        </w:tc>
        <w:tc>
          <w:tcPr>
            <w:tcW w:w="3900" w:type="dxa"/>
            <w:vAlign w:val="bottom"/>
            <w:tcBorders>
              <w:right w:val="single" w:sz="8" w:color="auto"/>
            </w:tcBorders>
          </w:tcPr>
          <w:p>
            <w:pPr>
              <w:ind w:left="1780"/>
              <w:spacing w:after="0"/>
              <w:rPr>
                <w:sz w:val="20"/>
                <w:szCs w:val="20"/>
                <w:color w:val="auto"/>
              </w:rPr>
            </w:pPr>
            <w:r>
              <w:rPr>
                <w:rFonts w:ascii="Arial" w:cs="Arial" w:eastAsia="Arial" w:hAnsi="Arial"/>
                <w:sz w:val="22"/>
                <w:szCs w:val="22"/>
                <w:b w:val="1"/>
                <w:bCs w:val="1"/>
                <w:color w:val="auto"/>
              </w:rPr>
              <w:t>13G</w:t>
            </w:r>
          </w:p>
        </w:tc>
        <w:tc>
          <w:tcPr>
            <w:tcW w:w="3740" w:type="dxa"/>
            <w:vAlign w:val="bottom"/>
            <w:tcBorders>
              <w:top w:val="single" w:sz="8" w:color="auto"/>
              <w:right w:val="single" w:sz="8" w:color="auto"/>
            </w:tcBorders>
          </w:tcPr>
          <w:p>
            <w:pPr>
              <w:ind w:left="1200"/>
              <w:spacing w:after="0"/>
              <w:rPr>
                <w:sz w:val="20"/>
                <w:szCs w:val="20"/>
                <w:color w:val="auto"/>
              </w:rPr>
            </w:pPr>
            <w:r>
              <w:rPr>
                <w:rFonts w:ascii="Arial" w:cs="Arial" w:eastAsia="Arial" w:hAnsi="Arial"/>
                <w:sz w:val="18"/>
                <w:szCs w:val="18"/>
                <w:b w:val="1"/>
                <w:bCs w:val="1"/>
                <w:color w:val="auto"/>
              </w:rPr>
              <w:t>Page 2 of 3 Pages</w:t>
            </w:r>
          </w:p>
        </w:tc>
      </w:tr>
      <w:tr>
        <w:trPr>
          <w:trHeight w:val="115"/>
        </w:trPr>
        <w:tc>
          <w:tcPr>
            <w:tcW w:w="3760" w:type="dxa"/>
            <w:vAlign w:val="bottom"/>
            <w:tcBorders>
              <w:left w:val="single" w:sz="8" w:color="auto"/>
              <w:bottom w:val="single" w:sz="8" w:color="auto"/>
              <w:right w:val="single" w:sz="8" w:color="auto"/>
            </w:tcBorders>
          </w:tcPr>
          <w:p>
            <w:pPr>
              <w:spacing w:after="0"/>
              <w:rPr>
                <w:sz w:val="10"/>
                <w:szCs w:val="10"/>
                <w:color w:val="auto"/>
              </w:rPr>
            </w:pPr>
          </w:p>
        </w:tc>
        <w:tc>
          <w:tcPr>
            <w:tcW w:w="3900" w:type="dxa"/>
            <w:vAlign w:val="bottom"/>
            <w:tcBorders>
              <w:right w:val="single" w:sz="8" w:color="auto"/>
            </w:tcBorders>
          </w:tcPr>
          <w:p>
            <w:pPr>
              <w:spacing w:after="0"/>
              <w:rPr>
                <w:sz w:val="10"/>
                <w:szCs w:val="10"/>
                <w:color w:val="auto"/>
              </w:rPr>
            </w:pPr>
          </w:p>
        </w:tc>
        <w:tc>
          <w:tcPr>
            <w:tcW w:w="3740" w:type="dxa"/>
            <w:vAlign w:val="bottom"/>
            <w:tcBorders>
              <w:bottom w:val="single" w:sz="8" w:color="auto"/>
              <w:right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156845</wp:posOffset>
            </wp:positionV>
            <wp:extent cx="7246620" cy="64490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6449060"/>
                    </a:xfrm>
                    <a:prstGeom prst="rect">
                      <a:avLst/>
                    </a:prstGeom>
                    <a:noFill/>
                  </pic:spPr>
                </pic:pic>
              </a:graphicData>
            </a:graphic>
          </wp:anchor>
        </w:drawing>
      </w:r>
    </w:p>
    <w:p>
      <w:pPr>
        <w:spacing w:after="0" w:line="307" w:lineRule="exact"/>
        <w:rPr>
          <w:sz w:val="20"/>
          <w:szCs w:val="20"/>
          <w:color w:val="auto"/>
        </w:rPr>
      </w:pPr>
    </w:p>
    <w:p>
      <w:pPr>
        <w:ind w:left="640" w:hanging="407"/>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Chilton Investment Company, LLC</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87-0742367</w:t>
      </w:r>
    </w:p>
    <w:p>
      <w:pPr>
        <w:spacing w:after="0" w:line="157" w:lineRule="exact"/>
        <w:rPr>
          <w:sz w:val="20"/>
          <w:szCs w:val="20"/>
          <w:color w:val="auto"/>
        </w:rPr>
      </w:pPr>
    </w:p>
    <w:p>
      <w:pPr>
        <w:ind w:left="640" w:hanging="407"/>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70" w:lineRule="exact"/>
        <w:rPr>
          <w:sz w:val="20"/>
          <w:szCs w:val="20"/>
          <w:color w:val="auto"/>
        </w:rPr>
      </w:pPr>
    </w:p>
    <w:p>
      <w:pPr>
        <w:jc w:val="right"/>
        <w:ind w:right="40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21"/>
          <w:szCs w:val="21"/>
          <w:color w:val="auto"/>
        </w:rPr>
        <w:t>o</w:t>
      </w:r>
    </w:p>
    <w:p>
      <w:pPr>
        <w:spacing w:after="0" w:line="20" w:lineRule="exact"/>
        <w:rPr>
          <w:sz w:val="20"/>
          <w:szCs w:val="20"/>
          <w:color w:val="auto"/>
        </w:rPr>
      </w:pPr>
    </w:p>
    <w:p>
      <w:pPr>
        <w:jc w:val="right"/>
        <w:ind w:right="40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21"/>
          <w:szCs w:val="21"/>
          <w:color w:val="auto"/>
        </w:rPr>
        <w:t>x</w:t>
      </w:r>
    </w:p>
    <w:p>
      <w:pPr>
        <w:spacing w:after="0" w:line="85" w:lineRule="exact"/>
        <w:rPr>
          <w:sz w:val="20"/>
          <w:szCs w:val="20"/>
          <w:color w:val="auto"/>
        </w:rPr>
      </w:pPr>
    </w:p>
    <w:p>
      <w:pPr>
        <w:ind w:left="640" w:hanging="407"/>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40" w:right="7100" w:hanging="407"/>
        <w:spacing w:after="0" w:line="485"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 State of Delaware</w:t>
      </w:r>
    </w:p>
    <w:p>
      <w:pPr>
        <w:spacing w:after="0" w:line="1" w:lineRule="exact"/>
        <w:rPr>
          <w:sz w:val="20"/>
          <w:szCs w:val="20"/>
          <w:color w:val="auto"/>
        </w:rPr>
      </w:pPr>
    </w:p>
    <w:p>
      <w:pPr>
        <w:ind w:left="3060" w:hanging="396"/>
        <w:spacing w:after="0"/>
        <w:tabs>
          <w:tab w:leader="none" w:pos="3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2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500" w:type="dxa"/>
            <w:vAlign w:val="bottom"/>
          </w:tcPr>
          <w:p>
            <w:pPr>
              <w:ind w:left="160"/>
              <w:spacing w:after="0"/>
              <w:rPr>
                <w:sz w:val="20"/>
                <w:szCs w:val="20"/>
                <w:color w:val="auto"/>
              </w:rPr>
            </w:pPr>
            <w:r>
              <w:rPr>
                <w:rFonts w:ascii="Arial" w:cs="Arial" w:eastAsia="Arial" w:hAnsi="Arial"/>
                <w:sz w:val="18"/>
                <w:szCs w:val="18"/>
                <w:color w:val="auto"/>
              </w:rPr>
              <w:t>6,531,506</w:t>
            </w:r>
          </w:p>
        </w:tc>
        <w:tc>
          <w:tcPr>
            <w:tcW w:w="0" w:type="dxa"/>
            <w:vAlign w:val="bottom"/>
          </w:tcPr>
          <w:p>
            <w:pPr>
              <w:spacing w:after="0"/>
              <w:rPr>
                <w:sz w:val="1"/>
                <w:szCs w:val="1"/>
                <w:color w:val="auto"/>
              </w:rPr>
            </w:pPr>
          </w:p>
        </w:tc>
      </w:tr>
      <w:tr>
        <w:trPr>
          <w:trHeight w:val="75"/>
        </w:trPr>
        <w:tc>
          <w:tcPr>
            <w:tcW w:w="236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360" w:type="dxa"/>
            <w:vAlign w:val="bottom"/>
          </w:tcPr>
          <w:p>
            <w:pPr>
              <w:spacing w:after="0"/>
              <w:rPr>
                <w:sz w:val="24"/>
                <w:szCs w:val="24"/>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850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323"/>
        </w:trPr>
        <w:tc>
          <w:tcPr>
            <w:tcW w:w="2360" w:type="dxa"/>
            <w:vAlign w:val="bottom"/>
          </w:tcPr>
          <w:p>
            <w:pPr>
              <w:jc w:val="center"/>
              <w:spacing w:after="0"/>
              <w:rPr>
                <w:sz w:val="20"/>
                <w:szCs w:val="20"/>
                <w:color w:val="auto"/>
              </w:rPr>
            </w:pPr>
            <w:r>
              <w:rPr>
                <w:rFonts w:ascii="Arial" w:cs="Arial" w:eastAsia="Arial" w:hAnsi="Arial"/>
                <w:sz w:val="18"/>
                <w:szCs w:val="18"/>
                <w:color w:val="auto"/>
                <w:w w:val="95"/>
              </w:rPr>
              <w:t>NUMBER OF SHARES</w:t>
            </w:r>
          </w:p>
        </w:tc>
        <w:tc>
          <w:tcPr>
            <w:tcW w:w="460" w:type="dxa"/>
            <w:vAlign w:val="bottom"/>
          </w:tcPr>
          <w:p>
            <w:pPr>
              <w:spacing w:after="0"/>
              <w:rPr>
                <w:sz w:val="24"/>
                <w:szCs w:val="24"/>
                <w:color w:val="auto"/>
              </w:rPr>
            </w:pPr>
          </w:p>
        </w:tc>
        <w:tc>
          <w:tcPr>
            <w:tcW w:w="850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6"/>
        </w:trPr>
        <w:tc>
          <w:tcPr>
            <w:tcW w:w="2360" w:type="dxa"/>
            <w:vAlign w:val="bottom"/>
            <w:vMerge w:val="restart"/>
          </w:tcPr>
          <w:p>
            <w:pPr>
              <w:jc w:val="center"/>
              <w:spacing w:after="0" w:line="203" w:lineRule="exact"/>
              <w:rPr>
                <w:sz w:val="20"/>
                <w:szCs w:val="20"/>
                <w:color w:val="auto"/>
              </w:rPr>
            </w:pPr>
            <w:r>
              <w:rPr>
                <w:rFonts w:ascii="Arial" w:cs="Arial" w:eastAsia="Arial" w:hAnsi="Arial"/>
                <w:sz w:val="18"/>
                <w:szCs w:val="18"/>
                <w:color w:val="auto"/>
                <w:w w:val="99"/>
              </w:rPr>
              <w:t>BENEFICIALLY OWNED BY</w:t>
            </w:r>
          </w:p>
        </w:tc>
        <w:tc>
          <w:tcPr>
            <w:tcW w:w="460" w:type="dxa"/>
            <w:vAlign w:val="bottom"/>
          </w:tcPr>
          <w:p>
            <w:pPr>
              <w:spacing w:after="0"/>
              <w:rPr>
                <w:sz w:val="11"/>
                <w:szCs w:val="11"/>
                <w:color w:val="auto"/>
              </w:rPr>
            </w:pPr>
          </w:p>
        </w:tc>
        <w:tc>
          <w:tcPr>
            <w:tcW w:w="8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360" w:type="dxa"/>
            <w:vAlign w:val="bottom"/>
            <w:vMerge w:val="continue"/>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2360" w:type="dxa"/>
            <w:vAlign w:val="bottom"/>
          </w:tcPr>
          <w:p>
            <w:pPr>
              <w:jc w:val="center"/>
              <w:spacing w:after="0" w:line="201" w:lineRule="exact"/>
              <w:rPr>
                <w:sz w:val="20"/>
                <w:szCs w:val="20"/>
                <w:color w:val="auto"/>
              </w:rPr>
            </w:pPr>
            <w:r>
              <w:rPr>
                <w:rFonts w:ascii="Arial" w:cs="Arial" w:eastAsia="Arial" w:hAnsi="Arial"/>
                <w:sz w:val="18"/>
                <w:szCs w:val="18"/>
                <w:color w:val="auto"/>
                <w:w w:val="93"/>
              </w:rPr>
              <w:t>EACH REPORTING PERSON</w:t>
            </w: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7</w:t>
            </w:r>
          </w:p>
        </w:tc>
        <w:tc>
          <w:tcPr>
            <w:tcW w:w="850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236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460" w:type="dxa"/>
            <w:vAlign w:val="bottom"/>
            <w:vMerge w:val="continue"/>
          </w:tcPr>
          <w:p>
            <w:pPr>
              <w:spacing w:after="0"/>
              <w:rPr>
                <w:sz w:val="7"/>
                <w:szCs w:val="7"/>
                <w:color w:val="auto"/>
              </w:rPr>
            </w:pPr>
          </w:p>
        </w:tc>
        <w:tc>
          <w:tcPr>
            <w:tcW w:w="8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36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8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1"/>
        </w:trPr>
        <w:tc>
          <w:tcPr>
            <w:tcW w:w="2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500" w:type="dxa"/>
            <w:vAlign w:val="bottom"/>
          </w:tcPr>
          <w:p>
            <w:pPr>
              <w:ind w:left="160"/>
              <w:spacing w:after="0"/>
              <w:rPr>
                <w:sz w:val="20"/>
                <w:szCs w:val="20"/>
                <w:color w:val="auto"/>
              </w:rPr>
            </w:pPr>
            <w:r>
              <w:rPr>
                <w:rFonts w:ascii="Arial" w:cs="Arial" w:eastAsia="Arial" w:hAnsi="Arial"/>
                <w:sz w:val="18"/>
                <w:szCs w:val="18"/>
                <w:color w:val="auto"/>
              </w:rPr>
              <w:t>6,531,506</w:t>
            </w:r>
          </w:p>
        </w:tc>
        <w:tc>
          <w:tcPr>
            <w:tcW w:w="0" w:type="dxa"/>
            <w:vAlign w:val="bottom"/>
          </w:tcPr>
          <w:p>
            <w:pPr>
              <w:spacing w:after="0"/>
              <w:rPr>
                <w:sz w:val="1"/>
                <w:szCs w:val="1"/>
                <w:color w:val="auto"/>
              </w:rPr>
            </w:pPr>
          </w:p>
        </w:tc>
      </w:tr>
      <w:tr>
        <w:trPr>
          <w:trHeight w:val="75"/>
        </w:trPr>
        <w:tc>
          <w:tcPr>
            <w:tcW w:w="236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360" w:type="dxa"/>
            <w:vAlign w:val="bottom"/>
          </w:tcPr>
          <w:p>
            <w:pPr>
              <w:spacing w:after="0"/>
              <w:rPr>
                <w:sz w:val="24"/>
                <w:szCs w:val="24"/>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850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0</w:t>
      </w:r>
    </w:p>
    <w:p>
      <w:pPr>
        <w:spacing w:after="0" w:line="171" w:lineRule="exact"/>
        <w:rPr>
          <w:sz w:val="20"/>
          <w:szCs w:val="20"/>
          <w:color w:val="auto"/>
        </w:rPr>
      </w:pPr>
    </w:p>
    <w:p>
      <w:pPr>
        <w:ind w:left="640" w:hanging="407"/>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6,531,506</w:t>
      </w:r>
    </w:p>
    <w:p>
      <w:pPr>
        <w:spacing w:after="0" w:line="171" w:lineRule="exact"/>
        <w:rPr>
          <w:sz w:val="20"/>
          <w:szCs w:val="20"/>
          <w:color w:val="auto"/>
        </w:rPr>
      </w:pPr>
    </w:p>
    <w:p>
      <w:pPr>
        <w:ind w:left="180"/>
        <w:spacing w:after="0"/>
        <w:tabs>
          <w:tab w:leader="none" w:pos="62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IF THE AGGREGATE AMOUNT IN ROW (9) EXCLUDES CERTAIN SHARES (See Instructions)</w:t>
      </w:r>
    </w:p>
    <w:p>
      <w:pPr>
        <w:spacing w:after="0" w:line="47" w:lineRule="exact"/>
        <w:rPr>
          <w:sz w:val="20"/>
          <w:szCs w:val="20"/>
          <w:color w:val="auto"/>
        </w:rPr>
      </w:pPr>
    </w:p>
    <w:p>
      <w:pPr>
        <w:jc w:val="right"/>
        <w:ind w:right="400"/>
        <w:spacing w:after="0"/>
        <w:rPr>
          <w:sz w:val="20"/>
          <w:szCs w:val="20"/>
          <w:color w:val="auto"/>
        </w:rPr>
      </w:pPr>
      <w:r>
        <w:rPr>
          <w:rFonts w:ascii="Arial" w:cs="Arial" w:eastAsia="Arial" w:hAnsi="Arial"/>
          <w:sz w:val="22"/>
          <w:szCs w:val="22"/>
          <w:color w:val="auto"/>
        </w:rPr>
        <w:t>o</w:t>
      </w:r>
    </w:p>
    <w:p>
      <w:pPr>
        <w:spacing w:after="0" w:line="141" w:lineRule="exact"/>
        <w:rPr>
          <w:sz w:val="20"/>
          <w:szCs w:val="20"/>
          <w:color w:val="auto"/>
        </w:rPr>
      </w:pPr>
    </w:p>
    <w:p>
      <w:pPr>
        <w:ind w:left="640" w:right="5700" w:hanging="448"/>
        <w:spacing w:after="0" w:line="485"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(9) 13.8%</w:t>
      </w:r>
    </w:p>
    <w:p>
      <w:pPr>
        <w:ind w:left="640" w:right="8260" w:hanging="452"/>
        <w:spacing w:after="0" w:line="559"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260985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609" w:right="239" w:bottom="1440" w:gutter="0" w:footer="0" w:header="0"/>
        </w:sectPr>
      </w:pPr>
    </w:p>
    <w:bookmarkStart w:id="2" w:name="page3"/>
    <w:bookmarkEnd w:id="2"/>
    <w:tbl>
      <w:tblPr>
        <w:tblLayout w:type="fixed"/>
        <w:tblInd w:w="30" w:type="dxa"/>
        <w:tblCellMar>
          <w:top w:w="0" w:type="dxa"/>
          <w:left w:w="0" w:type="dxa"/>
          <w:bottom w:w="0" w:type="dxa"/>
          <w:right w:w="0" w:type="dxa"/>
        </w:tblCellMar>
      </w:tblPr>
      <w:tr>
        <w:trPr>
          <w:trHeight w:val="398"/>
        </w:trPr>
        <w:tc>
          <w:tcPr>
            <w:tcW w:w="3760" w:type="dxa"/>
            <w:vAlign w:val="bottom"/>
            <w:tcBorders>
              <w:top w:val="single" w:sz="8" w:color="auto"/>
              <w:left w:val="single" w:sz="8" w:color="auto"/>
              <w:right w:val="single" w:sz="8" w:color="auto"/>
            </w:tcBorders>
          </w:tcPr>
          <w:p>
            <w:pPr>
              <w:ind w:left="200"/>
              <w:spacing w:after="0"/>
              <w:rPr>
                <w:sz w:val="20"/>
                <w:szCs w:val="20"/>
                <w:color w:val="auto"/>
              </w:rPr>
            </w:pPr>
            <w:r>
              <w:rPr>
                <w:rFonts w:ascii="Arial" w:cs="Arial" w:eastAsia="Arial" w:hAnsi="Arial"/>
                <w:sz w:val="18"/>
                <w:szCs w:val="18"/>
                <w:b w:val="1"/>
                <w:bCs w:val="1"/>
                <w:color w:val="auto"/>
              </w:rPr>
              <w:t>CUSIP No. 148711104</w:t>
            </w:r>
          </w:p>
        </w:tc>
        <w:tc>
          <w:tcPr>
            <w:tcW w:w="3900" w:type="dxa"/>
            <w:vAlign w:val="bottom"/>
            <w:tcBorders>
              <w:right w:val="single" w:sz="8" w:color="auto"/>
            </w:tcBorders>
          </w:tcPr>
          <w:p>
            <w:pPr>
              <w:ind w:left="1780"/>
              <w:spacing w:after="0"/>
              <w:rPr>
                <w:sz w:val="20"/>
                <w:szCs w:val="20"/>
                <w:color w:val="auto"/>
              </w:rPr>
            </w:pPr>
            <w:r>
              <w:rPr>
                <w:rFonts w:ascii="Arial" w:cs="Arial" w:eastAsia="Arial" w:hAnsi="Arial"/>
                <w:sz w:val="22"/>
                <w:szCs w:val="22"/>
                <w:b w:val="1"/>
                <w:bCs w:val="1"/>
                <w:color w:val="auto"/>
              </w:rPr>
              <w:t>13G</w:t>
            </w:r>
          </w:p>
        </w:tc>
        <w:tc>
          <w:tcPr>
            <w:tcW w:w="3740" w:type="dxa"/>
            <w:vAlign w:val="bottom"/>
            <w:tcBorders>
              <w:top w:val="single" w:sz="8" w:color="auto"/>
              <w:right w:val="single" w:sz="8" w:color="auto"/>
            </w:tcBorders>
          </w:tcPr>
          <w:p>
            <w:pPr>
              <w:ind w:left="1200"/>
              <w:spacing w:after="0"/>
              <w:rPr>
                <w:sz w:val="20"/>
                <w:szCs w:val="20"/>
                <w:color w:val="auto"/>
              </w:rPr>
            </w:pPr>
            <w:r>
              <w:rPr>
                <w:rFonts w:ascii="Arial" w:cs="Arial" w:eastAsia="Arial" w:hAnsi="Arial"/>
                <w:sz w:val="18"/>
                <w:szCs w:val="18"/>
                <w:b w:val="1"/>
                <w:bCs w:val="1"/>
                <w:color w:val="auto"/>
              </w:rPr>
              <w:t>Page 3 of 3 Pages</w:t>
            </w:r>
          </w:p>
        </w:tc>
      </w:tr>
      <w:tr>
        <w:trPr>
          <w:trHeight w:val="115"/>
        </w:trPr>
        <w:tc>
          <w:tcPr>
            <w:tcW w:w="3760" w:type="dxa"/>
            <w:vAlign w:val="bottom"/>
            <w:tcBorders>
              <w:left w:val="single" w:sz="8" w:color="auto"/>
              <w:bottom w:val="single" w:sz="8" w:color="auto"/>
              <w:right w:val="single" w:sz="8" w:color="auto"/>
            </w:tcBorders>
          </w:tcPr>
          <w:p>
            <w:pPr>
              <w:spacing w:after="0"/>
              <w:rPr>
                <w:sz w:val="10"/>
                <w:szCs w:val="10"/>
                <w:color w:val="auto"/>
              </w:rPr>
            </w:pPr>
          </w:p>
        </w:tc>
        <w:tc>
          <w:tcPr>
            <w:tcW w:w="3900" w:type="dxa"/>
            <w:vAlign w:val="bottom"/>
            <w:tcBorders>
              <w:right w:val="single" w:sz="8" w:color="auto"/>
            </w:tcBorders>
          </w:tcPr>
          <w:p>
            <w:pPr>
              <w:spacing w:after="0"/>
              <w:rPr>
                <w:sz w:val="10"/>
                <w:szCs w:val="10"/>
                <w:color w:val="auto"/>
              </w:rPr>
            </w:pPr>
          </w:p>
        </w:tc>
        <w:tc>
          <w:tcPr>
            <w:tcW w:w="3740" w:type="dxa"/>
            <w:vAlign w:val="bottom"/>
            <w:tcBorders>
              <w:bottom w:val="single" w:sz="8" w:color="auto"/>
              <w:right w:val="single" w:sz="8" w:color="auto"/>
            </w:tcBorders>
          </w:tcPr>
          <w:p>
            <w:pPr>
              <w:spacing w:after="0"/>
              <w:rPr>
                <w:sz w:val="10"/>
                <w:szCs w:val="10"/>
                <w:color w:val="auto"/>
              </w:rPr>
            </w:pPr>
          </w:p>
        </w:tc>
      </w:tr>
    </w:tbl>
    <w:p>
      <w:pPr>
        <w:spacing w:after="0" w:line="23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Pursuant to Rule 13d-2(b) of Regulation 13D-G under the Securities Exchange Act of 1934, as amended, the Schedule 13G initially filed on November 10, 2005 by Chilton Investment Company, LLC (the “Reporting Person”) with respect to the Common Stock, $0.01 par value (the “Common Stock”), of Casual Male Retail Group, Inc., a Delaware corporation (the “Schedule 13G”), as amended by Amendment No. 1 to the Schedule 13G filed on February 14, 2006, replaced by the Schedule 13D filed on May 9, 2006, as amended by Amendment No.1 to the 13D filed on June 9, 2006, Amendment No. 2 to the 13D filed on June 29, 2006, Amendment No. 3 to the 13D filed on April 13, 2006 and Amendment No. 4 to the 13D filed on July 19, 2007, replaced by Amendment No. 2 to the Schedule 13G filed on July 20, 2007, replaced by Amendment No. 5 to the Schedule 13D filed on October 23, 2007, as amended by Amendment No. 6 to the Schedule 13D filed on November 28, 2007 and Amendment No. 7 to the Schedule 13D filed on October 21, 2008, replaced by Amendment No. 3 to the Schedule 13G filed on October 21, 2008, as amended by Amendment No. 4 to the Schedule 13G filed on February 13, 2009 and Amendment No. 5 to the 13G filed on December 10, 2009, is hereby amended by this Amendment No. 6 to the Schedule 13G to report a change in the information reported in the Schedule 13G. The Schedule 13G is hereby amended as follows: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Item 4 is hereby amended and restated in its entirety to read:</w:t>
      </w:r>
    </w:p>
    <w:p>
      <w:pPr>
        <w:spacing w:after="0" w:line="200" w:lineRule="exact"/>
        <w:rPr>
          <w:sz w:val="20"/>
          <w:szCs w:val="20"/>
          <w:color w:val="auto"/>
        </w:rPr>
      </w:pPr>
    </w:p>
    <w:p>
      <w:pPr>
        <w:spacing w:after="0" w:line="264"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ind w:left="2300" w:hanging="577"/>
        <w:spacing w:after="0"/>
        <w:tabs>
          <w:tab w:leader="none" w:pos="2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 beneficially owned</w:t>
      </w:r>
      <w:r>
        <w:rPr>
          <w:rFonts w:ascii="Arial" w:cs="Arial" w:eastAsia="Arial" w:hAnsi="Arial"/>
          <w:sz w:val="18"/>
          <w:szCs w:val="18"/>
          <w:color w:val="FF0000"/>
        </w:rPr>
        <w:t>:</w:t>
      </w:r>
      <w:r>
        <w:rPr>
          <w:rFonts w:ascii="Arial" w:cs="Arial" w:eastAsia="Arial" w:hAnsi="Arial"/>
          <w:sz w:val="18"/>
          <w:szCs w:val="18"/>
          <w:color w:val="auto"/>
        </w:rPr>
        <w:t xml:space="preserve"> 6,531,506 shares</w:t>
      </w:r>
    </w:p>
    <w:p>
      <w:pPr>
        <w:spacing w:after="0" w:line="225" w:lineRule="exact"/>
        <w:rPr>
          <w:rFonts w:ascii="Arial" w:cs="Arial" w:eastAsia="Arial" w:hAnsi="Arial"/>
          <w:sz w:val="18"/>
          <w:szCs w:val="18"/>
          <w:color w:val="auto"/>
        </w:rPr>
      </w:pPr>
    </w:p>
    <w:p>
      <w:pPr>
        <w:ind w:left="2300" w:hanging="577"/>
        <w:spacing w:after="0"/>
        <w:tabs>
          <w:tab w:leader="none" w:pos="2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13.8%</w:t>
      </w:r>
    </w:p>
    <w:p>
      <w:pPr>
        <w:spacing w:after="0" w:line="225" w:lineRule="exact"/>
        <w:rPr>
          <w:rFonts w:ascii="Arial" w:cs="Arial" w:eastAsia="Arial" w:hAnsi="Arial"/>
          <w:sz w:val="18"/>
          <w:szCs w:val="18"/>
          <w:color w:val="auto"/>
        </w:rPr>
      </w:pPr>
    </w:p>
    <w:p>
      <w:pPr>
        <w:ind w:left="2300" w:hanging="577"/>
        <w:spacing w:after="0"/>
        <w:tabs>
          <w:tab w:leader="none" w:pos="2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25" w:lineRule="exact"/>
        <w:rPr>
          <w:rFonts w:ascii="Arial" w:cs="Arial" w:eastAsia="Arial" w:hAnsi="Arial"/>
          <w:sz w:val="18"/>
          <w:szCs w:val="18"/>
          <w:color w:val="auto"/>
        </w:rPr>
      </w:pPr>
    </w:p>
    <w:p>
      <w:pPr>
        <w:ind w:left="2880" w:hanging="576"/>
        <w:spacing w:after="0"/>
        <w:tabs>
          <w:tab w:leader="none" w:pos="288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6,531,506</w:t>
      </w:r>
    </w:p>
    <w:p>
      <w:pPr>
        <w:spacing w:after="0" w:line="23" w:lineRule="exact"/>
        <w:rPr>
          <w:rFonts w:ascii="Arial" w:cs="Arial" w:eastAsia="Arial" w:hAnsi="Arial"/>
          <w:sz w:val="18"/>
          <w:szCs w:val="18"/>
          <w:color w:val="auto"/>
        </w:rPr>
      </w:pPr>
    </w:p>
    <w:p>
      <w:pPr>
        <w:ind w:left="2880" w:hanging="576"/>
        <w:spacing w:after="0"/>
        <w:tabs>
          <w:tab w:leader="none" w:pos="288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9" w:lineRule="exact"/>
        <w:rPr>
          <w:rFonts w:ascii="Arial" w:cs="Arial" w:eastAsia="Arial" w:hAnsi="Arial"/>
          <w:sz w:val="18"/>
          <w:szCs w:val="18"/>
          <w:color w:val="auto"/>
        </w:rPr>
      </w:pPr>
    </w:p>
    <w:p>
      <w:pPr>
        <w:ind w:left="2880" w:hanging="576"/>
        <w:spacing w:after="0"/>
        <w:tabs>
          <w:tab w:leader="none" w:pos="288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6,531,506</w:t>
      </w:r>
    </w:p>
    <w:p>
      <w:pPr>
        <w:spacing w:after="0" w:line="9" w:lineRule="exact"/>
        <w:rPr>
          <w:rFonts w:ascii="Arial" w:cs="Arial" w:eastAsia="Arial" w:hAnsi="Arial"/>
          <w:sz w:val="18"/>
          <w:szCs w:val="18"/>
          <w:color w:val="auto"/>
        </w:rPr>
      </w:pPr>
    </w:p>
    <w:p>
      <w:pPr>
        <w:ind w:left="2880" w:hanging="576"/>
        <w:spacing w:after="0"/>
        <w:tabs>
          <w:tab w:leader="none" w:pos="288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12, 2010</w:t>
      </w:r>
    </w:p>
    <w:p>
      <w:pPr>
        <w:spacing w:after="0" w:line="25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Chilton Investment Company, LLC</w:t>
      </w:r>
    </w:p>
    <w:p>
      <w:pPr>
        <w:spacing w:after="0" w:line="200" w:lineRule="exact"/>
        <w:rPr>
          <w:sz w:val="20"/>
          <w:szCs w:val="20"/>
          <w:color w:val="auto"/>
        </w:rPr>
      </w:pPr>
    </w:p>
    <w:p>
      <w:pPr>
        <w:spacing w:after="0" w:line="241" w:lineRule="exact"/>
        <w:rPr>
          <w:sz w:val="20"/>
          <w:szCs w:val="20"/>
          <w:color w:val="auto"/>
        </w:rPr>
      </w:pPr>
    </w:p>
    <w:p>
      <w:pPr>
        <w:ind w:left="4580"/>
        <w:spacing w:after="0"/>
        <w:tabs>
          <w:tab w:leader="none" w:pos="5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Steinthal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14605</wp:posOffset>
            </wp:positionV>
            <wp:extent cx="311277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2770" cy="17145"/>
                    </a:xfrm>
                    <a:prstGeom prst="rect">
                      <a:avLst/>
                    </a:prstGeom>
                    <a:noFill/>
                  </pic:spPr>
                </pic:pic>
              </a:graphicData>
            </a:graphic>
          </wp:anchor>
        </w:drawing>
      </w:r>
    </w:p>
    <w:p>
      <w:pPr>
        <w:spacing w:after="0" w:line="1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Name: James Steinthal</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535305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36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x"/>
      <w:numFmt w:val="bullet"/>
      <w:start w:val="1"/>
    </w:lvl>
  </w:abstractNum>
  <w:abstractNum w:abstractNumId="1">
    <w:nsid w:val="3D1B58BA"/>
    <w:multiLevelType w:val="hybridMultilevel"/>
    <w:lvl w:ilvl="0">
      <w:lvlJc w:val="left"/>
      <w:lvlText w:val="1"/>
      <w:numFmt w:val="bullet"/>
      <w:start w:val="1"/>
    </w:lvl>
  </w:abstractNum>
  <w:abstractNum w:abstractNumId="2">
    <w:nsid w:val="507ED7AB"/>
    <w:multiLevelType w:val="hybridMultilevel"/>
    <w:lvl w:ilvl="0">
      <w:lvlJc w:val="left"/>
      <w:lvlText w:val="2"/>
      <w:numFmt w:val="bullet"/>
      <w:start w:val="1"/>
    </w:lvl>
  </w:abstractNum>
  <w:abstractNum w:abstractNumId="3">
    <w:nsid w:val="2EB141F2"/>
    <w:multiLevelType w:val="hybridMultilevel"/>
    <w:lvl w:ilvl="0">
      <w:lvlJc w:val="left"/>
      <w:lvlText w:val="3"/>
      <w:numFmt w:val="bullet"/>
      <w:start w:val="1"/>
    </w:lvl>
  </w:abstractNum>
  <w:abstractNum w:abstractNumId="4">
    <w:nsid w:val="41B71EFB"/>
    <w:multiLevelType w:val="hybridMultilevel"/>
    <w:lvl w:ilvl="0">
      <w:lvlJc w:val="left"/>
      <w:lvlText w:val="4"/>
      <w:numFmt w:val="bullet"/>
      <w:start w:val="1"/>
    </w:lvl>
  </w:abstractNum>
  <w:abstractNum w:abstractNumId="5">
    <w:nsid w:val="79E2A9E3"/>
    <w:multiLevelType w:val="hybridMultilevel"/>
    <w:lvl w:ilvl="0">
      <w:lvlJc w:val="left"/>
      <w:lvlText w:val="5"/>
      <w:numFmt w:val="bullet"/>
      <w:start w:val="1"/>
    </w:lvl>
  </w:abstractNum>
  <w:abstractNum w:abstractNumId="6">
    <w:nsid w:val="7545E146"/>
    <w:multiLevelType w:val="hybridMultilevel"/>
    <w:lvl w:ilvl="0">
      <w:lvlJc w:val="left"/>
      <w:lvlText w:val="9"/>
      <w:numFmt w:val="bullet"/>
      <w:start w:val="1"/>
    </w:lvl>
  </w:abstractNum>
  <w:abstractNum w:abstractNumId="7">
    <w:nsid w:val="515F007C"/>
    <w:multiLevelType w:val="hybridMultilevel"/>
    <w:lvl w:ilvl="0">
      <w:lvlJc w:val="left"/>
      <w:lvlText w:val="%1"/>
      <w:numFmt w:val="decimal"/>
      <w:start w:val="11"/>
    </w:lvl>
  </w:abstractNum>
  <w:abstractNum w:abstractNumId="8">
    <w:nsid w:val="5BD062C2"/>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2019-12-10T07:25:50Z</dcterms:created>
  <dcterms:modified xsi:type="dcterms:W3CDTF">2019-12-10T07:25:50Z</dcterms:modified>
</cp:coreProperties>
</file>