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91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911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1"/>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HOLTZMAN SEYMOUR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36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vMerge w:val="restart"/>
          </w:tcPr>
          <w:p>
            <w:pPr>
              <w:ind w:left="80"/>
              <w:spacing w:after="0" w:line="162" w:lineRule="exact"/>
              <w:rPr>
                <w:sz w:val="20"/>
                <w:szCs w:val="20"/>
                <w:color w:val="auto"/>
              </w:rPr>
            </w:pPr>
            <w:r>
              <w:rPr>
                <w:rFonts w:ascii="Arial" w:cs="Arial" w:eastAsia="Arial" w:hAnsi="Arial"/>
                <w:sz w:val="18"/>
                <w:szCs w:val="18"/>
                <w:color w:val="0000FF"/>
                <w:w w:val="99"/>
              </w:rPr>
              <w:t>X</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500" w:type="dxa"/>
            <w:vAlign w:val="bottom"/>
            <w:vMerge w:val="restart"/>
          </w:tcPr>
          <w:p>
            <w:pPr>
              <w:ind w:left="180"/>
              <w:spacing w:after="0" w:line="162" w:lineRule="exact"/>
              <w:rPr>
                <w:sz w:val="20"/>
                <w:szCs w:val="20"/>
                <w:color w:val="auto"/>
              </w:rPr>
            </w:pPr>
            <w:r>
              <w:rPr>
                <w:rFonts w:ascii="Arial" w:cs="Arial" w:eastAsia="Arial" w:hAnsi="Arial"/>
                <w:sz w:val="18"/>
                <w:szCs w:val="18"/>
                <w:color w:val="0000FF"/>
              </w:rPr>
              <w:t>X</w:t>
            </w: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line="115" w:lineRule="exact"/>
              <w:rPr>
                <w:sz w:val="20"/>
                <w:szCs w:val="20"/>
                <w:color w:val="auto"/>
              </w:rPr>
            </w:pPr>
            <w:r>
              <w:rPr>
                <w:rFonts w:ascii="Arial" w:cs="Arial" w:eastAsia="Arial" w:hAnsi="Arial"/>
                <w:sz w:val="11"/>
                <w:szCs w:val="11"/>
                <w:color w:val="0000FF"/>
              </w:rPr>
              <w:t xml:space="preserve">CMRG </w:t>
            </w:r>
            <w:r>
              <w:rPr>
                <w:rFonts w:ascii="Arial" w:cs="Arial" w:eastAsia="Arial" w:hAnsi="Arial"/>
                <w:sz w:val="13"/>
                <w:szCs w:val="13"/>
                <w:color w:val="000000"/>
              </w:rPr>
              <w:t>]</w:t>
            </w: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3"/>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500" w:type="dxa"/>
            <w:vAlign w:val="bottom"/>
          </w:tcPr>
          <w:p>
            <w:pPr>
              <w:spacing w:after="0"/>
              <w:rPr>
                <w:sz w:val="10"/>
                <w:szCs w:val="10"/>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6"/>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5"/>
          </w:tcPr>
          <w:p>
            <w:pPr>
              <w:ind w:left="160"/>
              <w:spacing w:after="0"/>
              <w:rPr>
                <w:sz w:val="20"/>
                <w:szCs w:val="20"/>
                <w:color w:val="auto"/>
              </w:rPr>
            </w:pPr>
            <w:r>
              <w:rPr>
                <w:rFonts w:ascii="Arial" w:cs="Arial" w:eastAsia="Arial" w:hAnsi="Arial"/>
                <w:sz w:val="18"/>
                <w:szCs w:val="18"/>
                <w:color w:val="0000FF"/>
              </w:rPr>
              <w:t>05/23/2011</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9"/>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11"/>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40" w:type="dxa"/>
            <w:vAlign w:val="bottom"/>
            <w:gridSpan w:val="9"/>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8"/>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260" w:type="dxa"/>
            <w:vAlign w:val="bottom"/>
            <w:tcBorders>
              <w:bottom w:val="single" w:sz="8" w:color="2C2C2C"/>
            </w:tcBorders>
            <w:gridSpan w:val="5"/>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1"/>
          </w:tcPr>
          <w:p>
            <w:pPr>
              <w:jc w:val="center"/>
              <w:ind w:left="3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(D) or Indirect</w:t>
            </w:r>
          </w:p>
        </w:tc>
        <w:tc>
          <w:tcPr>
            <w:tcW w:w="1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420" w:type="dxa"/>
            <w:vAlign w:val="bottom"/>
            <w:tcBorders>
              <w:bottom w:val="single" w:sz="8" w:color="2C2C2C"/>
            </w:tcBorders>
            <w:gridSpan w:val="4"/>
          </w:tcPr>
          <w:p>
            <w:pPr>
              <w:ind w:left="620"/>
              <w:spacing w:after="0"/>
              <w:rPr>
                <w:sz w:val="20"/>
                <w:szCs w:val="20"/>
                <w:color w:val="auto"/>
              </w:rPr>
            </w:pPr>
            <w:r>
              <w:rPr>
                <w:rFonts w:ascii="Arial" w:cs="Arial" w:eastAsia="Arial" w:hAnsi="Arial"/>
                <w:sz w:val="18"/>
                <w:szCs w:val="18"/>
                <w:color w:val="0000FF"/>
                <w:w w:val="86"/>
              </w:rPr>
              <w:t>05/23/2011</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31,815</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ind w:left="4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3.77</w:t>
            </w:r>
            <w:r>
              <w:rPr>
                <w:rFonts w:ascii="Arial" w:cs="Arial" w:eastAsia="Arial" w:hAnsi="Arial"/>
                <w:sz w:val="22"/>
                <w:szCs w:val="22"/>
                <w:color w:val="008000"/>
                <w:w w:val="88"/>
                <w:vertAlign w:val="superscript"/>
              </w:rPr>
              <w:t>(1)</w:t>
            </w: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w w:val="87"/>
              </w:rPr>
              <w:t>3,997,784</w:t>
            </w: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1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Jewelcor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59"/>
              <w:spacing w:after="0"/>
              <w:rPr>
                <w:sz w:val="20"/>
                <w:szCs w:val="20"/>
                <w:color w:val="auto"/>
              </w:rPr>
            </w:pPr>
            <w:r>
              <w:rPr>
                <w:rFonts w:ascii="Arial" w:cs="Arial" w:eastAsia="Arial" w:hAnsi="Arial"/>
                <w:sz w:val="18"/>
                <w:szCs w:val="18"/>
                <w:color w:val="0000FF"/>
              </w:rPr>
              <w:t>77,800</w:t>
            </w:r>
          </w:p>
        </w:tc>
        <w:tc>
          <w:tcPr>
            <w:tcW w:w="30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0000FF"/>
              </w:rPr>
              <w:t>I</w:t>
            </w:r>
          </w:p>
        </w:tc>
        <w:tc>
          <w:tcPr>
            <w:tcW w:w="10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0000FF"/>
              </w:rPr>
              <w:t>Inc.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gridSpan w:val="16"/>
          </w:tcPr>
          <w:p>
            <w:pPr>
              <w:jc w:val="center"/>
              <w:ind w:left="5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6"/>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purchased on this date. The actual purchase prices with respect to these shares were between $3.76 and $3.80. The Reporting Person hereby undertakes to provide upon request to the SEC, the issuer or any stockholder of the issuer full information regarding the number of shares and prices at which the transaction was effected.</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an indirect controlling shareholder of Jewelcor Management, Inc.</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0000FF"/>
                <w:w w:val="88"/>
              </w:rPr>
              <w:t>Seymour Holtzman</w:t>
            </w:r>
          </w:p>
        </w:tc>
        <w:tc>
          <w:tcPr>
            <w:tcW w:w="74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05/24/2011</w:t>
            </w:r>
          </w:p>
        </w:tc>
      </w:tr>
      <w:tr>
        <w:trPr>
          <w:trHeight w:val="20"/>
        </w:trPr>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44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2019-12-16T05:20:21Z</dcterms:created>
  <dcterms:modified xsi:type="dcterms:W3CDTF">2019-12-16T05:20:21Z</dcterms:modified>
</cp:coreProperties>
</file>