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4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On October 8, 2018, Destination Group XL,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promoted Brian S. Reaves to the position of Executive Vice President and Chief Operating Officer. Mr. Reaves will continue to report directly to David A. Levin, the Company’s President and Chief Executive Officer.</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Mr. Reaves, 57, has served as the Company’s Executive Vice President and Chief Customer Officer since November 2017. Prior to that, Mr. Reaves served as the Company’s Senior Vice President and Chief Sales Officer from November 2014 to November 2017. From May 2010 to November 2014, Mr. Reaves was the Company’s Senior Vice President of Store Sales and Operations. Prior to joining the Company, Mr. Reaves was the vice president of outreach and group sales for David’s Bridal from 2007 to 2009.</w:t>
      </w:r>
    </w:p>
    <w:p>
      <w:pPr>
        <w:spacing w:after="0" w:line="143"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In connection with Mr. Reaves’ promotion, the Company entered into the Second Amended and Restated Employment Agreement with Mr. Reaves (the “</w:t>
      </w:r>
      <w:r>
        <w:rPr>
          <w:rFonts w:ascii="Arial" w:cs="Arial" w:eastAsia="Arial" w:hAnsi="Arial"/>
          <w:sz w:val="22"/>
          <w:szCs w:val="22"/>
          <w:b w:val="1"/>
          <w:bCs w:val="1"/>
          <w:i w:val="1"/>
          <w:iCs w:val="1"/>
          <w:color w:val="auto"/>
        </w:rPr>
        <w:t>Amended Employment Agreement</w:t>
      </w:r>
      <w:r>
        <w:rPr>
          <w:rFonts w:ascii="Arial" w:cs="Arial" w:eastAsia="Arial" w:hAnsi="Arial"/>
          <w:sz w:val="22"/>
          <w:szCs w:val="22"/>
          <w:color w:val="auto"/>
        </w:rPr>
        <w:t>”), which amended his current employment agreement. Pursuant to the terms of the Amended Employment Agreement, among other things, Mr. Reaves’ annual base salary was increased to $500,000 from $400,000, and the Company will advance to Mr. Reaves $50,000, prior to any applicable taxes, to cover relocation costs. This summary of the Amended Employment Agreement does not purport to be complete and is subject to and qualified in its entirety by reference to the text of the Employment Agreement included as Exhibit 10.1 to this filing, which is incorporated herein by reference.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740" w:type="dxa"/>
            <w:vAlign w:val="bottom"/>
          </w:tcPr>
          <w:p>
            <w:pPr>
              <w:spacing w:after="0"/>
              <w:rPr>
                <w:sz w:val="24"/>
                <w:szCs w:val="24"/>
                <w:color w:val="auto"/>
              </w:rPr>
            </w:pPr>
          </w:p>
        </w:tc>
        <w:tc>
          <w:tcPr>
            <w:tcW w:w="9300" w:type="dxa"/>
            <w:vAlign w:val="bottom"/>
            <w:tcBorders>
              <w:bottom w:val="single" w:sz="8" w:color="0000EE"/>
            </w:tcBorders>
            <w:gridSpan w:val="4"/>
          </w:tcPr>
          <w:p>
            <w:pPr>
              <w:spacing w:after="0"/>
              <w:rPr>
                <w:rFonts w:ascii="Arial" w:cs="Arial" w:eastAsia="Arial" w:hAnsi="Arial"/>
                <w:sz w:val="22"/>
                <w:szCs w:val="22"/>
                <w:color w:val="0000EE"/>
                <w:w w:val="87"/>
              </w:rPr>
            </w:pPr>
            <w:hyperlink w:anchor="page5">
              <w:r>
                <w:rPr>
                  <w:rFonts w:ascii="Arial" w:cs="Arial" w:eastAsia="Arial" w:hAnsi="Arial"/>
                  <w:sz w:val="22"/>
                  <w:szCs w:val="22"/>
                  <w:color w:val="0000EE"/>
                  <w:w w:val="87"/>
                </w:rPr>
                <w:t>Second Amended and Restated Employment Agreement dated as of October 8, 2018 between the Company</w:t>
              </w:r>
            </w:hyperlink>
          </w:p>
        </w:tc>
        <w:tc>
          <w:tcPr>
            <w:tcW w:w="38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Borders>
              <w:bottom w:val="single" w:sz="8" w:color="0000EE"/>
            </w:tcBorders>
            <w:gridSpan w:val="2"/>
          </w:tcPr>
          <w:p>
            <w:pPr>
              <w:spacing w:after="0" w:line="223" w:lineRule="exact"/>
              <w:rPr>
                <w:rFonts w:ascii="Arial" w:cs="Arial" w:eastAsia="Arial" w:hAnsi="Arial"/>
                <w:sz w:val="22"/>
                <w:szCs w:val="22"/>
                <w:color w:val="0000EE"/>
                <w:w w:val="85"/>
              </w:rPr>
            </w:pPr>
            <w:hyperlink w:anchor="page5">
              <w:r>
                <w:rPr>
                  <w:rFonts w:ascii="Arial" w:cs="Arial" w:eastAsia="Arial" w:hAnsi="Arial"/>
                  <w:sz w:val="22"/>
                  <w:szCs w:val="22"/>
                  <w:color w:val="0000EE"/>
                  <w:w w:val="85"/>
                </w:rPr>
                <w:t>and Brian S. Reaves.</w:t>
              </w:r>
            </w:hyperlink>
          </w:p>
        </w:tc>
        <w:tc>
          <w:tcPr>
            <w:tcW w:w="7880" w:type="dxa"/>
            <w:vAlign w:val="bottom"/>
            <w:gridSpan w:val="3"/>
          </w:tcPr>
          <w:p>
            <w:pPr>
              <w:spacing w:after="0"/>
              <w:rPr>
                <w:sz w:val="19"/>
                <w:szCs w:val="19"/>
                <w:color w:val="auto"/>
              </w:rPr>
            </w:pPr>
          </w:p>
        </w:tc>
      </w:tr>
      <w:tr>
        <w:trPr>
          <w:trHeight w:val="956"/>
        </w:trPr>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00" w:type="dxa"/>
            <w:vAlign w:val="bottom"/>
            <w:gridSpan w:val="4"/>
          </w:tcPr>
          <w:p>
            <w:pPr>
              <w:jc w:val="right"/>
              <w:ind w:right="5300"/>
              <w:spacing w:after="0"/>
              <w:rPr>
                <w:sz w:val="20"/>
                <w:szCs w:val="20"/>
                <w:color w:val="auto"/>
              </w:rPr>
            </w:pPr>
            <w:r>
              <w:rPr>
                <w:rFonts w:ascii="Arial" w:cs="Arial" w:eastAsia="Arial" w:hAnsi="Arial"/>
                <w:sz w:val="20"/>
                <w:szCs w:val="20"/>
                <w:color w:val="auto"/>
              </w:rPr>
              <w:t>2</w:t>
            </w:r>
          </w:p>
        </w:tc>
        <w:tc>
          <w:tcPr>
            <w:tcW w:w="380" w:type="dxa"/>
            <w:vAlign w:val="bottom"/>
          </w:tcPr>
          <w:p>
            <w:pPr>
              <w:spacing w:after="0"/>
              <w:rPr>
                <w:sz w:val="24"/>
                <w:szCs w:val="24"/>
                <w:color w:val="auto"/>
              </w:rPr>
            </w:pPr>
          </w:p>
        </w:tc>
      </w:tr>
      <w:tr>
        <w:trPr>
          <w:trHeight w:val="341"/>
        </w:trPr>
        <w:tc>
          <w:tcPr>
            <w:tcW w:w="1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8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October 9,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7620</wp:posOffset>
            </wp:positionV>
            <wp:extent cx="3001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60"/>
        <w:spacing w:after="0"/>
        <w:rPr>
          <w:sz w:val="20"/>
          <w:szCs w:val="20"/>
          <w:color w:val="auto"/>
        </w:rPr>
      </w:pPr>
      <w:r>
        <w:rPr>
          <w:rFonts w:ascii="Arial" w:cs="Arial" w:eastAsia="Arial" w:hAnsi="Arial"/>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11" w:right="35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AMENDED AND RESTATED EMPLOYMENT AGREEMENT</w:t>
      </w:r>
    </w:p>
    <w:p>
      <w:pPr>
        <w:spacing w:after="0" w:line="233" w:lineRule="exact"/>
        <w:rPr>
          <w:sz w:val="20"/>
          <w:szCs w:val="20"/>
          <w:color w:val="auto"/>
        </w:rPr>
      </w:pPr>
    </w:p>
    <w:p>
      <w:pPr>
        <w:ind w:right="580"/>
        <w:spacing w:after="0" w:line="252" w:lineRule="auto"/>
        <w:rPr>
          <w:sz w:val="20"/>
          <w:szCs w:val="20"/>
          <w:color w:val="auto"/>
        </w:rPr>
      </w:pPr>
      <w:r>
        <w:rPr>
          <w:rFonts w:ascii="Arial" w:cs="Arial" w:eastAsia="Arial" w:hAnsi="Arial"/>
          <w:sz w:val="21"/>
          <w:szCs w:val="21"/>
          <w:color w:val="auto"/>
        </w:rPr>
        <w:t>This Second Amended and Restated Employment Agreement ("Agreement") is made effective as of October 8, 2018 (the “Effective Date”) between DESTINATION XL GROUP, INC., a Delaware corporation with an office at 555 Turnpike Street, Canton, Massachusetts, 02021 (the "Company" which term includes any affiliates and subsidiaries), and Brian S. Reaves (the “Executive”) having an address at 875 Saints Drive, Marietta, Georgia 3000.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33" w:lineRule="exact"/>
        <w:rPr>
          <w:sz w:val="20"/>
          <w:szCs w:val="20"/>
          <w:color w:val="auto"/>
        </w:rPr>
      </w:pPr>
    </w:p>
    <w:p>
      <w:pPr>
        <w:ind w:right="440" w:firstLine="527"/>
        <w:spacing w:after="0" w:line="251" w:lineRule="auto"/>
        <w:rPr>
          <w:sz w:val="20"/>
          <w:szCs w:val="20"/>
          <w:color w:val="auto"/>
        </w:rPr>
      </w:pPr>
      <w:r>
        <w:rPr>
          <w:rFonts w:ascii="Arial" w:cs="Arial" w:eastAsia="Arial" w:hAnsi="Arial"/>
          <w:sz w:val="22"/>
          <w:szCs w:val="22"/>
          <w:color w:val="auto"/>
        </w:rPr>
        <w:t>WHEREAS, the Company desires that Executive work for the Company and Executive desires to be so employed by the Company as its Executive Vice President, Chief Operating Officer.</w:t>
      </w:r>
    </w:p>
    <w:p>
      <w:pPr>
        <w:spacing w:after="0" w:line="200" w:lineRule="exact"/>
        <w:rPr>
          <w:sz w:val="20"/>
          <w:szCs w:val="20"/>
          <w:color w:val="auto"/>
        </w:rPr>
      </w:pPr>
    </w:p>
    <w:p>
      <w:pPr>
        <w:ind w:right="1060" w:firstLine="527"/>
        <w:spacing w:after="0" w:line="251" w:lineRule="auto"/>
        <w:rPr>
          <w:sz w:val="20"/>
          <w:szCs w:val="20"/>
          <w:color w:val="auto"/>
        </w:rPr>
      </w:pPr>
      <w:r>
        <w:rPr>
          <w:rFonts w:ascii="Arial" w:cs="Arial" w:eastAsia="Arial" w:hAnsi="Arial"/>
          <w:sz w:val="22"/>
          <w:szCs w:val="22"/>
          <w:color w:val="auto"/>
        </w:rPr>
        <w:t>WHEREAS, Executive and the Company desire to set forth in writing the terms and conditions of the Executive's employment with the Company from the date hereof.</w:t>
      </w:r>
    </w:p>
    <w:p>
      <w:pPr>
        <w:spacing w:after="0" w:line="200" w:lineRule="exact"/>
        <w:rPr>
          <w:sz w:val="20"/>
          <w:szCs w:val="20"/>
          <w:color w:val="auto"/>
        </w:rPr>
      </w:pPr>
    </w:p>
    <w:p>
      <w:pPr>
        <w:ind w:right="700" w:firstLine="512"/>
        <w:spacing w:after="0" w:line="251" w:lineRule="auto"/>
        <w:rPr>
          <w:sz w:val="20"/>
          <w:szCs w:val="20"/>
          <w:color w:val="auto"/>
        </w:rPr>
      </w:pPr>
      <w:r>
        <w:rPr>
          <w:rFonts w:ascii="Arial" w:cs="Arial" w:eastAsia="Arial" w:hAnsi="Arial"/>
          <w:sz w:val="22"/>
          <w:szCs w:val="22"/>
          <w:color w:val="auto"/>
        </w:rPr>
        <w:t>NOW, THEREFORE, in consideration of the promises and the mutual promises, representations and covenants herein contained, the parties hereto agree as follows:</w:t>
      </w:r>
    </w:p>
    <w:p>
      <w:pPr>
        <w:spacing w:after="0" w:line="200" w:lineRule="exact"/>
        <w:rPr>
          <w:sz w:val="20"/>
          <w:szCs w:val="20"/>
          <w:color w:val="auto"/>
        </w:rPr>
      </w:pPr>
    </w:p>
    <w:p>
      <w:pPr>
        <w:ind w:left="1420" w:hanging="535"/>
        <w:spacing w:after="0"/>
        <w:tabs>
          <w:tab w:leader="none" w:pos="142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EMPLOYMENT</w:t>
      </w:r>
    </w:p>
    <w:p>
      <w:pPr>
        <w:spacing w:after="0" w:line="233" w:lineRule="exact"/>
        <w:rPr>
          <w:sz w:val="20"/>
          <w:szCs w:val="20"/>
          <w:color w:val="auto"/>
        </w:rPr>
      </w:pPr>
    </w:p>
    <w:p>
      <w:pPr>
        <w:ind w:right="600" w:firstLine="877"/>
        <w:spacing w:after="0" w:line="251" w:lineRule="auto"/>
        <w:rPr>
          <w:sz w:val="20"/>
          <w:szCs w:val="20"/>
          <w:color w:val="auto"/>
        </w:rPr>
      </w:pPr>
      <w:r>
        <w:rPr>
          <w:rFonts w:ascii="Arial" w:cs="Arial" w:eastAsia="Arial" w:hAnsi="Arial"/>
          <w:sz w:val="22"/>
          <w:szCs w:val="22"/>
          <w:color w:val="auto"/>
        </w:rPr>
        <w:t>The Company hereby employs Executive and Executive hereby accepts such employment, subject to the terms and conditions herein set forth.</w:t>
      </w:r>
    </w:p>
    <w:p>
      <w:pPr>
        <w:spacing w:after="0" w:line="200" w:lineRule="exact"/>
        <w:rPr>
          <w:sz w:val="20"/>
          <w:szCs w:val="20"/>
          <w:color w:val="auto"/>
        </w:rPr>
      </w:pPr>
    </w:p>
    <w:p>
      <w:pPr>
        <w:ind w:left="1700" w:hanging="815"/>
        <w:spacing w:after="0"/>
        <w:tabs>
          <w:tab w:leader="none" w:pos="170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TERM</w:t>
      </w:r>
    </w:p>
    <w:p>
      <w:pPr>
        <w:spacing w:after="0" w:line="233"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auto"/>
        </w:rPr>
        <w:t>The term of employment under this Agreement (the “Term of Employment”) shall begin on the Effective Date and shall continue until terminated by either party as hereinafter set forth.</w:t>
      </w:r>
    </w:p>
    <w:p>
      <w:pPr>
        <w:spacing w:after="0" w:line="200" w:lineRule="exact"/>
        <w:rPr>
          <w:sz w:val="20"/>
          <w:szCs w:val="20"/>
          <w:color w:val="auto"/>
        </w:rPr>
      </w:pPr>
    </w:p>
    <w:p>
      <w:pPr>
        <w:ind w:left="1700" w:hanging="815"/>
        <w:spacing w:after="0"/>
        <w:tabs>
          <w:tab w:leader="none" w:pos="170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33"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(a) 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Five Hundred Thousand Dollars and 00/100 Cents ($500,000.00)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188"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(b) 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9"/>
          <w:szCs w:val="19"/>
          <w:color w:val="auto"/>
        </w:rPr>
        <w:t>and Company performance conditions are met) shall be 55%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3" w:lineRule="exact"/>
        <w:rPr>
          <w:sz w:val="20"/>
          <w:szCs w:val="20"/>
          <w:color w:val="auto"/>
        </w:rPr>
      </w:pPr>
    </w:p>
    <w:p>
      <w:pPr>
        <w:jc w:val="both"/>
        <w:ind w:firstLine="1763"/>
        <w:spacing w:after="0" w:line="234" w:lineRule="auto"/>
        <w:tabs>
          <w:tab w:leader="none" w:pos="2643" w:val="left"/>
        </w:tabs>
        <w:numPr>
          <w:ilvl w:val="1"/>
          <w:numId w:val="5"/>
        </w:numPr>
        <w:rPr>
          <w:rFonts w:ascii="Arial" w:cs="Arial" w:eastAsia="Arial" w:hAnsi="Arial"/>
          <w:sz w:val="22"/>
          <w:szCs w:val="22"/>
          <w:color w:val="auto"/>
        </w:rPr>
      </w:pPr>
      <w:r>
        <w:rPr>
          <w:rFonts w:ascii="Arial" w:cs="Arial" w:eastAsia="Arial" w:hAnsi="Arial"/>
          <w:sz w:val="22"/>
          <w:szCs w:val="22"/>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Effective with the 2018-2020 LTIP and thereafter,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91" w:lineRule="exact"/>
        <w:rPr>
          <w:rFonts w:ascii="Arial" w:cs="Arial" w:eastAsia="Arial" w:hAnsi="Arial"/>
          <w:sz w:val="22"/>
          <w:szCs w:val="22"/>
          <w:color w:val="auto"/>
        </w:rPr>
      </w:pPr>
    </w:p>
    <w:p>
      <w:pPr>
        <w:ind w:left="1700" w:hanging="815"/>
        <w:spacing w:after="0"/>
        <w:tabs>
          <w:tab w:leader="none" w:pos="17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EXPENSES</w:t>
      </w:r>
    </w:p>
    <w:p>
      <w:pPr>
        <w:spacing w:after="0" w:line="206"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79" w:lineRule="exact"/>
        <w:rPr>
          <w:sz w:val="20"/>
          <w:szCs w:val="20"/>
          <w:color w:val="auto"/>
        </w:rPr>
      </w:pPr>
    </w:p>
    <w:p>
      <w:pPr>
        <w:ind w:left="1700" w:hanging="815"/>
        <w:spacing w:after="0"/>
        <w:tabs>
          <w:tab w:leader="none" w:pos="170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OTHER BENEFITS</w:t>
      </w:r>
    </w:p>
    <w:p>
      <w:pPr>
        <w:spacing w:after="0" w:line="206" w:lineRule="exact"/>
        <w:rPr>
          <w:rFonts w:ascii="Arial" w:cs="Arial" w:eastAsia="Arial" w:hAnsi="Arial"/>
          <w:sz w:val="22"/>
          <w:szCs w:val="22"/>
          <w:color w:val="auto"/>
        </w:rPr>
      </w:pPr>
    </w:p>
    <w:p>
      <w:pPr>
        <w:jc w:val="both"/>
        <w:ind w:firstLine="995"/>
        <w:spacing w:after="0" w:line="249" w:lineRule="auto"/>
        <w:tabs>
          <w:tab w:leader="none" w:pos="1875" w:val="left"/>
        </w:tabs>
        <w:numPr>
          <w:ilvl w:val="1"/>
          <w:numId w:val="7"/>
        </w:numPr>
        <w:rPr>
          <w:rFonts w:ascii="Arial" w:cs="Arial" w:eastAsia="Arial" w:hAnsi="Arial"/>
          <w:sz w:val="21"/>
          <w:szCs w:val="21"/>
          <w:color w:val="auto"/>
        </w:rPr>
      </w:pPr>
      <w:r>
        <w:rPr>
          <w:rFonts w:ascii="Arial" w:cs="Arial" w:eastAsia="Arial" w:hAnsi="Arial"/>
          <w:sz w:val="21"/>
          <w:szCs w:val="21"/>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78" w:lineRule="exact"/>
        <w:rPr>
          <w:rFonts w:ascii="Arial" w:cs="Arial" w:eastAsia="Arial" w:hAnsi="Arial"/>
          <w:sz w:val="21"/>
          <w:szCs w:val="21"/>
          <w:color w:val="auto"/>
        </w:rPr>
      </w:pPr>
    </w:p>
    <w:p>
      <w:pPr>
        <w:jc w:val="both"/>
        <w:ind w:firstLine="995"/>
        <w:spacing w:after="0" w:line="236" w:lineRule="auto"/>
        <w:tabs>
          <w:tab w:leader="none" w:pos="1887"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(c)Executive will be eligible to participate in the Company’s annual performance appraisal process.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 w:name="page7"/>
    <w:bookmarkEnd w:id="6"/>
    <w:p>
      <w:pPr>
        <w:jc w:val="both"/>
        <w:ind w:firstLine="987"/>
        <w:spacing w:after="0" w:line="279" w:lineRule="auto"/>
        <w:rPr>
          <w:sz w:val="20"/>
          <w:szCs w:val="20"/>
          <w:color w:val="auto"/>
        </w:rPr>
      </w:pPr>
      <w:r>
        <w:rPr>
          <w:rFonts w:ascii="Arial" w:cs="Arial" w:eastAsia="Arial" w:hAnsi="Arial"/>
          <w:sz w:val="19"/>
          <w:szCs w:val="19"/>
          <w:color w:val="auto"/>
        </w:rPr>
        <w:t>(d)The Company shall advance Executive a relocation payment in the amount of $50,000 (prior to any applicable taxes) (the “</w:t>
      </w:r>
      <w:r>
        <w:rPr>
          <w:rFonts w:ascii="Arial" w:cs="Arial" w:eastAsia="Arial" w:hAnsi="Arial"/>
          <w:sz w:val="19"/>
          <w:szCs w:val="19"/>
          <w:i w:val="1"/>
          <w:iCs w:val="1"/>
          <w:u w:val="single" w:color="auto"/>
          <w:color w:val="auto"/>
        </w:rPr>
        <w:t>Advance</w:t>
      </w:r>
      <w:r>
        <w:rPr>
          <w:rFonts w:ascii="Arial" w:cs="Arial" w:eastAsia="Arial" w:hAnsi="Arial"/>
          <w:sz w:val="19"/>
          <w:szCs w:val="19"/>
          <w:color w:val="auto"/>
        </w:rPr>
        <w:t>”) within thirty (30) days following the Effective Date. In the event Executive ceases to be employed by the Company due to his voluntary termination (other than for Good Reason (as defined in paragraph 7(i))) prior to the one (1) year anniversary of the Effective Date, Executive will be required to repay the Advance to the Company within thirty (30) days following Executive’s termination of employment, provided that the amount of the Advance that is required to be repaid shall be reduced by 1/12</w:t>
      </w:r>
      <w:r>
        <w:rPr>
          <w:rFonts w:ascii="Arial" w:cs="Arial" w:eastAsia="Arial" w:hAnsi="Arial"/>
          <w:sz w:val="16"/>
          <w:szCs w:val="16"/>
          <w:color w:val="auto"/>
        </w:rPr>
        <w:t>th</w:t>
      </w:r>
      <w:r>
        <w:rPr>
          <w:rFonts w:ascii="Arial" w:cs="Arial" w:eastAsia="Arial" w:hAnsi="Arial"/>
          <w:sz w:val="19"/>
          <w:szCs w:val="19"/>
          <w:color w:val="auto"/>
        </w:rPr>
        <w:t xml:space="preserve"> of the Advance amount for each completed month that Executive is employed by the Company.</w:t>
      </w:r>
    </w:p>
    <w:p>
      <w:pPr>
        <w:spacing w:after="0" w:line="151" w:lineRule="exact"/>
        <w:rPr>
          <w:sz w:val="20"/>
          <w:szCs w:val="20"/>
          <w:color w:val="auto"/>
        </w:rPr>
      </w:pPr>
    </w:p>
    <w:p>
      <w:pPr>
        <w:ind w:left="1700" w:hanging="815"/>
        <w:spacing w:after="0"/>
        <w:tabs>
          <w:tab w:leader="none" w:pos="170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DUTIES</w:t>
      </w:r>
    </w:p>
    <w:p>
      <w:pPr>
        <w:spacing w:after="0" w:line="200" w:lineRule="exact"/>
        <w:rPr>
          <w:sz w:val="20"/>
          <w:szCs w:val="20"/>
          <w:color w:val="auto"/>
        </w:rPr>
      </w:pPr>
    </w:p>
    <w:p>
      <w:pPr>
        <w:spacing w:after="0" w:line="249" w:lineRule="exact"/>
        <w:rPr>
          <w:sz w:val="20"/>
          <w:szCs w:val="20"/>
          <w:color w:val="auto"/>
        </w:rPr>
      </w:pPr>
    </w:p>
    <w:p>
      <w:pPr>
        <w:jc w:val="both"/>
        <w:ind w:firstLine="885"/>
        <w:spacing w:after="0"/>
        <w:tabs>
          <w:tab w:leader="none" w:pos="1765" w:val="left"/>
        </w:tabs>
        <w:numPr>
          <w:ilvl w:val="0"/>
          <w:numId w:val="9"/>
        </w:numPr>
        <w:rPr>
          <w:rFonts w:ascii="Arial" w:cs="Arial" w:eastAsia="Arial" w:hAnsi="Arial"/>
          <w:sz w:val="22"/>
          <w:szCs w:val="22"/>
          <w:color w:val="auto"/>
        </w:rPr>
      </w:pPr>
      <w:r>
        <w:rPr>
          <w:rFonts w:ascii="Arial" w:cs="Arial" w:eastAsia="Arial" w:hAnsi="Arial"/>
          <w:sz w:val="22"/>
          <w:szCs w:val="22"/>
          <w:color w:val="auto"/>
        </w:rPr>
        <w:t>Executive shall perform such duties and functions consistent with the position of Executive Vice President and Chief Operating Officer and/or as the Company shall from time to time determine and Executive shall comply in the performance of his duties with the policies of, and be subject to the direction of the Company.</w:t>
      </w:r>
    </w:p>
    <w:p>
      <w:pPr>
        <w:spacing w:after="0" w:line="213" w:lineRule="exact"/>
        <w:rPr>
          <w:rFonts w:ascii="Arial" w:cs="Arial" w:eastAsia="Arial" w:hAnsi="Arial"/>
          <w:sz w:val="22"/>
          <w:szCs w:val="22"/>
          <w:color w:val="auto"/>
        </w:rPr>
      </w:pPr>
    </w:p>
    <w:p>
      <w:pPr>
        <w:jc w:val="both"/>
        <w:ind w:firstLine="885"/>
        <w:spacing w:after="0" w:line="282" w:lineRule="auto"/>
        <w:tabs>
          <w:tab w:leader="none" w:pos="1634" w:val="left"/>
        </w:tabs>
        <w:numPr>
          <w:ilvl w:val="0"/>
          <w:numId w:val="9"/>
        </w:numPr>
        <w:rPr>
          <w:rFonts w:ascii="Arial" w:cs="Arial" w:eastAsia="Arial" w:hAnsi="Arial"/>
          <w:sz w:val="19"/>
          <w:szCs w:val="19"/>
          <w:color w:val="auto"/>
        </w:rPr>
      </w:pPr>
      <w:r>
        <w:rPr>
          <w:rFonts w:ascii="Arial" w:cs="Arial" w:eastAsia="Arial" w:hAnsi="Arial"/>
          <w:sz w:val="19"/>
          <w:szCs w:val="19"/>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75" w:lineRule="exact"/>
        <w:rPr>
          <w:sz w:val="20"/>
          <w:szCs w:val="20"/>
          <w:color w:val="auto"/>
        </w:rPr>
      </w:pPr>
    </w:p>
    <w:p>
      <w:pPr>
        <w:ind w:right="80" w:firstLine="877"/>
        <w:spacing w:after="0" w:line="287" w:lineRule="auto"/>
        <w:rPr>
          <w:sz w:val="20"/>
          <w:szCs w:val="20"/>
          <w:color w:val="auto"/>
        </w:rPr>
      </w:pPr>
      <w:r>
        <w:rPr>
          <w:rFonts w:ascii="Arial" w:cs="Arial" w:eastAsia="Arial" w:hAnsi="Arial"/>
          <w:sz w:val="19"/>
          <w:szCs w:val="19"/>
          <w:color w:val="auto"/>
        </w:rPr>
        <w:t>(c) 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70" w:lineRule="exact"/>
        <w:rPr>
          <w:sz w:val="20"/>
          <w:szCs w:val="20"/>
          <w:color w:val="auto"/>
        </w:rPr>
      </w:pPr>
    </w:p>
    <w:p>
      <w:pPr>
        <w:ind w:left="1420" w:hanging="535"/>
        <w:spacing w:after="0"/>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EFFECT OF TERMINATION</w:t>
      </w:r>
    </w:p>
    <w:p>
      <w:pPr>
        <w:spacing w:after="0" w:line="200" w:lineRule="exact"/>
        <w:rPr>
          <w:sz w:val="20"/>
          <w:szCs w:val="20"/>
          <w:color w:val="auto"/>
        </w:rPr>
      </w:pPr>
    </w:p>
    <w:p>
      <w:pPr>
        <w:spacing w:after="0" w:line="276" w:lineRule="exact"/>
        <w:rPr>
          <w:sz w:val="20"/>
          <w:szCs w:val="20"/>
          <w:color w:val="auto"/>
        </w:rPr>
      </w:pPr>
    </w:p>
    <w:p>
      <w:pPr>
        <w:ind w:left="1780" w:hanging="895"/>
        <w:spacing w:after="0"/>
        <w:tabs>
          <w:tab w:leader="none" w:pos="1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Term of Employment may be terminated by the Company at any time:</w:t>
      </w:r>
    </w:p>
    <w:p>
      <w:pPr>
        <w:spacing w:after="0" w:line="233" w:lineRule="exact"/>
        <w:rPr>
          <w:rFonts w:ascii="Arial" w:cs="Arial" w:eastAsia="Arial" w:hAnsi="Arial"/>
          <w:sz w:val="22"/>
          <w:szCs w:val="22"/>
          <w:color w:val="auto"/>
        </w:rPr>
      </w:pPr>
    </w:p>
    <w:p>
      <w:pPr>
        <w:jc w:val="both"/>
        <w:ind w:firstLine="1763"/>
        <w:spacing w:after="0" w:line="238" w:lineRule="auto"/>
        <w:tabs>
          <w:tab w:leader="none" w:pos="2607" w:val="left"/>
        </w:tabs>
        <w:numPr>
          <w:ilvl w:val="1"/>
          <w:numId w:val="11"/>
        </w:numPr>
        <w:rPr>
          <w:rFonts w:ascii="Arial" w:cs="Arial" w:eastAsia="Arial" w:hAnsi="Arial"/>
          <w:sz w:val="22"/>
          <w:szCs w:val="22"/>
          <w:color w:val="auto"/>
        </w:rPr>
      </w:pPr>
      <w:r>
        <w:rPr>
          <w:rFonts w:ascii="Arial" w:cs="Arial" w:eastAsia="Arial" w:hAnsi="Arial"/>
          <w:sz w:val="22"/>
          <w:szCs w:val="22"/>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12" w:lineRule="exact"/>
        <w:rPr>
          <w:rFonts w:ascii="Arial" w:cs="Arial" w:eastAsia="Arial" w:hAnsi="Arial"/>
          <w:sz w:val="22"/>
          <w:szCs w:val="22"/>
          <w:color w:val="auto"/>
        </w:rPr>
      </w:pPr>
    </w:p>
    <w:p>
      <w:pPr>
        <w:ind w:left="2680" w:hanging="917"/>
        <w:spacing w:after="0"/>
        <w:tabs>
          <w:tab w:leader="none" w:pos="2680" w:val="left"/>
        </w:tabs>
        <w:numPr>
          <w:ilvl w:val="1"/>
          <w:numId w:val="11"/>
        </w:numPr>
        <w:rPr>
          <w:rFonts w:ascii="Arial" w:cs="Arial" w:eastAsia="Arial" w:hAnsi="Arial"/>
          <w:sz w:val="19"/>
          <w:szCs w:val="19"/>
          <w:color w:val="auto"/>
        </w:rPr>
      </w:pPr>
      <w:r>
        <w:rPr>
          <w:rFonts w:ascii="Arial" w:cs="Arial" w:eastAsia="Arial" w:hAnsi="Arial"/>
          <w:sz w:val="19"/>
          <w:szCs w:val="19"/>
          <w:color w:val="auto"/>
        </w:rPr>
        <w:t>upon the determination of the Company that there is justifiable cause (as hereinafter defined)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termination.</w:t>
      </w:r>
    </w:p>
    <w:p>
      <w:pPr>
        <w:spacing w:after="0" w:line="215" w:lineRule="exact"/>
        <w:rPr>
          <w:rFonts w:ascii="Arial" w:cs="Arial" w:eastAsia="Arial" w:hAnsi="Arial"/>
          <w:sz w:val="19"/>
          <w:szCs w:val="19"/>
          <w:color w:val="auto"/>
        </w:rPr>
      </w:pPr>
    </w:p>
    <w:p>
      <w:pPr>
        <w:ind w:left="1780" w:hanging="895"/>
        <w:spacing w:after="0"/>
        <w:tabs>
          <w:tab w:leader="none" w:pos="1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Term of Employment shall terminate upon: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 w:name="page8"/>
    <w:bookmarkEnd w:id="7"/>
    <w:p>
      <w:pPr>
        <w:ind w:left="2620" w:hanging="857"/>
        <w:spacing w:after="0"/>
        <w:tabs>
          <w:tab w:leader="none" w:pos="26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death of Executive;</w:t>
      </w:r>
    </w:p>
    <w:p>
      <w:pPr>
        <w:spacing w:after="0" w:line="233" w:lineRule="exact"/>
        <w:rPr>
          <w:rFonts w:ascii="Arial" w:cs="Arial" w:eastAsia="Arial" w:hAnsi="Arial"/>
          <w:sz w:val="22"/>
          <w:szCs w:val="22"/>
          <w:color w:val="auto"/>
        </w:rPr>
      </w:pPr>
    </w:p>
    <w:p>
      <w:pPr>
        <w:ind w:right="640" w:firstLine="1763"/>
        <w:spacing w:after="0" w:line="274" w:lineRule="auto"/>
        <w:tabs>
          <w:tab w:leader="none" w:pos="2667" w:val="left"/>
        </w:tabs>
        <w:numPr>
          <w:ilvl w:val="1"/>
          <w:numId w:val="12"/>
        </w:numPr>
        <w:rPr>
          <w:rFonts w:ascii="Arial" w:cs="Arial" w:eastAsia="Arial" w:hAnsi="Arial"/>
          <w:sz w:val="21"/>
          <w:szCs w:val="21"/>
          <w:color w:val="auto"/>
        </w:rPr>
      </w:pPr>
      <w:r>
        <w:rPr>
          <w:rFonts w:ascii="Arial" w:cs="Arial" w:eastAsia="Arial" w:hAnsi="Arial"/>
          <w:sz w:val="21"/>
          <w:szCs w:val="21"/>
          <w:color w:val="auto"/>
        </w:rPr>
        <w:t>the date on which the Company elects to terminate the Term of Employment by reason of the "disability" of Executive (as hereinafter defined in paragraph (c) herein) pursuant to paragraph (g) hereof; or</w:t>
      </w:r>
    </w:p>
    <w:p>
      <w:pPr>
        <w:spacing w:after="0" w:line="177" w:lineRule="exact"/>
        <w:rPr>
          <w:rFonts w:ascii="Arial" w:cs="Arial" w:eastAsia="Arial" w:hAnsi="Arial"/>
          <w:sz w:val="21"/>
          <w:szCs w:val="21"/>
          <w:color w:val="auto"/>
        </w:rPr>
      </w:pPr>
    </w:p>
    <w:p>
      <w:pPr>
        <w:ind w:left="2740" w:hanging="977"/>
        <w:spacing w:after="0"/>
        <w:tabs>
          <w:tab w:leader="none" w:pos="27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Executive’s resignation of employment.</w:t>
      </w:r>
    </w:p>
    <w:p>
      <w:pPr>
        <w:spacing w:after="0" w:line="233" w:lineRule="exact"/>
        <w:rPr>
          <w:rFonts w:ascii="Arial" w:cs="Arial" w:eastAsia="Arial" w:hAnsi="Arial"/>
          <w:sz w:val="22"/>
          <w:szCs w:val="22"/>
          <w:color w:val="auto"/>
        </w:rPr>
      </w:pPr>
    </w:p>
    <w:p>
      <w:pPr>
        <w:jc w:val="both"/>
        <w:ind w:firstLine="885"/>
        <w:spacing w:after="0" w:line="258" w:lineRule="auto"/>
        <w:tabs>
          <w:tab w:leader="none" w:pos="1765" w:val="left"/>
        </w:tabs>
        <w:numPr>
          <w:ilvl w:val="0"/>
          <w:numId w:val="13"/>
        </w:numPr>
        <w:rPr>
          <w:rFonts w:ascii="Arial" w:cs="Arial" w:eastAsia="Arial" w:hAnsi="Arial"/>
          <w:sz w:val="21"/>
          <w:szCs w:val="21"/>
          <w:color w:val="auto"/>
        </w:rPr>
      </w:pPr>
      <w:r>
        <w:rPr>
          <w:rFonts w:ascii="Arial" w:cs="Arial" w:eastAsia="Arial" w:hAnsi="Arial"/>
          <w:sz w:val="21"/>
          <w:szCs w:val="21"/>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93" w:lineRule="exact"/>
        <w:rPr>
          <w:rFonts w:ascii="Arial" w:cs="Arial" w:eastAsia="Arial" w:hAnsi="Arial"/>
          <w:sz w:val="21"/>
          <w:szCs w:val="21"/>
          <w:color w:val="auto"/>
        </w:rPr>
      </w:pPr>
    </w:p>
    <w:p>
      <w:pPr>
        <w:jc w:val="both"/>
        <w:ind w:firstLine="885"/>
        <w:spacing w:after="0" w:line="244" w:lineRule="auto"/>
        <w:tabs>
          <w:tab w:leader="none" w:pos="1778" w:val="left"/>
        </w:tabs>
        <w:numPr>
          <w:ilvl w:val="0"/>
          <w:numId w:val="13"/>
        </w:numPr>
        <w:rPr>
          <w:rFonts w:ascii="Arial" w:cs="Arial" w:eastAsia="Arial" w:hAnsi="Arial"/>
          <w:sz w:val="21"/>
          <w:szCs w:val="21"/>
          <w:color w:val="auto"/>
        </w:rPr>
      </w:pPr>
      <w:r>
        <w:rPr>
          <w:rFonts w:ascii="Arial" w:cs="Arial" w:eastAsia="Arial" w:hAnsi="Arial"/>
          <w:sz w:val="21"/>
          <w:szCs w:val="21"/>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211" w:lineRule="exact"/>
        <w:rPr>
          <w:rFonts w:ascii="Arial" w:cs="Arial" w:eastAsia="Arial" w:hAnsi="Arial"/>
          <w:sz w:val="21"/>
          <w:szCs w:val="21"/>
          <w:color w:val="auto"/>
        </w:rPr>
      </w:pPr>
    </w:p>
    <w:p>
      <w:pPr>
        <w:jc w:val="both"/>
        <w:ind w:firstLine="885"/>
        <w:spacing w:after="0" w:line="270" w:lineRule="auto"/>
        <w:tabs>
          <w:tab w:leader="none" w:pos="1765" w:val="left"/>
        </w:tabs>
        <w:numPr>
          <w:ilvl w:val="0"/>
          <w:numId w:val="13"/>
        </w:numPr>
        <w:rPr>
          <w:rFonts w:ascii="Arial" w:cs="Arial" w:eastAsia="Arial" w:hAnsi="Arial"/>
          <w:sz w:val="19"/>
          <w:szCs w:val="19"/>
          <w:color w:val="auto"/>
        </w:rPr>
      </w:pPr>
      <w:r>
        <w:rPr>
          <w:rFonts w:ascii="Arial" w:cs="Arial" w:eastAsia="Arial" w:hAnsi="Arial"/>
          <w:sz w:val="19"/>
          <w:szCs w:val="19"/>
          <w:color w:val="auto"/>
        </w:rPr>
        <w:t>If the Company terminates this Agreement without "justifiable cause" as provided in paragraph 7(a)(i) and as defined in paragraph 7(d) or the Executive resigns with Good Reason as defined is paragraph 7(i),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substantially the form attached hereto as Exhibit A (the “General Release”) and the time for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Executive’s revocation of the General Release having expired.  Such payments shall be made in accordance with the Company’s</w:t>
      </w:r>
    </w:p>
    <w:p>
      <w:pPr>
        <w:spacing w:after="0" w:line="25" w:lineRule="exact"/>
        <w:rPr>
          <w:sz w:val="20"/>
          <w:szCs w:val="20"/>
          <w:color w:val="auto"/>
        </w:rPr>
      </w:pPr>
    </w:p>
    <w:p>
      <w:pPr>
        <w:jc w:val="both"/>
        <w:ind w:right="20"/>
        <w:spacing w:after="0" w:line="233" w:lineRule="auto"/>
        <w:rPr>
          <w:sz w:val="20"/>
          <w:szCs w:val="20"/>
          <w:color w:val="auto"/>
        </w:rPr>
      </w:pPr>
      <w:r>
        <w:rPr>
          <w:rFonts w:ascii="Arial" w:cs="Arial" w:eastAsia="Arial" w:hAnsi="Arial"/>
          <w:sz w:val="22"/>
          <w:szCs w:val="22"/>
          <w:color w:val="auto"/>
        </w:rPr>
        <w:t>customary payroll practices until paid in full. Any payment pursuant to this paragraph 7(e) is contingent upon Executive’s execution of the General Release within 21 days after termination of the Term of Employment or such longer time as may be required by law (and the Executive’s not revoking that General Release) and will be in lieu of payments to which Executive might have been entitled under any other severance plan of the Company.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8" w:name="page9"/>
    <w:bookmarkEnd w:id="8"/>
    <w:p>
      <w:pPr>
        <w:jc w:val="both"/>
        <w:ind w:firstLine="1061"/>
        <w:spacing w:after="0" w:line="297" w:lineRule="auto"/>
        <w:tabs>
          <w:tab w:leader="none" w:pos="1917" w:val="left"/>
        </w:tabs>
        <w:numPr>
          <w:ilvl w:val="1"/>
          <w:numId w:val="14"/>
        </w:numPr>
        <w:rPr>
          <w:rFonts w:ascii="Arial" w:cs="Arial" w:eastAsia="Arial" w:hAnsi="Arial"/>
          <w:sz w:val="19"/>
          <w:szCs w:val="19"/>
          <w:color w:val="auto"/>
        </w:rPr>
      </w:pPr>
      <w:r>
        <w:rPr>
          <w:rFonts w:ascii="Arial" w:cs="Arial" w:eastAsia="Arial" w:hAnsi="Arial"/>
          <w:sz w:val="19"/>
          <w:szCs w:val="19"/>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61" w:lineRule="exact"/>
        <w:rPr>
          <w:rFonts w:ascii="Arial" w:cs="Arial" w:eastAsia="Arial" w:hAnsi="Arial"/>
          <w:sz w:val="19"/>
          <w:szCs w:val="19"/>
          <w:color w:val="auto"/>
        </w:rPr>
      </w:pPr>
    </w:p>
    <w:p>
      <w:pPr>
        <w:jc w:val="both"/>
        <w:ind w:firstLine="1061"/>
        <w:spacing w:after="0" w:line="252" w:lineRule="auto"/>
        <w:tabs>
          <w:tab w:leader="none" w:pos="1953" w:val="left"/>
        </w:tabs>
        <w:numPr>
          <w:ilvl w:val="1"/>
          <w:numId w:val="14"/>
        </w:numPr>
        <w:rPr>
          <w:rFonts w:ascii="Arial" w:cs="Arial" w:eastAsia="Arial" w:hAnsi="Arial"/>
          <w:sz w:val="21"/>
          <w:szCs w:val="21"/>
          <w:color w:val="auto"/>
        </w:rPr>
      </w:pPr>
      <w:r>
        <w:rPr>
          <w:rFonts w:ascii="Arial" w:cs="Arial" w:eastAsia="Arial" w:hAnsi="Arial"/>
          <w:sz w:val="21"/>
          <w:szCs w:val="21"/>
          <w:color w:val="auto"/>
        </w:rPr>
        <w:t>Upon Executive's "disability", the Company shall have the right to terminate Executive's employment. Any termination pursuant to this paragraph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201" w:lineRule="exact"/>
        <w:rPr>
          <w:rFonts w:ascii="Arial" w:cs="Arial" w:eastAsia="Arial" w:hAnsi="Arial"/>
          <w:sz w:val="21"/>
          <w:szCs w:val="21"/>
          <w:color w:val="auto"/>
        </w:rPr>
      </w:pPr>
    </w:p>
    <w:p>
      <w:pPr>
        <w:jc w:val="both"/>
        <w:ind w:firstLine="1061"/>
        <w:spacing w:after="0" w:line="287" w:lineRule="auto"/>
        <w:tabs>
          <w:tab w:leader="none" w:pos="1953" w:val="left"/>
        </w:tabs>
        <w:numPr>
          <w:ilvl w:val="1"/>
          <w:numId w:val="14"/>
        </w:numPr>
        <w:rPr>
          <w:rFonts w:ascii="Arial" w:cs="Arial" w:eastAsia="Arial" w:hAnsi="Arial"/>
          <w:sz w:val="19"/>
          <w:szCs w:val="19"/>
          <w:color w:val="auto"/>
        </w:rPr>
      </w:pPr>
      <w:r>
        <w:rPr>
          <w:rFonts w:ascii="Arial" w:cs="Arial" w:eastAsia="Arial" w:hAnsi="Arial"/>
          <w:sz w:val="19"/>
          <w:szCs w:val="19"/>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other than for Good Reason, he shall be entitled only to receive such portion of his annual Base Salary and reimbursement of expenses pursuant to paragraph 4 as have been accrued through the date of his resignation.</w:t>
      </w:r>
    </w:p>
    <w:p>
      <w:pPr>
        <w:spacing w:after="0" w:line="164" w:lineRule="exact"/>
        <w:rPr>
          <w:rFonts w:ascii="Arial" w:cs="Arial" w:eastAsia="Arial" w:hAnsi="Arial"/>
          <w:sz w:val="19"/>
          <w:szCs w:val="19"/>
          <w:color w:val="auto"/>
        </w:rPr>
      </w:pPr>
    </w:p>
    <w:p>
      <w:pPr>
        <w:jc w:val="both"/>
        <w:ind w:firstLine="1061"/>
        <w:spacing w:after="0" w:line="280" w:lineRule="auto"/>
        <w:tabs>
          <w:tab w:leader="none" w:pos="1905" w:val="left"/>
        </w:tabs>
        <w:numPr>
          <w:ilvl w:val="1"/>
          <w:numId w:val="14"/>
        </w:numPr>
        <w:rPr>
          <w:rFonts w:ascii="Arial" w:cs="Arial" w:eastAsia="Arial" w:hAnsi="Arial"/>
          <w:sz w:val="19"/>
          <w:szCs w:val="19"/>
          <w:color w:val="auto"/>
        </w:rPr>
      </w:pPr>
      <w:r>
        <w:rPr>
          <w:rFonts w:ascii="Arial" w:cs="Arial" w:eastAsia="Arial" w:hAnsi="Arial"/>
          <w:sz w:val="19"/>
          <w:szCs w:val="19"/>
          <w:color w:val="auto"/>
        </w:rPr>
        <w:t xml:space="preserve">For purposes hereof, the term </w:t>
      </w:r>
      <w:r>
        <w:rPr>
          <w:rFonts w:ascii="Arial" w:cs="Arial" w:eastAsia="Arial" w:hAnsi="Arial"/>
          <w:sz w:val="19"/>
          <w:szCs w:val="19"/>
          <w:b w:val="1"/>
          <w:bCs w:val="1"/>
          <w:color w:val="auto"/>
        </w:rPr>
        <w:t>“</w:t>
      </w:r>
      <w:r>
        <w:rPr>
          <w:rFonts w:ascii="Arial" w:cs="Arial" w:eastAsia="Arial" w:hAnsi="Arial"/>
          <w:sz w:val="19"/>
          <w:szCs w:val="19"/>
          <w:color w:val="auto"/>
        </w:rPr>
        <w:t>Good Reason” means the occurrence of any of the following: (i) a material diminution in the Executive’s base compensation; (ii) a material diminution in the Executive’s authority, duties, or responsibilities;</w:t>
      </w:r>
    </w:p>
    <w:p>
      <w:pPr>
        <w:jc w:val="both"/>
        <w:ind w:firstLine="8"/>
        <w:spacing w:after="0" w:line="275" w:lineRule="auto"/>
        <w:tabs>
          <w:tab w:leader="none" w:pos="392"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6 months following the initial existence of one of the conditions specified in clauses (i) through (iv) of this paragraph, the Employee provides the Company with written notice of the existence of such condition within 90 days after the initial existence of the condition, and the Company fails to remedy the condition within 30 days after its receipt of such notice.</w:t>
      </w:r>
    </w:p>
    <w:p>
      <w:pPr>
        <w:spacing w:after="0" w:line="181" w:lineRule="exact"/>
        <w:rPr>
          <w:rFonts w:ascii="Arial" w:cs="Arial" w:eastAsia="Arial" w:hAnsi="Arial"/>
          <w:sz w:val="19"/>
          <w:szCs w:val="19"/>
          <w:color w:val="auto"/>
        </w:rPr>
      </w:pPr>
    </w:p>
    <w:p>
      <w:pPr>
        <w:jc w:val="both"/>
        <w:ind w:firstLine="1061"/>
        <w:spacing w:after="0" w:line="272" w:lineRule="auto"/>
        <w:tabs>
          <w:tab w:leader="none" w:pos="1905" w:val="left"/>
        </w:tabs>
        <w:numPr>
          <w:ilvl w:val="1"/>
          <w:numId w:val="15"/>
        </w:numPr>
        <w:rPr>
          <w:rFonts w:ascii="Arial" w:cs="Arial" w:eastAsia="Arial" w:hAnsi="Arial"/>
          <w:sz w:val="19"/>
          <w:szCs w:val="19"/>
          <w:color w:val="auto"/>
        </w:rPr>
      </w:pPr>
      <w:r>
        <w:rPr>
          <w:rFonts w:ascii="Arial" w:cs="Arial" w:eastAsia="Arial" w:hAnsi="Arial"/>
          <w:sz w:val="19"/>
          <w:szCs w:val="19"/>
          <w:color w:val="auto"/>
        </w:rPr>
        <w:t>Change of Control. In the event the Term of Employment is terminated by the Company without justifiable cause (as defined in paragraph 7(d)) or Executive resigns with Good Reason (as defined in paragraph 7(i))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The Company shall pay the amount required under this paragraph 7(j) in a single payment thirty (30) days after termination of the Term of Employment, subject to and conditioned upon the Executive’s execution of the General Release required pursuant to paragraph 7(l)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 w:name="page10"/>
    <w:bookmarkEnd w:id="9"/>
    <w:p>
      <w:pPr>
        <w:ind w:right="20" w:firstLine="1061"/>
        <w:spacing w:after="0" w:line="251" w:lineRule="auto"/>
        <w:tabs>
          <w:tab w:leader="none" w:pos="1953" w:val="left"/>
        </w:tabs>
        <w:numPr>
          <w:ilvl w:val="0"/>
          <w:numId w:val="16"/>
        </w:numPr>
        <w:rPr>
          <w:rFonts w:ascii="Arial" w:cs="Arial" w:eastAsia="Arial" w:hAnsi="Arial"/>
          <w:sz w:val="22"/>
          <w:szCs w:val="22"/>
          <w:color w:val="auto"/>
        </w:rPr>
      </w:pPr>
      <w:r>
        <w:rPr>
          <w:rFonts w:ascii="Arial" w:cs="Arial" w:eastAsia="Arial" w:hAnsi="Arial"/>
          <w:sz w:val="22"/>
          <w:szCs w:val="22"/>
          <w:color w:val="auto"/>
        </w:rPr>
        <w:t>Clawback of Certain Compensation and Benefits. If, after the termination of the Term of Employment for any reason other than by the Company for “justifiable cause”:</w:t>
      </w:r>
    </w:p>
    <w:p>
      <w:pPr>
        <w:spacing w:after="0" w:line="200" w:lineRule="exact"/>
        <w:rPr>
          <w:rFonts w:ascii="Arial" w:cs="Arial" w:eastAsia="Arial" w:hAnsi="Arial"/>
          <w:sz w:val="22"/>
          <w:szCs w:val="22"/>
          <w:color w:val="auto"/>
        </w:rPr>
      </w:pPr>
    </w:p>
    <w:p>
      <w:pPr>
        <w:jc w:val="both"/>
        <w:ind w:firstLine="2093"/>
        <w:spacing w:after="0" w:line="287" w:lineRule="auto"/>
        <w:tabs>
          <w:tab w:leader="none" w:pos="2937" w:val="left"/>
        </w:tabs>
        <w:numPr>
          <w:ilvl w:val="1"/>
          <w:numId w:val="16"/>
        </w:numPr>
        <w:rPr>
          <w:rFonts w:ascii="Arial" w:cs="Arial" w:eastAsia="Arial" w:hAnsi="Arial"/>
          <w:sz w:val="19"/>
          <w:szCs w:val="19"/>
          <w:color w:val="auto"/>
        </w:rPr>
      </w:pPr>
      <w:r>
        <w:rPr>
          <w:rFonts w:ascii="Arial" w:cs="Arial" w:eastAsia="Arial" w:hAnsi="Arial"/>
          <w:sz w:val="19"/>
          <w:szCs w:val="19"/>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43" w:lineRule="exact"/>
        <w:rPr>
          <w:rFonts w:ascii="Arial" w:cs="Arial" w:eastAsia="Arial" w:hAnsi="Arial"/>
          <w:sz w:val="19"/>
          <w:szCs w:val="19"/>
          <w:color w:val="auto"/>
        </w:rPr>
      </w:pPr>
    </w:p>
    <w:p>
      <w:pPr>
        <w:jc w:val="both"/>
        <w:ind w:firstLine="2093"/>
        <w:spacing w:after="0" w:line="238" w:lineRule="auto"/>
        <w:tabs>
          <w:tab w:leader="none" w:pos="2997"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85" w:lineRule="exact"/>
        <w:rPr>
          <w:sz w:val="20"/>
          <w:szCs w:val="20"/>
          <w:color w:val="auto"/>
        </w:rPr>
      </w:pPr>
    </w:p>
    <w:p>
      <w:pPr>
        <w:jc w:val="both"/>
        <w:ind w:firstLine="3511"/>
        <w:spacing w:after="0" w:line="234" w:lineRule="auto"/>
        <w:rPr>
          <w:sz w:val="20"/>
          <w:szCs w:val="20"/>
          <w:color w:val="auto"/>
        </w:rPr>
      </w:pPr>
      <w:r>
        <w:rPr>
          <w:rFonts w:ascii="Arial" w:cs="Arial" w:eastAsia="Arial" w:hAnsi="Arial"/>
          <w:sz w:val="22"/>
          <w:szCs w:val="22"/>
          <w:color w:val="auto"/>
        </w:rPr>
        <w:t>(A) 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1" w:lineRule="exact"/>
        <w:rPr>
          <w:sz w:val="20"/>
          <w:szCs w:val="20"/>
          <w:color w:val="auto"/>
        </w:rPr>
      </w:pPr>
    </w:p>
    <w:p>
      <w:pPr>
        <w:jc w:val="both"/>
        <w:ind w:right="20" w:firstLine="3511"/>
        <w:spacing w:after="0" w:line="251" w:lineRule="auto"/>
        <w:rPr>
          <w:sz w:val="20"/>
          <w:szCs w:val="20"/>
          <w:color w:val="auto"/>
        </w:rPr>
      </w:pPr>
      <w:r>
        <w:rPr>
          <w:rFonts w:ascii="Arial" w:cs="Arial" w:eastAsia="Arial" w:hAnsi="Arial"/>
          <w:sz w:val="22"/>
          <w:szCs w:val="22"/>
          <w:color w:val="auto"/>
        </w:rPr>
        <w:t>(B) all vested and unvested Awards (as that term is defined in the 2016 Incentive Compensation Plan) then held by the Executive shall immediately expire; and</w:t>
      </w:r>
    </w:p>
    <w:p>
      <w:pPr>
        <w:spacing w:after="0" w:line="173" w:lineRule="exact"/>
        <w:rPr>
          <w:sz w:val="20"/>
          <w:szCs w:val="20"/>
          <w:color w:val="auto"/>
        </w:rPr>
      </w:pPr>
    </w:p>
    <w:p>
      <w:pPr>
        <w:ind w:left="3520"/>
        <w:spacing w:after="0"/>
        <w:tabs>
          <w:tab w:leader="none" w:pos="70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the Executive shall be required to pay to the</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Company, 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400" w:lineRule="exact"/>
        <w:rPr>
          <w:sz w:val="20"/>
          <w:szCs w:val="20"/>
          <w:color w:val="auto"/>
        </w:rPr>
      </w:pPr>
    </w:p>
    <w:p>
      <w:pPr>
        <w:ind w:firstLine="1061"/>
        <w:spacing w:after="0" w:line="251" w:lineRule="auto"/>
        <w:tabs>
          <w:tab w:leader="none" w:pos="1905"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payment pursuant to paragraph 7(e) or 7(j) shall be contingent upon Executive’s execution of the General Release within 21 days after termination of the Term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Employment or such longer time as may be required by law, and the Executive’s not revoking that release.</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280" w:type="dxa"/>
            <w:vAlign w:val="bottom"/>
          </w:tcPr>
          <w:p>
            <w:pPr>
              <w:jc w:val="right"/>
              <w:ind w:right="212"/>
              <w:spacing w:after="0"/>
              <w:rPr>
                <w:sz w:val="20"/>
                <w:szCs w:val="20"/>
                <w:color w:val="auto"/>
              </w:rPr>
            </w:pPr>
            <w:r>
              <w:rPr>
                <w:rFonts w:ascii="Arial" w:cs="Arial" w:eastAsia="Arial" w:hAnsi="Arial"/>
                <w:sz w:val="22"/>
                <w:szCs w:val="22"/>
                <w:color w:val="auto"/>
              </w:rPr>
              <w:t>8.</w:t>
            </w:r>
          </w:p>
        </w:tc>
        <w:tc>
          <w:tcPr>
            <w:tcW w:w="340" w:type="dxa"/>
            <w:vAlign w:val="bottom"/>
          </w:tcPr>
          <w:p>
            <w:pPr>
              <w:spacing w:after="0"/>
              <w:rPr>
                <w:sz w:val="21"/>
                <w:szCs w:val="21"/>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4"/>
              </w:rPr>
              <w:t>COMPLIANCE WITH SECTION 409A</w:t>
            </w:r>
          </w:p>
        </w:tc>
        <w:tc>
          <w:tcPr>
            <w:tcW w:w="6200" w:type="dxa"/>
            <w:vAlign w:val="bottom"/>
          </w:tcPr>
          <w:p>
            <w:pPr>
              <w:spacing w:after="0"/>
              <w:rPr>
                <w:sz w:val="21"/>
                <w:szCs w:val="21"/>
                <w:color w:val="auto"/>
              </w:rPr>
            </w:pPr>
          </w:p>
        </w:tc>
      </w:tr>
      <w:tr>
        <w:trPr>
          <w:trHeight w:val="260"/>
        </w:trPr>
        <w:tc>
          <w:tcPr>
            <w:tcW w:w="1280" w:type="dxa"/>
            <w:vAlign w:val="bottom"/>
          </w:tcPr>
          <w:p>
            <w:pPr>
              <w:jc w:val="right"/>
              <w:ind w:right="932"/>
              <w:spacing w:after="0"/>
              <w:rPr>
                <w:sz w:val="20"/>
                <w:szCs w:val="20"/>
                <w:color w:val="auto"/>
              </w:rPr>
            </w:pPr>
            <w:r>
              <w:rPr>
                <w:rFonts w:ascii="Arial" w:cs="Arial" w:eastAsia="Arial" w:hAnsi="Arial"/>
                <w:sz w:val="22"/>
                <w:szCs w:val="22"/>
                <w:color w:val="auto"/>
                <w:w w:val="81"/>
              </w:rPr>
              <w:t>(a)</w:t>
            </w:r>
          </w:p>
        </w:tc>
        <w:tc>
          <w:tcPr>
            <w:tcW w:w="10060" w:type="dxa"/>
            <w:vAlign w:val="bottom"/>
            <w:gridSpan w:val="3"/>
          </w:tcPr>
          <w:p>
            <w:pPr>
              <w:ind w:left="320"/>
              <w:spacing w:after="0"/>
              <w:rPr>
                <w:sz w:val="20"/>
                <w:szCs w:val="20"/>
                <w:color w:val="auto"/>
              </w:rPr>
            </w:pPr>
            <w:r>
              <w:rPr>
                <w:rFonts w:ascii="Arial" w:cs="Arial" w:eastAsia="Arial" w:hAnsi="Arial"/>
                <w:sz w:val="22"/>
                <w:szCs w:val="22"/>
                <w:color w:val="auto"/>
                <w:w w:val="93"/>
              </w:rPr>
              <w:t>General.  It is the intention of both the Company and the Executive that the benefits and rights to which the</w:t>
            </w: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520" w:type="dxa"/>
            <w:vAlign w:val="bottom"/>
          </w:tcPr>
          <w:p>
            <w:pPr>
              <w:spacing w:after="0"/>
              <w:rPr>
                <w:sz w:val="19"/>
                <w:szCs w:val="19"/>
                <w:color w:val="auto"/>
              </w:rPr>
            </w:pPr>
          </w:p>
        </w:tc>
        <w:tc>
          <w:tcPr>
            <w:tcW w:w="10820" w:type="dxa"/>
            <w:vAlign w:val="bottom"/>
            <w:gridSpan w:val="2"/>
          </w:tcPr>
          <w:p>
            <w:pPr>
              <w:ind w:left="280"/>
              <w:spacing w:after="0" w:line="225" w:lineRule="exact"/>
              <w:rPr>
                <w:sz w:val="20"/>
                <w:szCs w:val="20"/>
                <w:color w:val="auto"/>
              </w:rPr>
            </w:pPr>
            <w:r>
              <w:rPr>
                <w:rFonts w:ascii="Arial" w:cs="Arial" w:eastAsia="Arial" w:hAnsi="Arial"/>
                <w:sz w:val="22"/>
                <w:szCs w:val="22"/>
                <w:color w:val="auto"/>
                <w:w w:val="97"/>
              </w:rPr>
              <w:t>Executive could be entitled pursuant to this Agreement comply with Section 409A of the Code and the Treasury</w:t>
            </w:r>
          </w:p>
        </w:tc>
      </w:tr>
      <w:tr>
        <w:trPr>
          <w:trHeight w:val="243"/>
        </w:trPr>
        <w:tc>
          <w:tcPr>
            <w:tcW w:w="520" w:type="dxa"/>
            <w:vAlign w:val="bottom"/>
          </w:tcPr>
          <w:p>
            <w:pPr>
              <w:spacing w:after="0"/>
              <w:rPr>
                <w:sz w:val="21"/>
                <w:szCs w:val="21"/>
                <w:color w:val="auto"/>
              </w:rPr>
            </w:pPr>
          </w:p>
        </w:tc>
        <w:tc>
          <w:tcPr>
            <w:tcW w:w="1082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88"/>
              </w:rPr>
              <w:t>Regulations and other guidance promulgated or issued thereunder (“Section 409A”), to the extent that the requirements of</w:t>
            </w:r>
          </w:p>
        </w:tc>
      </w:tr>
      <w:tr>
        <w:trPr>
          <w:trHeight w:val="243"/>
        </w:trPr>
        <w:tc>
          <w:tcPr>
            <w:tcW w:w="520" w:type="dxa"/>
            <w:vAlign w:val="bottom"/>
          </w:tcPr>
          <w:p>
            <w:pPr>
              <w:spacing w:after="0"/>
              <w:rPr>
                <w:sz w:val="21"/>
                <w:szCs w:val="21"/>
                <w:color w:val="auto"/>
              </w:rPr>
            </w:pPr>
          </w:p>
        </w:tc>
        <w:tc>
          <w:tcPr>
            <w:tcW w:w="1082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89"/>
              </w:rPr>
              <w:t>Section 409A are applicable thereto, and the provisions of this Agreement shall be construed in a manner consistent with</w:t>
            </w:r>
          </w:p>
        </w:tc>
      </w:tr>
      <w:tr>
        <w:trPr>
          <w:trHeight w:val="243"/>
        </w:trPr>
        <w:tc>
          <w:tcPr>
            <w:tcW w:w="520" w:type="dxa"/>
            <w:vAlign w:val="bottom"/>
          </w:tcPr>
          <w:p>
            <w:pPr>
              <w:spacing w:after="0"/>
              <w:rPr>
                <w:sz w:val="21"/>
                <w:szCs w:val="21"/>
                <w:color w:val="auto"/>
              </w:rPr>
            </w:pPr>
          </w:p>
        </w:tc>
        <w:tc>
          <w:tcPr>
            <w:tcW w:w="1082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4"/>
              </w:rPr>
              <w:t>that intention.  If the Executive or the Company believes, at any time, that any such benefit or right that is subject to</w:t>
            </w:r>
          </w:p>
        </w:tc>
      </w:tr>
      <w:tr>
        <w:trPr>
          <w:trHeight w:val="243"/>
        </w:trPr>
        <w:tc>
          <w:tcPr>
            <w:tcW w:w="520" w:type="dxa"/>
            <w:vAlign w:val="bottom"/>
          </w:tcPr>
          <w:p>
            <w:pPr>
              <w:spacing w:after="0"/>
              <w:rPr>
                <w:sz w:val="21"/>
                <w:szCs w:val="21"/>
                <w:color w:val="auto"/>
              </w:rPr>
            </w:pPr>
          </w:p>
        </w:tc>
        <w:tc>
          <w:tcPr>
            <w:tcW w:w="1082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1"/>
              </w:rPr>
              <w:t>Section 409A does not so comply, it shall promptly advise the other and shall negotiate reasonably and in good faith to</w:t>
            </w:r>
          </w:p>
        </w:tc>
      </w:tr>
      <w:tr>
        <w:trPr>
          <w:trHeight w:val="243"/>
        </w:trPr>
        <w:tc>
          <w:tcPr>
            <w:tcW w:w="520" w:type="dxa"/>
            <w:vAlign w:val="bottom"/>
          </w:tcPr>
          <w:p>
            <w:pPr>
              <w:spacing w:after="0"/>
              <w:rPr>
                <w:sz w:val="21"/>
                <w:szCs w:val="21"/>
                <w:color w:val="auto"/>
              </w:rPr>
            </w:pPr>
          </w:p>
        </w:tc>
        <w:tc>
          <w:tcPr>
            <w:tcW w:w="1082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2"/>
              </w:rPr>
              <w:t>amend the timing of such benefits and rights such that they comply with Section 409A (with the most limited possible</w:t>
            </w:r>
          </w:p>
        </w:tc>
      </w:tr>
      <w:tr>
        <w:trPr>
          <w:trHeight w:val="275"/>
        </w:trPr>
        <w:tc>
          <w:tcPr>
            <w:tcW w:w="520" w:type="dxa"/>
            <w:vAlign w:val="bottom"/>
          </w:tcPr>
          <w:p>
            <w:pPr>
              <w:spacing w:after="0"/>
              <w:rPr>
                <w:sz w:val="23"/>
                <w:szCs w:val="23"/>
                <w:color w:val="auto"/>
              </w:rPr>
            </w:pPr>
          </w:p>
        </w:tc>
        <w:tc>
          <w:tcPr>
            <w:tcW w:w="4840" w:type="dxa"/>
            <w:vAlign w:val="bottom"/>
          </w:tcPr>
          <w:p>
            <w:pPr>
              <w:ind w:left="280"/>
              <w:spacing w:after="0"/>
              <w:rPr>
                <w:sz w:val="20"/>
                <w:szCs w:val="20"/>
                <w:color w:val="auto"/>
              </w:rPr>
            </w:pPr>
            <w:r>
              <w:rPr>
                <w:rFonts w:ascii="Arial" w:cs="Arial" w:eastAsia="Arial" w:hAnsi="Arial"/>
                <w:sz w:val="22"/>
                <w:szCs w:val="22"/>
                <w:color w:val="auto"/>
              </w:rPr>
              <w:t>economic effect on the Executive).</w:t>
            </w:r>
          </w:p>
        </w:tc>
        <w:tc>
          <w:tcPr>
            <w:tcW w:w="5980" w:type="dxa"/>
            <w:vAlign w:val="bottom"/>
          </w:tcPr>
          <w:p>
            <w:pPr>
              <w:spacing w:after="0"/>
              <w:rPr>
                <w:sz w:val="23"/>
                <w:szCs w:val="23"/>
                <w:color w:val="auto"/>
              </w:rPr>
            </w:pP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820" w:type="dxa"/>
            <w:vAlign w:val="bottom"/>
            <w:gridSpan w:val="2"/>
          </w:tcPr>
          <w:p>
            <w:pPr>
              <w:ind w:left="1080"/>
              <w:spacing w:after="0"/>
              <w:rPr>
                <w:sz w:val="20"/>
                <w:szCs w:val="20"/>
                <w:color w:val="auto"/>
              </w:rPr>
            </w:pPr>
            <w:r>
              <w:rPr>
                <w:rFonts w:ascii="Arial" w:cs="Arial" w:eastAsia="Arial" w:hAnsi="Arial"/>
                <w:sz w:val="22"/>
                <w:szCs w:val="22"/>
                <w:color w:val="auto"/>
                <w:w w:val="95"/>
              </w:rPr>
              <w:t>Distributions on Account of Separation from Service.  If and to the extent required to comply with Section</w:t>
            </w:r>
          </w:p>
        </w:tc>
      </w:tr>
      <w:tr>
        <w:trPr>
          <w:trHeight w:val="243"/>
        </w:trPr>
        <w:tc>
          <w:tcPr>
            <w:tcW w:w="520" w:type="dxa"/>
            <w:vAlign w:val="bottom"/>
          </w:tcPr>
          <w:p>
            <w:pPr>
              <w:spacing w:after="0"/>
              <w:rPr>
                <w:sz w:val="21"/>
                <w:szCs w:val="21"/>
                <w:color w:val="auto"/>
              </w:rPr>
            </w:pPr>
          </w:p>
        </w:tc>
        <w:tc>
          <w:tcPr>
            <w:tcW w:w="1082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4"/>
              </w:rPr>
              <w:t>409A, no payment or benefit required to be paid under this Agreement on account of termination of the Executive’s</w:t>
            </w:r>
          </w:p>
        </w:tc>
      </w:tr>
      <w:tr>
        <w:trPr>
          <w:trHeight w:val="243"/>
        </w:trPr>
        <w:tc>
          <w:tcPr>
            <w:tcW w:w="520" w:type="dxa"/>
            <w:vAlign w:val="bottom"/>
          </w:tcPr>
          <w:p>
            <w:pPr>
              <w:spacing w:after="0"/>
              <w:rPr>
                <w:sz w:val="21"/>
                <w:szCs w:val="21"/>
                <w:color w:val="auto"/>
              </w:rPr>
            </w:pPr>
          </w:p>
        </w:tc>
        <w:tc>
          <w:tcPr>
            <w:tcW w:w="1082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5"/>
              </w:rPr>
              <w:t>employment shall be made unless and until the Executive incurs a “separation from service” within the meaning of</w:t>
            </w:r>
          </w:p>
        </w:tc>
      </w:tr>
      <w:tr>
        <w:trPr>
          <w:trHeight w:val="275"/>
        </w:trPr>
        <w:tc>
          <w:tcPr>
            <w:tcW w:w="520" w:type="dxa"/>
            <w:vAlign w:val="bottom"/>
          </w:tcPr>
          <w:p>
            <w:pPr>
              <w:spacing w:after="0"/>
              <w:rPr>
                <w:sz w:val="23"/>
                <w:szCs w:val="23"/>
                <w:color w:val="auto"/>
              </w:rPr>
            </w:pPr>
          </w:p>
        </w:tc>
        <w:tc>
          <w:tcPr>
            <w:tcW w:w="4840" w:type="dxa"/>
            <w:vAlign w:val="bottom"/>
          </w:tcPr>
          <w:p>
            <w:pPr>
              <w:ind w:left="280"/>
              <w:spacing w:after="0"/>
              <w:rPr>
                <w:sz w:val="20"/>
                <w:szCs w:val="20"/>
                <w:color w:val="auto"/>
              </w:rPr>
            </w:pPr>
            <w:r>
              <w:rPr>
                <w:rFonts w:ascii="Arial" w:cs="Arial" w:eastAsia="Arial" w:hAnsi="Arial"/>
                <w:sz w:val="22"/>
                <w:szCs w:val="22"/>
                <w:color w:val="auto"/>
              </w:rPr>
              <w:t>Section 409A.</w:t>
            </w:r>
          </w:p>
        </w:tc>
        <w:tc>
          <w:tcPr>
            <w:tcW w:w="5980" w:type="dxa"/>
            <w:vAlign w:val="bottom"/>
          </w:tcPr>
          <w:p>
            <w:pPr>
              <w:spacing w:after="0"/>
              <w:rPr>
                <w:sz w:val="23"/>
                <w:szCs w:val="23"/>
                <w:color w:val="auto"/>
              </w:rPr>
            </w:pPr>
          </w:p>
        </w:tc>
      </w:tr>
      <w:tr>
        <w:trPr>
          <w:trHeight w:val="459"/>
        </w:trPr>
        <w:tc>
          <w:tcPr>
            <w:tcW w:w="520" w:type="dxa"/>
            <w:vAlign w:val="bottom"/>
          </w:tcPr>
          <w:p>
            <w:pPr>
              <w:spacing w:after="0"/>
              <w:rPr>
                <w:sz w:val="20"/>
                <w:szCs w:val="20"/>
                <w:color w:val="auto"/>
              </w:rPr>
            </w:pPr>
            <w:r>
              <w:rPr>
                <w:rFonts w:ascii="Arial" w:cs="Arial" w:eastAsia="Arial" w:hAnsi="Arial"/>
                <w:sz w:val="22"/>
                <w:szCs w:val="22"/>
                <w:color w:val="auto"/>
              </w:rPr>
              <w:t>(c)</w:t>
            </w:r>
          </w:p>
        </w:tc>
        <w:tc>
          <w:tcPr>
            <w:tcW w:w="4840" w:type="dxa"/>
            <w:vAlign w:val="bottom"/>
          </w:tcPr>
          <w:p>
            <w:pPr>
              <w:ind w:left="1080"/>
              <w:spacing w:after="0"/>
              <w:rPr>
                <w:sz w:val="20"/>
                <w:szCs w:val="20"/>
                <w:color w:val="auto"/>
              </w:rPr>
            </w:pPr>
            <w:r>
              <w:rPr>
                <w:rFonts w:ascii="Arial" w:cs="Arial" w:eastAsia="Arial" w:hAnsi="Arial"/>
                <w:sz w:val="22"/>
                <w:szCs w:val="22"/>
                <w:color w:val="auto"/>
                <w:w w:val="92"/>
              </w:rPr>
              <w:t>6 Month Delay for “Specified Employees”.</w:t>
            </w:r>
          </w:p>
        </w:tc>
        <w:tc>
          <w:tcPr>
            <w:tcW w:w="5980" w:type="dxa"/>
            <w:vAlign w:val="bottom"/>
          </w:tcPr>
          <w:p>
            <w:pPr>
              <w:spacing w:after="0"/>
              <w:rPr>
                <w:sz w:val="24"/>
                <w:szCs w:val="24"/>
                <w:color w:val="auto"/>
              </w:rPr>
            </w:pPr>
          </w:p>
        </w:tc>
      </w:tr>
      <w:tr>
        <w:trPr>
          <w:trHeight w:val="446"/>
        </w:trPr>
        <w:tc>
          <w:tcPr>
            <w:tcW w:w="520" w:type="dxa"/>
            <w:vAlign w:val="bottom"/>
          </w:tcPr>
          <w:p>
            <w:pPr>
              <w:spacing w:after="0"/>
              <w:rPr>
                <w:sz w:val="24"/>
                <w:szCs w:val="24"/>
                <w:color w:val="auto"/>
              </w:rPr>
            </w:pPr>
          </w:p>
        </w:tc>
        <w:tc>
          <w:tcPr>
            <w:tcW w:w="4840" w:type="dxa"/>
            <w:vAlign w:val="bottom"/>
          </w:tcPr>
          <w:p>
            <w:pPr>
              <w:ind w:left="2040"/>
              <w:spacing w:after="0"/>
              <w:rPr>
                <w:sz w:val="20"/>
                <w:szCs w:val="20"/>
                <w:color w:val="auto"/>
              </w:rPr>
            </w:pPr>
            <w:r>
              <w:rPr>
                <w:rFonts w:ascii="Arial" w:cs="Arial" w:eastAsia="Arial" w:hAnsi="Arial"/>
                <w:sz w:val="22"/>
                <w:szCs w:val="22"/>
                <w:color w:val="auto"/>
              </w:rPr>
              <w:t>(i)</w:t>
            </w:r>
          </w:p>
        </w:tc>
        <w:tc>
          <w:tcPr>
            <w:tcW w:w="5980" w:type="dxa"/>
            <w:vAlign w:val="bottom"/>
          </w:tcPr>
          <w:p>
            <w:pPr>
              <w:spacing w:after="0"/>
              <w:rPr>
                <w:sz w:val="20"/>
                <w:szCs w:val="20"/>
                <w:color w:val="auto"/>
              </w:rPr>
            </w:pPr>
            <w:r>
              <w:rPr>
                <w:rFonts w:ascii="Arial" w:cs="Arial" w:eastAsia="Arial" w:hAnsi="Arial"/>
                <w:sz w:val="22"/>
                <w:szCs w:val="22"/>
                <w:color w:val="auto"/>
                <w:w w:val="99"/>
              </w:rPr>
              <w:t>If the Executive is a “specified employee”, then no payment or</w:t>
            </w:r>
          </w:p>
        </w:tc>
      </w:tr>
    </w:tbl>
    <w:p>
      <w:pPr>
        <w:jc w:val="both"/>
        <w:ind w:right="20"/>
        <w:spacing w:after="0" w:line="243" w:lineRule="auto"/>
        <w:rPr>
          <w:sz w:val="20"/>
          <w:szCs w:val="20"/>
          <w:color w:val="auto"/>
        </w:rPr>
      </w:pPr>
      <w:r>
        <w:rPr>
          <w:rFonts w:ascii="Arial" w:cs="Arial" w:eastAsia="Arial" w:hAnsi="Arial"/>
          <w:sz w:val="21"/>
          <w:szCs w:val="21"/>
          <w:color w:val="auto"/>
        </w:rPr>
        <w:t>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85" w:lineRule="exact"/>
        <w:rPr>
          <w:sz w:val="20"/>
          <w:szCs w:val="20"/>
          <w:color w:val="auto"/>
        </w:rPr>
      </w:pPr>
    </w:p>
    <w:p>
      <w:pPr>
        <w:jc w:val="both"/>
        <w:ind w:right="20" w:firstLine="2634"/>
        <w:spacing w:after="0" w:line="236" w:lineRule="auto"/>
        <w:rPr>
          <w:sz w:val="20"/>
          <w:szCs w:val="20"/>
          <w:color w:val="auto"/>
        </w:rPr>
      </w:pPr>
      <w:r>
        <w:rPr>
          <w:rFonts w:ascii="Arial" w:cs="Arial" w:eastAsia="Arial" w:hAnsi="Arial"/>
          <w:sz w:val="22"/>
          <w:szCs w:val="22"/>
          <w:color w:val="auto"/>
        </w:rPr>
        <w:t>(ii) 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ind w:left="80"/>
              <w:spacing w:after="0"/>
              <w:rPr>
                <w:sz w:val="20"/>
                <w:szCs w:val="20"/>
                <w:color w:val="auto"/>
              </w:rPr>
            </w:pPr>
            <w:r>
              <w:rPr>
                <w:rFonts w:ascii="Arial" w:cs="Arial" w:eastAsia="Arial" w:hAnsi="Arial"/>
                <w:sz w:val="22"/>
                <w:szCs w:val="22"/>
                <w:color w:val="auto"/>
              </w:rPr>
              <w:t>(d)</w:t>
            </w:r>
          </w:p>
        </w:tc>
        <w:tc>
          <w:tcPr>
            <w:tcW w:w="10840" w:type="dxa"/>
            <w:vAlign w:val="bottom"/>
          </w:tcPr>
          <w:p>
            <w:pPr>
              <w:jc w:val="right"/>
              <w:spacing w:after="0"/>
              <w:rPr>
                <w:sz w:val="20"/>
                <w:szCs w:val="20"/>
                <w:color w:val="auto"/>
              </w:rPr>
            </w:pPr>
            <w:r>
              <w:rPr>
                <w:rFonts w:ascii="Arial" w:cs="Arial" w:eastAsia="Arial" w:hAnsi="Arial"/>
                <w:sz w:val="22"/>
                <w:szCs w:val="22"/>
                <w:color w:val="auto"/>
              </w:rPr>
              <w:t>No Acceleration of Payments.  Neither the Company nor the Executive, individually or in combination, may</w:t>
            </w:r>
          </w:p>
        </w:tc>
      </w:tr>
      <w:tr>
        <w:trPr>
          <w:trHeight w:val="243"/>
        </w:trPr>
        <w:tc>
          <w:tcPr>
            <w:tcW w:w="600" w:type="dxa"/>
            <w:vAlign w:val="bottom"/>
          </w:tcPr>
          <w:p>
            <w:pPr>
              <w:spacing w:after="0"/>
              <w:rPr>
                <w:sz w:val="21"/>
                <w:szCs w:val="21"/>
                <w:color w:val="auto"/>
              </w:rPr>
            </w:pPr>
          </w:p>
        </w:tc>
        <w:tc>
          <w:tcPr>
            <w:tcW w:w="10840" w:type="dxa"/>
            <w:vAlign w:val="bottom"/>
          </w:tcPr>
          <w:p>
            <w:pPr>
              <w:jc w:val="right"/>
              <w:spacing w:after="0" w:line="243" w:lineRule="exact"/>
              <w:rPr>
                <w:sz w:val="20"/>
                <w:szCs w:val="20"/>
                <w:color w:val="auto"/>
              </w:rPr>
            </w:pPr>
            <w:r>
              <w:rPr>
                <w:rFonts w:ascii="Arial" w:cs="Arial" w:eastAsia="Arial" w:hAnsi="Arial"/>
                <w:sz w:val="22"/>
                <w:szCs w:val="22"/>
                <w:color w:val="auto"/>
                <w:w w:val="97"/>
              </w:rPr>
              <w:t>accelerate any payment or benefit that is subject to Section 409A, except in compliance with Section 409A and the</w:t>
            </w:r>
          </w:p>
        </w:tc>
      </w:tr>
      <w:tr>
        <w:trPr>
          <w:trHeight w:val="275"/>
        </w:trPr>
        <w:tc>
          <w:tcPr>
            <w:tcW w:w="600" w:type="dxa"/>
            <w:vAlign w:val="bottom"/>
          </w:tcPr>
          <w:p>
            <w:pPr>
              <w:spacing w:after="0"/>
              <w:rPr>
                <w:sz w:val="23"/>
                <w:szCs w:val="23"/>
                <w:color w:val="auto"/>
              </w:rPr>
            </w:pPr>
          </w:p>
        </w:tc>
        <w:tc>
          <w:tcPr>
            <w:tcW w:w="10840" w:type="dxa"/>
            <w:vAlign w:val="bottom"/>
          </w:tcPr>
          <w:p>
            <w:pPr>
              <w:jc w:val="right"/>
              <w:ind w:right="7256"/>
              <w:spacing w:after="0"/>
              <w:rPr>
                <w:sz w:val="20"/>
                <w:szCs w:val="20"/>
                <w:color w:val="auto"/>
              </w:rPr>
            </w:pPr>
            <w:r>
              <w:rPr>
                <w:rFonts w:ascii="Arial" w:cs="Arial" w:eastAsia="Arial" w:hAnsi="Arial"/>
                <w:sz w:val="22"/>
                <w:szCs w:val="22"/>
                <w:color w:val="auto"/>
                <w:w w:val="96"/>
              </w:rPr>
              <w:t>provisions of this Agreement, and no</w:t>
            </w:r>
          </w:p>
        </w:tc>
      </w:tr>
      <w:tr>
        <w:trPr>
          <w:trHeight w:val="638"/>
        </w:trPr>
        <w:tc>
          <w:tcPr>
            <w:tcW w:w="600" w:type="dxa"/>
            <w:vAlign w:val="bottom"/>
          </w:tcPr>
          <w:p>
            <w:pPr>
              <w:spacing w:after="0"/>
              <w:rPr>
                <w:sz w:val="24"/>
                <w:szCs w:val="24"/>
                <w:color w:val="auto"/>
              </w:rPr>
            </w:pPr>
          </w:p>
        </w:tc>
        <w:tc>
          <w:tcPr>
            <w:tcW w:w="10840" w:type="dxa"/>
            <w:vAlign w:val="bottom"/>
          </w:tcPr>
          <w:p>
            <w:pPr>
              <w:jc w:val="right"/>
              <w:ind w:right="5576"/>
              <w:spacing w:after="0"/>
              <w:rPr>
                <w:sz w:val="20"/>
                <w:szCs w:val="20"/>
                <w:color w:val="auto"/>
              </w:rPr>
            </w:pPr>
            <w:r>
              <w:rPr>
                <w:rFonts w:ascii="Arial" w:cs="Arial" w:eastAsia="Arial" w:hAnsi="Arial"/>
                <w:sz w:val="18"/>
                <w:szCs w:val="18"/>
                <w:color w:val="auto"/>
              </w:rPr>
              <w:t>7</w:t>
            </w:r>
          </w:p>
        </w:tc>
      </w:tr>
      <w:tr>
        <w:trPr>
          <w:trHeight w:val="331"/>
        </w:trPr>
        <w:tc>
          <w:tcPr>
            <w:tcW w:w="600" w:type="dxa"/>
            <w:vAlign w:val="bottom"/>
            <w:tcBorders>
              <w:bottom w:val="single" w:sz="8" w:color="9A9A9A"/>
            </w:tcBorders>
          </w:tcPr>
          <w:p>
            <w:pPr>
              <w:spacing w:after="0"/>
              <w:rPr>
                <w:sz w:val="24"/>
                <w:szCs w:val="24"/>
                <w:color w:val="auto"/>
              </w:rPr>
            </w:pPr>
          </w:p>
        </w:tc>
        <w:tc>
          <w:tcPr>
            <w:tcW w:w="10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1" w:name="page12"/>
    <w:bookmarkEnd w:id="11"/>
    <w:p>
      <w:pPr>
        <w:ind w:left="880" w:right="20" w:firstLine="811"/>
        <w:spacing w:after="0" w:line="251" w:lineRule="auto"/>
        <w:rPr>
          <w:sz w:val="20"/>
          <w:szCs w:val="20"/>
          <w:color w:val="auto"/>
        </w:rPr>
      </w:pPr>
      <w:r>
        <w:rPr>
          <w:rFonts w:ascii="Arial" w:cs="Arial" w:eastAsia="Arial" w:hAnsi="Arial"/>
          <w:sz w:val="22"/>
          <w:szCs w:val="22"/>
          <w:color w:val="auto"/>
        </w:rPr>
        <w:t>amount that is subject to Section 409A shall be paid prior to the earliest date on which it may be paid without violating Section 409A.</w:t>
      </w:r>
    </w:p>
    <w:p>
      <w:pPr>
        <w:spacing w:after="0" w:line="173" w:lineRule="exact"/>
        <w:rPr>
          <w:sz w:val="20"/>
          <w:szCs w:val="20"/>
          <w:color w:val="auto"/>
        </w:rPr>
      </w:pPr>
    </w:p>
    <w:p>
      <w:pPr>
        <w:jc w:val="both"/>
        <w:ind w:left="880" w:right="20" w:hanging="797"/>
        <w:spacing w:after="0" w:line="252" w:lineRule="auto"/>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1"/>
          <w:szCs w:val="21"/>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ectPr>
          <w:pgSz w:w="11900" w:h="16838" w:orient="portrait"/>
          <w:cols w:equalWidth="0" w:num="1">
            <w:col w:w="11440"/>
          </w:cols>
          <w:pgMar w:left="240" w:top="334" w:right="219" w:bottom="1440" w:gutter="0" w:footer="0" w:header="0"/>
        </w:sectPr>
      </w:pPr>
    </w:p>
    <w:p>
      <w:pPr>
        <w:spacing w:after="0" w:line="174" w:lineRule="exact"/>
        <w:rPr>
          <w:sz w:val="20"/>
          <w:szCs w:val="20"/>
          <w:color w:val="auto"/>
        </w:rPr>
      </w:pPr>
    </w:p>
    <w:p>
      <w:pPr>
        <w:ind w:left="80"/>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Taxable Reimbursements.</w:t>
      </w:r>
    </w:p>
    <w:p>
      <w:pPr>
        <w:spacing w:after="0" w:line="234" w:lineRule="exact"/>
        <w:rPr>
          <w:sz w:val="20"/>
          <w:szCs w:val="20"/>
          <w:color w:val="auto"/>
        </w:rPr>
      </w:pPr>
    </w:p>
    <w:p>
      <w:pPr>
        <w:sectPr>
          <w:pgSz w:w="11900" w:h="16838" w:orient="portrait"/>
          <w:cols w:equalWidth="0" w:num="2">
            <w:col w:w="960" w:space="720"/>
            <w:col w:w="9760"/>
          </w:cols>
          <w:pgMar w:left="240" w:top="334" w:right="219" w:bottom="1440" w:gutter="0" w:footer="0" w:header="0"/>
          <w:type w:val="continuous"/>
        </w:sectPr>
      </w:pPr>
    </w:p>
    <w:p>
      <w:pPr>
        <w:spacing w:after="0" w:line="6" w:lineRule="exact"/>
        <w:rPr>
          <w:sz w:val="20"/>
          <w:szCs w:val="20"/>
          <w:color w:val="auto"/>
        </w:rPr>
      </w:pPr>
    </w:p>
    <w:p>
      <w:pPr>
        <w:ind w:left="2640"/>
        <w:spacing w:after="0"/>
        <w:tabs>
          <w:tab w:leader="none" w:pos="5420" w:val="left"/>
        </w:tabs>
        <w:rPr>
          <w:sz w:val="20"/>
          <w:szCs w:val="20"/>
          <w:color w:val="auto"/>
        </w:rPr>
      </w:pPr>
      <w:r>
        <w:rPr>
          <w:rFonts w:ascii="Arial" w:cs="Arial" w:eastAsia="Arial" w:hAnsi="Arial"/>
          <w:sz w:val="21"/>
          <w:szCs w:val="21"/>
          <w:color w:val="auto"/>
        </w:rPr>
        <w:t>(i)</w:t>
      </w:r>
      <w:r>
        <w:rPr>
          <w:sz w:val="20"/>
          <w:szCs w:val="20"/>
          <w:color w:val="auto"/>
        </w:rPr>
        <w:tab/>
      </w:r>
      <w:r>
        <w:rPr>
          <w:rFonts w:ascii="Arial" w:cs="Arial" w:eastAsia="Arial" w:hAnsi="Arial"/>
          <w:sz w:val="21"/>
          <w:szCs w:val="21"/>
          <w:color w:val="auto"/>
        </w:rPr>
        <w:t>Any reimbursements by the Company to the Executive of any</w:t>
      </w:r>
    </w:p>
    <w:p>
      <w:pPr>
        <w:sectPr>
          <w:pgSz w:w="11900" w:h="16838" w:orient="portrait"/>
          <w:cols w:equalWidth="0" w:num="1">
            <w:col w:w="11440"/>
          </w:cols>
          <w:pgMar w:left="240" w:top="334" w:right="219" w:bottom="1440" w:gutter="0" w:footer="0" w:header="0"/>
          <w:type w:val="continuous"/>
        </w:sectPr>
      </w:pPr>
    </w:p>
    <w:p>
      <w:pPr>
        <w:spacing w:after="0" w:line="33" w:lineRule="exact"/>
        <w:rPr>
          <w:sz w:val="20"/>
          <w:szCs w:val="20"/>
          <w:color w:val="auto"/>
        </w:rPr>
      </w:pPr>
    </w:p>
    <w:p>
      <w:pPr>
        <w:jc w:val="both"/>
        <w:ind w:right="20"/>
        <w:spacing w:after="0" w:line="230" w:lineRule="auto"/>
        <w:rPr>
          <w:sz w:val="20"/>
          <w:szCs w:val="20"/>
          <w:color w:val="auto"/>
        </w:rPr>
      </w:pPr>
      <w:r>
        <w:rPr>
          <w:rFonts w:ascii="Arial" w:cs="Arial" w:eastAsia="Arial" w:hAnsi="Arial"/>
          <w:sz w:val="22"/>
          <w:szCs w:val="22"/>
          <w:color w:val="auto"/>
        </w:rPr>
        <w:t>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87" w:lineRule="exact"/>
        <w:rPr>
          <w:sz w:val="20"/>
          <w:szCs w:val="20"/>
          <w:color w:val="auto"/>
        </w:rPr>
      </w:pPr>
    </w:p>
    <w:p>
      <w:pPr>
        <w:jc w:val="both"/>
        <w:ind w:right="40" w:firstLine="2634"/>
        <w:spacing w:after="0"/>
        <w:rPr>
          <w:sz w:val="20"/>
          <w:szCs w:val="20"/>
          <w:color w:val="auto"/>
        </w:rPr>
      </w:pPr>
      <w:r>
        <w:rPr>
          <w:rFonts w:ascii="Arial" w:cs="Arial" w:eastAsia="Arial" w:hAnsi="Arial"/>
          <w:sz w:val="22"/>
          <w:szCs w:val="22"/>
          <w:color w:val="auto"/>
        </w:rPr>
        <w:t>(ii) The amount of any Taxable Reimbursements to be provided to the Executive during any taxable year of the Executive shall not affect the expenses eligible for reimbursement to be provided in any other taxable year of the Executive.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980" w:type="dxa"/>
            <w:vAlign w:val="bottom"/>
          </w:tcPr>
          <w:p>
            <w:pPr>
              <w:ind w:left="960"/>
              <w:spacing w:after="0"/>
              <w:rPr>
                <w:sz w:val="20"/>
                <w:szCs w:val="20"/>
                <w:color w:val="auto"/>
              </w:rPr>
            </w:pPr>
            <w:r>
              <w:rPr>
                <w:rFonts w:ascii="Arial" w:cs="Arial" w:eastAsia="Arial" w:hAnsi="Arial"/>
                <w:sz w:val="22"/>
                <w:szCs w:val="22"/>
                <w:color w:val="auto"/>
              </w:rPr>
              <w:t>(iii)</w:t>
            </w:r>
          </w:p>
        </w:tc>
        <w:tc>
          <w:tcPr>
            <w:tcW w:w="6780" w:type="dxa"/>
            <w:vAlign w:val="bottom"/>
            <w:gridSpan w:val="2"/>
          </w:tcPr>
          <w:p>
            <w:pPr>
              <w:jc w:val="right"/>
              <w:ind w:right="40"/>
              <w:spacing w:after="0"/>
              <w:rPr>
                <w:sz w:val="20"/>
                <w:szCs w:val="20"/>
                <w:color w:val="auto"/>
              </w:rPr>
            </w:pPr>
            <w:r>
              <w:rPr>
                <w:rFonts w:ascii="Arial" w:cs="Arial" w:eastAsia="Arial" w:hAnsi="Arial"/>
                <w:sz w:val="22"/>
                <w:szCs w:val="22"/>
                <w:color w:val="auto"/>
              </w:rPr>
              <w:t>The right to Taxable Reimbursements shall not be subject to</w:t>
            </w:r>
          </w:p>
        </w:tc>
      </w:tr>
      <w:tr>
        <w:trPr>
          <w:trHeight w:val="275"/>
        </w:trPr>
        <w:tc>
          <w:tcPr>
            <w:tcW w:w="4660" w:type="dxa"/>
            <w:vAlign w:val="bottom"/>
            <w:gridSpan w:val="3"/>
          </w:tcPr>
          <w:p>
            <w:pPr>
              <w:spacing w:after="0"/>
              <w:rPr>
                <w:sz w:val="20"/>
                <w:szCs w:val="20"/>
                <w:color w:val="auto"/>
              </w:rPr>
            </w:pPr>
            <w:r>
              <w:rPr>
                <w:rFonts w:ascii="Arial" w:cs="Arial" w:eastAsia="Arial" w:hAnsi="Arial"/>
                <w:sz w:val="22"/>
                <w:szCs w:val="22"/>
                <w:color w:val="auto"/>
              </w:rPr>
              <w:t>liquidation or exchange for another benefit.</w:t>
            </w:r>
          </w:p>
        </w:tc>
        <w:tc>
          <w:tcPr>
            <w:tcW w:w="2500" w:type="dxa"/>
            <w:vAlign w:val="bottom"/>
          </w:tcPr>
          <w:p>
            <w:pPr>
              <w:spacing w:after="0"/>
              <w:rPr>
                <w:sz w:val="23"/>
                <w:szCs w:val="23"/>
                <w:color w:val="auto"/>
              </w:rPr>
            </w:pPr>
          </w:p>
        </w:tc>
        <w:tc>
          <w:tcPr>
            <w:tcW w:w="4280" w:type="dxa"/>
            <w:vAlign w:val="bottom"/>
          </w:tcPr>
          <w:p>
            <w:pPr>
              <w:spacing w:after="0"/>
              <w:rPr>
                <w:sz w:val="23"/>
                <w:szCs w:val="23"/>
                <w:color w:val="auto"/>
              </w:rPr>
            </w:pPr>
          </w:p>
        </w:tc>
      </w:tr>
      <w:tr>
        <w:trPr>
          <w:trHeight w:val="409"/>
        </w:trPr>
        <w:tc>
          <w:tcPr>
            <w:tcW w:w="600" w:type="dxa"/>
            <w:vAlign w:val="bottom"/>
          </w:tcPr>
          <w:p>
            <w:pPr>
              <w:ind w:left="80"/>
              <w:spacing w:after="0"/>
              <w:rPr>
                <w:sz w:val="20"/>
                <w:szCs w:val="20"/>
                <w:color w:val="auto"/>
              </w:rPr>
            </w:pPr>
            <w:r>
              <w:rPr>
                <w:rFonts w:ascii="Arial" w:cs="Arial" w:eastAsia="Arial" w:hAnsi="Arial"/>
                <w:sz w:val="22"/>
                <w:szCs w:val="22"/>
                <w:color w:val="auto"/>
              </w:rPr>
              <w:t>9.</w:t>
            </w:r>
          </w:p>
        </w:tc>
        <w:tc>
          <w:tcPr>
            <w:tcW w:w="1080" w:type="dxa"/>
            <w:vAlign w:val="bottom"/>
          </w:tcPr>
          <w:p>
            <w:pPr>
              <w:spacing w:after="0"/>
              <w:rPr>
                <w:sz w:val="24"/>
                <w:szCs w:val="24"/>
                <w:color w:val="auto"/>
              </w:rPr>
            </w:pPr>
          </w:p>
        </w:tc>
        <w:tc>
          <w:tcPr>
            <w:tcW w:w="54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3"/>
              </w:rPr>
              <w:t>REPRESENTATION AND AGREEMENTS OF EXECUTIVE</w:t>
            </w:r>
          </w:p>
        </w:tc>
        <w:tc>
          <w:tcPr>
            <w:tcW w:w="4280" w:type="dxa"/>
            <w:vAlign w:val="bottom"/>
          </w:tcPr>
          <w:p>
            <w:pPr>
              <w:spacing w:after="0"/>
              <w:rPr>
                <w:sz w:val="24"/>
                <w:szCs w:val="24"/>
                <w:color w:val="auto"/>
              </w:rPr>
            </w:pPr>
          </w:p>
        </w:tc>
      </w:tr>
      <w:tr>
        <w:trPr>
          <w:trHeight w:val="458"/>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80" w:type="dxa"/>
            <w:vAlign w:val="bottom"/>
          </w:tcPr>
          <w:p>
            <w:pPr>
              <w:spacing w:after="0"/>
              <w:rPr>
                <w:sz w:val="24"/>
                <w:szCs w:val="24"/>
                <w:color w:val="auto"/>
              </w:rPr>
            </w:pPr>
          </w:p>
        </w:tc>
        <w:tc>
          <w:tcPr>
            <w:tcW w:w="9760" w:type="dxa"/>
            <w:vAlign w:val="bottom"/>
            <w:gridSpan w:val="3"/>
          </w:tcPr>
          <w:p>
            <w:pPr>
              <w:jc w:val="right"/>
              <w:ind w:right="20"/>
              <w:spacing w:after="0"/>
              <w:rPr>
                <w:sz w:val="20"/>
                <w:szCs w:val="20"/>
                <w:color w:val="auto"/>
              </w:rPr>
            </w:pPr>
            <w:r>
              <w:rPr>
                <w:rFonts w:ascii="Arial" w:cs="Arial" w:eastAsia="Arial" w:hAnsi="Arial"/>
                <w:sz w:val="22"/>
                <w:szCs w:val="22"/>
                <w:color w:val="auto"/>
                <w:w w:val="89"/>
              </w:rPr>
              <w:t>Executive represents and warrants that he is free to enter into this Agreement and to perform the duties required</w:t>
            </w:r>
          </w:p>
        </w:tc>
      </w:tr>
      <w:tr>
        <w:trPr>
          <w:trHeight w:val="243"/>
        </w:trPr>
        <w:tc>
          <w:tcPr>
            <w:tcW w:w="600" w:type="dxa"/>
            <w:vAlign w:val="bottom"/>
          </w:tcPr>
          <w:p>
            <w:pPr>
              <w:spacing w:after="0"/>
              <w:rPr>
                <w:sz w:val="21"/>
                <w:szCs w:val="21"/>
                <w:color w:val="auto"/>
              </w:rPr>
            </w:pPr>
          </w:p>
        </w:tc>
        <w:tc>
          <w:tcPr>
            <w:tcW w:w="1084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2"/>
              </w:rPr>
              <w:t>hereunder, and that there are no employment contracts or understandings, restrictive covenants or other restrictions,</w:t>
            </w:r>
          </w:p>
        </w:tc>
      </w:tr>
      <w:tr>
        <w:trPr>
          <w:trHeight w:val="275"/>
        </w:trPr>
        <w:tc>
          <w:tcPr>
            <w:tcW w:w="600" w:type="dxa"/>
            <w:vAlign w:val="bottom"/>
          </w:tcPr>
          <w:p>
            <w:pPr>
              <w:spacing w:after="0"/>
              <w:rPr>
                <w:sz w:val="23"/>
                <w:szCs w:val="23"/>
                <w:color w:val="auto"/>
              </w:rPr>
            </w:pPr>
          </w:p>
        </w:tc>
        <w:tc>
          <w:tcPr>
            <w:tcW w:w="10840" w:type="dxa"/>
            <w:vAlign w:val="bottom"/>
            <w:gridSpan w:val="4"/>
          </w:tcPr>
          <w:p>
            <w:pPr>
              <w:ind w:left="280"/>
              <w:spacing w:after="0"/>
              <w:rPr>
                <w:sz w:val="20"/>
                <w:szCs w:val="20"/>
                <w:color w:val="auto"/>
              </w:rPr>
            </w:pPr>
            <w:r>
              <w:rPr>
                <w:rFonts w:ascii="Arial" w:cs="Arial" w:eastAsia="Arial" w:hAnsi="Arial"/>
                <w:sz w:val="22"/>
                <w:szCs w:val="22"/>
                <w:color w:val="auto"/>
              </w:rPr>
              <w:t>whether written or oral, preventing the performance of his duties hereunder.</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80" w:type="dxa"/>
            <w:vAlign w:val="bottom"/>
          </w:tcPr>
          <w:p>
            <w:pPr>
              <w:spacing w:after="0"/>
              <w:rPr>
                <w:sz w:val="24"/>
                <w:szCs w:val="24"/>
                <w:color w:val="auto"/>
              </w:rPr>
            </w:pPr>
          </w:p>
        </w:tc>
        <w:tc>
          <w:tcPr>
            <w:tcW w:w="9760" w:type="dxa"/>
            <w:vAlign w:val="bottom"/>
            <w:gridSpan w:val="3"/>
          </w:tcPr>
          <w:p>
            <w:pPr>
              <w:jc w:val="right"/>
              <w:ind w:right="20"/>
              <w:spacing w:after="0"/>
              <w:rPr>
                <w:sz w:val="20"/>
                <w:szCs w:val="20"/>
                <w:color w:val="auto"/>
              </w:rPr>
            </w:pPr>
            <w:r>
              <w:rPr>
                <w:rFonts w:ascii="Arial" w:cs="Arial" w:eastAsia="Arial" w:hAnsi="Arial"/>
                <w:sz w:val="22"/>
                <w:szCs w:val="22"/>
                <w:color w:val="auto"/>
                <w:w w:val="91"/>
              </w:rPr>
              <w:t>Executive agrees to submit to a medical examination and to cooperate and supply such other information and</w:t>
            </w:r>
          </w:p>
        </w:tc>
      </w:tr>
      <w:tr>
        <w:trPr>
          <w:trHeight w:val="243"/>
        </w:trPr>
        <w:tc>
          <w:tcPr>
            <w:tcW w:w="600" w:type="dxa"/>
            <w:vAlign w:val="bottom"/>
          </w:tcPr>
          <w:p>
            <w:pPr>
              <w:spacing w:after="0"/>
              <w:rPr>
                <w:sz w:val="21"/>
                <w:szCs w:val="21"/>
                <w:color w:val="auto"/>
              </w:rPr>
            </w:pPr>
          </w:p>
        </w:tc>
        <w:tc>
          <w:tcPr>
            <w:tcW w:w="1084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0"/>
              </w:rPr>
              <w:t>documents as may be required by any insurance company in connection with the Company's obtaining life insurance on</w:t>
            </w:r>
          </w:p>
        </w:tc>
      </w:tr>
      <w:tr>
        <w:trPr>
          <w:trHeight w:val="243"/>
        </w:trPr>
        <w:tc>
          <w:tcPr>
            <w:tcW w:w="600" w:type="dxa"/>
            <w:vAlign w:val="bottom"/>
          </w:tcPr>
          <w:p>
            <w:pPr>
              <w:spacing w:after="0"/>
              <w:rPr>
                <w:sz w:val="21"/>
                <w:szCs w:val="21"/>
                <w:color w:val="auto"/>
              </w:rPr>
            </w:pPr>
          </w:p>
        </w:tc>
        <w:tc>
          <w:tcPr>
            <w:tcW w:w="1084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0"/>
              </w:rPr>
              <w:t>the life of Executive, and any other type of insurance or fringe benefit as the Company shall determine from time to time</w:t>
            </w:r>
          </w:p>
        </w:tc>
      </w:tr>
      <w:tr>
        <w:trPr>
          <w:trHeight w:val="275"/>
        </w:trPr>
        <w:tc>
          <w:tcPr>
            <w:tcW w:w="600" w:type="dxa"/>
            <w:vAlign w:val="bottom"/>
          </w:tcPr>
          <w:p>
            <w:pPr>
              <w:spacing w:after="0"/>
              <w:rPr>
                <w:sz w:val="23"/>
                <w:szCs w:val="23"/>
                <w:color w:val="auto"/>
              </w:rPr>
            </w:pPr>
          </w:p>
        </w:tc>
        <w:tc>
          <w:tcPr>
            <w:tcW w:w="4060" w:type="dxa"/>
            <w:vAlign w:val="bottom"/>
            <w:gridSpan w:val="2"/>
          </w:tcPr>
          <w:p>
            <w:pPr>
              <w:ind w:left="280"/>
              <w:spacing w:after="0"/>
              <w:rPr>
                <w:sz w:val="20"/>
                <w:szCs w:val="20"/>
                <w:color w:val="auto"/>
              </w:rPr>
            </w:pPr>
            <w:r>
              <w:rPr>
                <w:rFonts w:ascii="Arial" w:cs="Arial" w:eastAsia="Arial" w:hAnsi="Arial"/>
                <w:sz w:val="22"/>
                <w:szCs w:val="22"/>
                <w:color w:val="auto"/>
              </w:rPr>
              <w:t>to obtain.</w:t>
            </w:r>
          </w:p>
        </w:tc>
        <w:tc>
          <w:tcPr>
            <w:tcW w:w="2500" w:type="dxa"/>
            <w:vAlign w:val="bottom"/>
          </w:tcPr>
          <w:p>
            <w:pPr>
              <w:spacing w:after="0"/>
              <w:rPr>
                <w:sz w:val="23"/>
                <w:szCs w:val="23"/>
                <w:color w:val="auto"/>
              </w:rPr>
            </w:pPr>
          </w:p>
        </w:tc>
        <w:tc>
          <w:tcPr>
            <w:tcW w:w="4280" w:type="dxa"/>
            <w:vAlign w:val="bottom"/>
          </w:tcPr>
          <w:p>
            <w:pPr>
              <w:spacing w:after="0"/>
              <w:rPr>
                <w:sz w:val="23"/>
                <w:szCs w:val="23"/>
                <w:color w:val="auto"/>
              </w:rPr>
            </w:pP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80" w:type="dxa"/>
            <w:vAlign w:val="bottom"/>
          </w:tcPr>
          <w:p>
            <w:pPr>
              <w:spacing w:after="0"/>
              <w:rPr>
                <w:sz w:val="24"/>
                <w:szCs w:val="24"/>
                <w:color w:val="auto"/>
              </w:rPr>
            </w:pPr>
          </w:p>
        </w:tc>
        <w:tc>
          <w:tcPr>
            <w:tcW w:w="9760" w:type="dxa"/>
            <w:vAlign w:val="bottom"/>
            <w:gridSpan w:val="3"/>
          </w:tcPr>
          <w:p>
            <w:pPr>
              <w:jc w:val="right"/>
              <w:ind w:right="20"/>
              <w:spacing w:after="0"/>
              <w:rPr>
                <w:sz w:val="20"/>
                <w:szCs w:val="20"/>
                <w:color w:val="auto"/>
              </w:rPr>
            </w:pPr>
            <w:r>
              <w:rPr>
                <w:rFonts w:ascii="Arial" w:cs="Arial" w:eastAsia="Arial" w:hAnsi="Arial"/>
                <w:sz w:val="22"/>
                <w:szCs w:val="22"/>
                <w:color w:val="auto"/>
                <w:w w:val="87"/>
              </w:rPr>
              <w:t>Executive represents and warrants that he has never been convicted of a felony and he has not been convicted or</w:t>
            </w:r>
          </w:p>
        </w:tc>
      </w:tr>
      <w:tr>
        <w:trPr>
          <w:trHeight w:val="243"/>
        </w:trPr>
        <w:tc>
          <w:tcPr>
            <w:tcW w:w="600" w:type="dxa"/>
            <w:vAlign w:val="bottom"/>
          </w:tcPr>
          <w:p>
            <w:pPr>
              <w:spacing w:after="0"/>
              <w:rPr>
                <w:sz w:val="21"/>
                <w:szCs w:val="21"/>
                <w:color w:val="auto"/>
              </w:rPr>
            </w:pPr>
          </w:p>
        </w:tc>
        <w:tc>
          <w:tcPr>
            <w:tcW w:w="1084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1"/>
              </w:rPr>
              <w:t>incarcerated for a misdemeanor within the past five years, other than a first conviction for drunkenness, simple assault,</w:t>
            </w:r>
          </w:p>
        </w:tc>
      </w:tr>
      <w:tr>
        <w:trPr>
          <w:trHeight w:val="275"/>
        </w:trPr>
        <w:tc>
          <w:tcPr>
            <w:tcW w:w="600" w:type="dxa"/>
            <w:vAlign w:val="bottom"/>
          </w:tcPr>
          <w:p>
            <w:pPr>
              <w:spacing w:after="0"/>
              <w:rPr>
                <w:sz w:val="23"/>
                <w:szCs w:val="23"/>
                <w:color w:val="auto"/>
              </w:rPr>
            </w:pPr>
          </w:p>
        </w:tc>
        <w:tc>
          <w:tcPr>
            <w:tcW w:w="10840" w:type="dxa"/>
            <w:vAlign w:val="bottom"/>
            <w:gridSpan w:val="4"/>
          </w:tcPr>
          <w:p>
            <w:pPr>
              <w:ind w:left="280"/>
              <w:spacing w:after="0"/>
              <w:rPr>
                <w:sz w:val="20"/>
                <w:szCs w:val="20"/>
                <w:color w:val="auto"/>
              </w:rPr>
            </w:pPr>
            <w:r>
              <w:rPr>
                <w:rFonts w:ascii="Arial" w:cs="Arial" w:eastAsia="Arial" w:hAnsi="Arial"/>
                <w:sz w:val="22"/>
                <w:szCs w:val="22"/>
                <w:color w:val="auto"/>
              </w:rPr>
              <w:t>speeding, minor traffic violations, affray, or disturbance of the peace.</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(d)</w:t>
            </w:r>
          </w:p>
        </w:tc>
        <w:tc>
          <w:tcPr>
            <w:tcW w:w="1080" w:type="dxa"/>
            <w:vAlign w:val="bottom"/>
          </w:tcPr>
          <w:p>
            <w:pPr>
              <w:spacing w:after="0"/>
              <w:rPr>
                <w:sz w:val="24"/>
                <w:szCs w:val="24"/>
                <w:color w:val="auto"/>
              </w:rPr>
            </w:pPr>
          </w:p>
        </w:tc>
        <w:tc>
          <w:tcPr>
            <w:tcW w:w="9760" w:type="dxa"/>
            <w:vAlign w:val="bottom"/>
            <w:gridSpan w:val="3"/>
          </w:tcPr>
          <w:p>
            <w:pPr>
              <w:jc w:val="right"/>
              <w:ind w:right="20"/>
              <w:spacing w:after="0"/>
              <w:rPr>
                <w:sz w:val="20"/>
                <w:szCs w:val="20"/>
                <w:color w:val="auto"/>
              </w:rPr>
            </w:pPr>
            <w:r>
              <w:rPr>
                <w:rFonts w:ascii="Arial" w:cs="Arial" w:eastAsia="Arial" w:hAnsi="Arial"/>
                <w:sz w:val="22"/>
                <w:szCs w:val="22"/>
                <w:color w:val="auto"/>
                <w:w w:val="91"/>
              </w:rPr>
              <w:t>Executive represents and warrants that he has never been a party to any judicial or administrative proceeding</w:t>
            </w:r>
          </w:p>
        </w:tc>
      </w:tr>
      <w:tr>
        <w:trPr>
          <w:trHeight w:val="275"/>
        </w:trPr>
        <w:tc>
          <w:tcPr>
            <w:tcW w:w="600" w:type="dxa"/>
            <w:vAlign w:val="bottom"/>
          </w:tcPr>
          <w:p>
            <w:pPr>
              <w:spacing w:after="0"/>
              <w:rPr>
                <w:sz w:val="23"/>
                <w:szCs w:val="23"/>
                <w:color w:val="auto"/>
              </w:rPr>
            </w:pPr>
          </w:p>
        </w:tc>
        <w:tc>
          <w:tcPr>
            <w:tcW w:w="10840" w:type="dxa"/>
            <w:vAlign w:val="bottom"/>
            <w:gridSpan w:val="4"/>
          </w:tcPr>
          <w:p>
            <w:pPr>
              <w:ind w:left="280"/>
              <w:spacing w:after="0"/>
              <w:rPr>
                <w:sz w:val="20"/>
                <w:szCs w:val="20"/>
                <w:color w:val="auto"/>
              </w:rPr>
            </w:pPr>
            <w:r>
              <w:rPr>
                <w:rFonts w:ascii="Arial" w:cs="Arial" w:eastAsia="Arial" w:hAnsi="Arial"/>
                <w:sz w:val="22"/>
                <w:szCs w:val="22"/>
                <w:color w:val="auto"/>
              </w:rPr>
              <w:t>that resulted in a judgement, decree, or final order (i) enjoining him</w:t>
            </w:r>
          </w:p>
        </w:tc>
      </w:tr>
      <w:tr>
        <w:trPr>
          <w:trHeight w:val="638"/>
        </w:trPr>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500" w:type="dxa"/>
            <w:vAlign w:val="bottom"/>
          </w:tcPr>
          <w:p>
            <w:pPr>
              <w:jc w:val="right"/>
              <w:ind w:right="1301"/>
              <w:spacing w:after="0"/>
              <w:rPr>
                <w:sz w:val="20"/>
                <w:szCs w:val="20"/>
                <w:color w:val="auto"/>
              </w:rPr>
            </w:pPr>
            <w:r>
              <w:rPr>
                <w:rFonts w:ascii="Arial" w:cs="Arial" w:eastAsia="Arial" w:hAnsi="Arial"/>
                <w:sz w:val="18"/>
                <w:szCs w:val="18"/>
                <w:color w:val="auto"/>
              </w:rPr>
              <w:t>8</w:t>
            </w:r>
          </w:p>
        </w:tc>
        <w:tc>
          <w:tcPr>
            <w:tcW w:w="4280" w:type="dxa"/>
            <w:vAlign w:val="bottom"/>
          </w:tcPr>
          <w:p>
            <w:pPr>
              <w:spacing w:after="0"/>
              <w:rPr>
                <w:sz w:val="24"/>
                <w:szCs w:val="24"/>
                <w:color w:val="auto"/>
              </w:rPr>
            </w:pPr>
          </w:p>
        </w:tc>
      </w:tr>
      <w:tr>
        <w:trPr>
          <w:trHeight w:val="331"/>
        </w:trPr>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type w:val="continuous"/>
        </w:sectPr>
      </w:pPr>
    </w:p>
    <w:bookmarkStart w:id="12" w:name="page13"/>
    <w:bookmarkEnd w:id="12"/>
    <w:p>
      <w:pPr>
        <w:ind w:left="880" w:right="20" w:firstLine="811"/>
        <w:spacing w:after="0" w:line="251" w:lineRule="auto"/>
        <w:rPr>
          <w:sz w:val="20"/>
          <w:szCs w:val="20"/>
          <w:color w:val="auto"/>
        </w:rPr>
      </w:pPr>
      <w:r>
        <w:rPr>
          <w:rFonts w:ascii="Arial" w:cs="Arial" w:eastAsia="Arial" w:hAnsi="Arial"/>
          <w:sz w:val="22"/>
          <w:szCs w:val="22"/>
          <w:color w:val="auto"/>
        </w:rPr>
        <w:t>from future violations of, or prohibiting any violations of any federal or state securities law, or (ii) finding any violations of any federal or state securities law.</w:t>
      </w:r>
    </w:p>
    <w:p>
      <w:pPr>
        <w:spacing w:after="0" w:line="173" w:lineRule="exact"/>
        <w:rPr>
          <w:sz w:val="20"/>
          <w:szCs w:val="20"/>
          <w:color w:val="auto"/>
        </w:rPr>
      </w:pPr>
    </w:p>
    <w:p>
      <w:pPr>
        <w:ind w:left="880" w:right="20" w:hanging="797"/>
        <w:spacing w:after="0" w:line="251" w:lineRule="auto"/>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Executive represents and warrants that he has never been accused of any impropriety in connection with any employment;</w:t>
      </w:r>
    </w:p>
    <w:p>
      <w:pPr>
        <w:spacing w:after="0" w:line="17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Any breach of any of the above representations and warranties is "justifiable cause" for termination under paragraph 7(d) of this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00" w:type="dxa"/>
            <w:vAlign w:val="bottom"/>
          </w:tcPr>
          <w:p>
            <w:pPr>
              <w:ind w:left="80"/>
              <w:spacing w:after="0"/>
              <w:rPr>
                <w:sz w:val="20"/>
                <w:szCs w:val="20"/>
                <w:color w:val="auto"/>
              </w:rPr>
            </w:pPr>
            <w:r>
              <w:rPr>
                <w:rFonts w:ascii="Arial" w:cs="Arial" w:eastAsia="Arial" w:hAnsi="Arial"/>
                <w:sz w:val="22"/>
                <w:szCs w:val="22"/>
                <w:color w:val="auto"/>
              </w:rPr>
              <w:t>10.</w:t>
            </w:r>
          </w:p>
        </w:tc>
        <w:tc>
          <w:tcPr>
            <w:tcW w:w="10840" w:type="dxa"/>
            <w:vAlign w:val="bottom"/>
          </w:tcPr>
          <w:p>
            <w:pPr>
              <w:ind w:left="1080"/>
              <w:spacing w:after="0"/>
              <w:rPr>
                <w:sz w:val="20"/>
                <w:szCs w:val="20"/>
                <w:color w:val="auto"/>
              </w:rPr>
            </w:pPr>
            <w:r>
              <w:rPr>
                <w:rFonts w:ascii="Arial" w:cs="Arial" w:eastAsia="Arial" w:hAnsi="Arial"/>
                <w:sz w:val="22"/>
                <w:szCs w:val="22"/>
                <w:color w:val="auto"/>
              </w:rPr>
              <w:t>NON-COMPETITION</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840" w:type="dxa"/>
            <w:vAlign w:val="bottom"/>
          </w:tcPr>
          <w:p>
            <w:pPr>
              <w:ind w:left="1080"/>
              <w:spacing w:after="0"/>
              <w:rPr>
                <w:sz w:val="20"/>
                <w:szCs w:val="20"/>
                <w:color w:val="auto"/>
              </w:rPr>
            </w:pPr>
            <w:r>
              <w:rPr>
                <w:rFonts w:ascii="Arial" w:cs="Arial" w:eastAsia="Arial" w:hAnsi="Arial"/>
                <w:sz w:val="22"/>
                <w:szCs w:val="22"/>
                <w:color w:val="auto"/>
                <w:w w:val="91"/>
              </w:rPr>
              <w:t>In consideration for the promotion, the increase in compensation, the relocation payment and the potential for</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payment upon termination set forth in paragraph 7(e), Executive agrees that during the Term of Employment and during</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the one (1) year period immediately following the Termination Date (the "Non-Competitive Period"), Executive shall not,</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directly or indirectly, as owner, partner, joint venturer, stockholder, employee, broker, agent, principal, trustee, corporate</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2"/>
              </w:rPr>
              <w:t>officer, director, licensor, or in any capacity whatsoever, engage in, become financially interested in, be employed by,</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2"/>
              </w:rPr>
              <w:t>render any consultation or business advice with respect to, accept any competitive business on behalf of, or have any</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3"/>
              </w:rPr>
              <w:t>connection with any business which is competitive with products or services of the Company or any subsidiaries and</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4"/>
              </w:rPr>
              <w:t>affiliates, in any geographic area in which the Company or any of its subsidiaries or affiliates are then conducting or</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proposing to conduct business, including, without limitation, the United States of America and its possessions, Canada</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3"/>
              </w:rPr>
              <w:t>and Europe; provided, however, that Executive may own any securities of any corporation which is engaged in such</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89"/>
              </w:rPr>
              <w:t>business and is publicly owned and traded but in an amount not to exceed at any one time one percent (1%) of any class</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2"/>
              </w:rPr>
              <w:t>of stock or securities of such corporation. In addition, Executive shall not, during the Non-Competitive Period, directly</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or indirectly, request or cause any suppliers or customers with whom the Company or any of its subsidiaries or affiliates</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6"/>
              </w:rPr>
              <w:t>has a business relationship to cancel or terminate any such business relationship with the Company or any of its</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2"/>
              </w:rPr>
              <w:t>subsidiaries or affiliates or otherwise compromise the Company’s good will or solicit, hire, interfere with or entice from</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3"/>
              </w:rPr>
              <w:t>the Company or any of its subsidiaries or affiliates any employee (or former employee who has been separated from</w:t>
            </w:r>
          </w:p>
        </w:tc>
      </w:tr>
      <w:tr>
        <w:trPr>
          <w:trHeight w:val="275"/>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service for less than 12 months) of the Company or any of its subsidiaries or affiliates.</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840" w:type="dxa"/>
            <w:vAlign w:val="bottom"/>
          </w:tcPr>
          <w:p>
            <w:pPr>
              <w:ind w:left="1080"/>
              <w:spacing w:after="0"/>
              <w:rPr>
                <w:sz w:val="20"/>
                <w:szCs w:val="20"/>
                <w:color w:val="auto"/>
              </w:rPr>
            </w:pPr>
            <w:r>
              <w:rPr>
                <w:rFonts w:ascii="Arial" w:cs="Arial" w:eastAsia="Arial" w:hAnsi="Arial"/>
                <w:sz w:val="22"/>
                <w:szCs w:val="22"/>
                <w:color w:val="auto"/>
                <w:w w:val="92"/>
              </w:rPr>
              <w:t>If any portion of the restrictions set forth in this paragraph 10 should, for any reason whatsoever, be declared</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3"/>
              </w:rPr>
              <w:t>invalid by a court of competent jurisdiction, the validity or enforceability of the remainder of such restrictions shall not</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3"/>
              </w:rPr>
              <w:t>thereby be adversely affected.  For the purposes of this paragraph 10, a business competitive with the products and</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services of the Company (or such subsidiaries and affiliates) is limited to a specialty retailer which primarily distributes,</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sells or markets so-called "big and tall" apparel of any kind for men or which utilizes the "big and tall" retail or wholesale</w:t>
            </w:r>
          </w:p>
        </w:tc>
      </w:tr>
      <w:tr>
        <w:trPr>
          <w:trHeight w:val="275"/>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marketing concept as part of its business.</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840" w:type="dxa"/>
            <w:vAlign w:val="bottom"/>
          </w:tcPr>
          <w:p>
            <w:pPr>
              <w:ind w:left="1080"/>
              <w:spacing w:after="0"/>
              <w:rPr>
                <w:sz w:val="20"/>
                <w:szCs w:val="20"/>
                <w:color w:val="auto"/>
              </w:rPr>
            </w:pPr>
            <w:r>
              <w:rPr>
                <w:rFonts w:ascii="Arial" w:cs="Arial" w:eastAsia="Arial" w:hAnsi="Arial"/>
                <w:sz w:val="22"/>
                <w:szCs w:val="22"/>
                <w:color w:val="auto"/>
                <w:w w:val="89"/>
              </w:rPr>
              <w:t>Executive acknowledges that the Company conducts business throughout the world, that Executive’s duties and</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5"/>
              </w:rPr>
              <w:t>responsibilities on behalf of the Company are of a worldwide nature, that its sales and marketing prospects are for</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continued expansion throughout the world and therefore, the territorial and time limitations set forth in this paragraph 10</w:t>
            </w:r>
          </w:p>
        </w:tc>
      </w:tr>
      <w:tr>
        <w:trPr>
          <w:trHeight w:val="243"/>
        </w:trPr>
        <w:tc>
          <w:tcPr>
            <w:tcW w:w="6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89"/>
              </w:rPr>
              <w:t>are reasonable and properly required for the adequate protection of the business of the Company and its subsidiaries and</w:t>
            </w:r>
          </w:p>
        </w:tc>
      </w:tr>
      <w:tr>
        <w:trPr>
          <w:trHeight w:val="275"/>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affiliates. In the event any such territorial or time limitation is deemed to be unreasonable by</w:t>
            </w:r>
          </w:p>
        </w:tc>
      </w:tr>
      <w:tr>
        <w:trPr>
          <w:trHeight w:val="638"/>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18"/>
                <w:szCs w:val="18"/>
                <w:color w:val="auto"/>
              </w:rPr>
              <w:t>9</w:t>
            </w:r>
          </w:p>
        </w:tc>
      </w:tr>
      <w:tr>
        <w:trPr>
          <w:trHeight w:val="331"/>
        </w:trPr>
        <w:tc>
          <w:tcPr>
            <w:tcW w:w="600" w:type="dxa"/>
            <w:vAlign w:val="bottom"/>
            <w:tcBorders>
              <w:bottom w:val="single" w:sz="8" w:color="9A9A9A"/>
            </w:tcBorders>
          </w:tcPr>
          <w:p>
            <w:pPr>
              <w:spacing w:after="0"/>
              <w:rPr>
                <w:sz w:val="24"/>
                <w:szCs w:val="24"/>
                <w:color w:val="auto"/>
              </w:rPr>
            </w:pPr>
          </w:p>
        </w:tc>
        <w:tc>
          <w:tcPr>
            <w:tcW w:w="10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760" w:type="dxa"/>
            <w:vAlign w:val="bottom"/>
            <w:gridSpan w:val="2"/>
          </w:tcPr>
          <w:p>
            <w:pPr>
              <w:spacing w:after="0"/>
              <w:rPr>
                <w:sz w:val="20"/>
                <w:szCs w:val="20"/>
                <w:color w:val="auto"/>
              </w:rPr>
            </w:pPr>
            <w:r>
              <w:rPr>
                <w:rFonts w:ascii="Arial" w:cs="Arial" w:eastAsia="Arial" w:hAnsi="Arial"/>
                <w:sz w:val="22"/>
                <w:szCs w:val="22"/>
                <w:color w:val="auto"/>
                <w:w w:val="94"/>
              </w:rPr>
              <w:t>a court of competent jurisdiction, Executive agrees to the reduction of the territorial or time limitation to the</w:t>
            </w:r>
          </w:p>
        </w:tc>
      </w:tr>
      <w:tr>
        <w:trPr>
          <w:trHeight w:val="275"/>
        </w:trPr>
        <w:tc>
          <w:tcPr>
            <w:tcW w:w="600" w:type="dxa"/>
            <w:vAlign w:val="bottom"/>
          </w:tcPr>
          <w:p>
            <w:pPr>
              <w:spacing w:after="0"/>
              <w:rPr>
                <w:sz w:val="23"/>
                <w:szCs w:val="23"/>
                <w:color w:val="auto"/>
              </w:rPr>
            </w:pPr>
          </w:p>
        </w:tc>
        <w:tc>
          <w:tcPr>
            <w:tcW w:w="10840" w:type="dxa"/>
            <w:vAlign w:val="bottom"/>
            <w:gridSpan w:val="3"/>
          </w:tcPr>
          <w:p>
            <w:pPr>
              <w:ind w:left="280"/>
              <w:spacing w:after="0"/>
              <w:rPr>
                <w:sz w:val="20"/>
                <w:szCs w:val="20"/>
                <w:color w:val="auto"/>
              </w:rPr>
            </w:pPr>
            <w:r>
              <w:rPr>
                <w:rFonts w:ascii="Arial" w:cs="Arial" w:eastAsia="Arial" w:hAnsi="Arial"/>
                <w:sz w:val="22"/>
                <w:szCs w:val="22"/>
                <w:color w:val="auto"/>
              </w:rPr>
              <w:t>area or period which such court shall deem reasonable.</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(d)</w:t>
            </w:r>
          </w:p>
        </w:tc>
        <w:tc>
          <w:tcPr>
            <w:tcW w:w="108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22"/>
                <w:szCs w:val="22"/>
                <w:color w:val="auto"/>
                <w:w w:val="89"/>
              </w:rPr>
              <w:t>The existence of any claim or cause of action (a claim or cause of action is defined as a claim or cause of action</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2"/>
              </w:rPr>
              <w:t>which results from a breach of the terms and provisions of this Agreement by the Company, regardless of whether the</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1"/>
              </w:rPr>
              <w:t>breach is material) by Executive against the Company or any subsidiary or affiliate shall not constitute a defense to the</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9"/>
              </w:rPr>
              <w:t>enforcement by the Company or any subsidiary or affiliate of the foregoing restrictive covenants, but such claim or cause</w:t>
            </w:r>
          </w:p>
        </w:tc>
      </w:tr>
      <w:tr>
        <w:trPr>
          <w:trHeight w:val="275"/>
        </w:trPr>
        <w:tc>
          <w:tcPr>
            <w:tcW w:w="600" w:type="dxa"/>
            <w:vAlign w:val="bottom"/>
          </w:tcPr>
          <w:p>
            <w:pPr>
              <w:spacing w:after="0"/>
              <w:rPr>
                <w:sz w:val="23"/>
                <w:szCs w:val="23"/>
                <w:color w:val="auto"/>
              </w:rPr>
            </w:pPr>
          </w:p>
        </w:tc>
        <w:tc>
          <w:tcPr>
            <w:tcW w:w="10840" w:type="dxa"/>
            <w:vAlign w:val="bottom"/>
            <w:gridSpan w:val="3"/>
          </w:tcPr>
          <w:p>
            <w:pPr>
              <w:ind w:left="280"/>
              <w:spacing w:after="0"/>
              <w:rPr>
                <w:sz w:val="20"/>
                <w:szCs w:val="20"/>
                <w:color w:val="auto"/>
              </w:rPr>
            </w:pPr>
            <w:r>
              <w:rPr>
                <w:rFonts w:ascii="Arial" w:cs="Arial" w:eastAsia="Arial" w:hAnsi="Arial"/>
                <w:sz w:val="22"/>
                <w:szCs w:val="22"/>
                <w:color w:val="auto"/>
              </w:rPr>
              <w:t>of action shall be litigated separately.</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(e)</w:t>
            </w:r>
          </w:p>
        </w:tc>
        <w:tc>
          <w:tcPr>
            <w:tcW w:w="108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22"/>
                <w:szCs w:val="22"/>
                <w:color w:val="auto"/>
                <w:w w:val="90"/>
              </w:rPr>
              <w:t>By signing below, Executive acknowledges and agrees that Executive has received sufficient mutually agreed-</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3"/>
              </w:rPr>
              <w:t>upon consideration for agreeing to be bound by the obligations in the Paragraph 10, specifically the promotion to the</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4"/>
              </w:rPr>
              <w:t>position of Executive Vice President, Chief Operating Officer, the increase in Base Salary, the Advance (relocation</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4"/>
              </w:rPr>
              <w:t>payment) and the eligibility to receive five months of salary continuation as severance pay in the event Executive is</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1"/>
              </w:rPr>
              <w:t>terminated by the Company without justifiable cause or by Executive for Good Reason, after Executive signs a General</w:t>
            </w:r>
          </w:p>
        </w:tc>
      </w:tr>
      <w:tr>
        <w:trPr>
          <w:trHeight w:val="275"/>
        </w:trPr>
        <w:tc>
          <w:tcPr>
            <w:tcW w:w="600" w:type="dxa"/>
            <w:vAlign w:val="bottom"/>
          </w:tcPr>
          <w:p>
            <w:pPr>
              <w:spacing w:after="0"/>
              <w:rPr>
                <w:sz w:val="23"/>
                <w:szCs w:val="23"/>
                <w:color w:val="auto"/>
              </w:rPr>
            </w:pPr>
          </w:p>
        </w:tc>
        <w:tc>
          <w:tcPr>
            <w:tcW w:w="10840" w:type="dxa"/>
            <w:vAlign w:val="bottom"/>
            <w:gridSpan w:val="3"/>
          </w:tcPr>
          <w:p>
            <w:pPr>
              <w:ind w:left="280"/>
              <w:spacing w:after="0"/>
              <w:rPr>
                <w:sz w:val="20"/>
                <w:szCs w:val="20"/>
                <w:color w:val="auto"/>
              </w:rPr>
            </w:pPr>
            <w:r>
              <w:rPr>
                <w:rFonts w:ascii="Arial" w:cs="Arial" w:eastAsia="Arial" w:hAnsi="Arial"/>
                <w:sz w:val="22"/>
                <w:szCs w:val="22"/>
                <w:color w:val="auto"/>
              </w:rPr>
              <w:t>Release acceptable to the Company, which General Release becomes irrevocable.</w:t>
            </w:r>
          </w:p>
        </w:tc>
      </w:tr>
      <w:tr>
        <w:trPr>
          <w:trHeight w:val="409"/>
        </w:trPr>
        <w:tc>
          <w:tcPr>
            <w:tcW w:w="600" w:type="dxa"/>
            <w:vAlign w:val="bottom"/>
          </w:tcPr>
          <w:p>
            <w:pPr>
              <w:ind w:left="80"/>
              <w:spacing w:after="0"/>
              <w:rPr>
                <w:sz w:val="20"/>
                <w:szCs w:val="20"/>
                <w:color w:val="auto"/>
              </w:rPr>
            </w:pPr>
            <w:r>
              <w:rPr>
                <w:rFonts w:ascii="Arial" w:cs="Arial" w:eastAsia="Arial" w:hAnsi="Arial"/>
                <w:sz w:val="22"/>
                <w:szCs w:val="22"/>
                <w:color w:val="auto"/>
              </w:rPr>
              <w:t>11.</w:t>
            </w:r>
          </w:p>
        </w:tc>
        <w:tc>
          <w:tcPr>
            <w:tcW w:w="1080" w:type="dxa"/>
            <w:vAlign w:val="bottom"/>
          </w:tcPr>
          <w:p>
            <w:pPr>
              <w:spacing w:after="0"/>
              <w:rPr>
                <w:sz w:val="24"/>
                <w:szCs w:val="24"/>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INVENTIONS AND DISCOVERIES</w:t>
            </w:r>
          </w:p>
        </w:tc>
        <w:tc>
          <w:tcPr>
            <w:tcW w:w="6460" w:type="dxa"/>
            <w:vAlign w:val="bottom"/>
          </w:tcPr>
          <w:p>
            <w:pPr>
              <w:spacing w:after="0"/>
              <w:rPr>
                <w:sz w:val="24"/>
                <w:szCs w:val="24"/>
                <w:color w:val="auto"/>
              </w:rPr>
            </w:pPr>
          </w:p>
        </w:tc>
      </w:tr>
      <w:tr>
        <w:trPr>
          <w:trHeight w:val="458"/>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8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22"/>
                <w:szCs w:val="22"/>
                <w:color w:val="auto"/>
                <w:w w:val="91"/>
              </w:rPr>
              <w:t>Upon execution of this Agreement and thereafter, Executive shall promptly and fully disclose to the Company,</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0"/>
              </w:rPr>
              <w:t>and with all necessary detail for a complete understanding of the same, all existing and future developments, know-how,</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4"/>
              </w:rPr>
              <w:t>discoveries,  inventions,  improvements,  concepts,  ideas,  writings,  formulae,  processes  and  methods  (whether</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7"/>
              </w:rPr>
              <w:t>copyrightable, patentable or otherwise) made, received, conceived, acquired or written during working hours, or</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1"/>
              </w:rPr>
              <w:t>otherwise, by Executive (whether or not at the request or upon the suggestion of the Company) during the period of his</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9"/>
              </w:rPr>
              <w:t>employment with, or rendering of advisory or consulting services to, the Company or any of its subsidiaries and affiliates,</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1"/>
              </w:rPr>
              <w:t>solely or jointly with others, in or relating to any activities of the Company or its subsidiaries and affiliates known to him</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2"/>
              </w:rPr>
              <w:t>as a consequence of his employment or the rendering of advisory and consulting services hereunder (collectively the</w:t>
            </w:r>
          </w:p>
        </w:tc>
      </w:tr>
      <w:tr>
        <w:trPr>
          <w:trHeight w:val="275"/>
        </w:trPr>
        <w:tc>
          <w:tcPr>
            <w:tcW w:w="600" w:type="dxa"/>
            <w:vAlign w:val="bottom"/>
          </w:tcPr>
          <w:p>
            <w:pPr>
              <w:spacing w:after="0"/>
              <w:rPr>
                <w:sz w:val="23"/>
                <w:szCs w:val="23"/>
                <w:color w:val="auto"/>
              </w:rPr>
            </w:pPr>
          </w:p>
        </w:tc>
        <w:tc>
          <w:tcPr>
            <w:tcW w:w="10840" w:type="dxa"/>
            <w:vAlign w:val="bottom"/>
            <w:gridSpan w:val="3"/>
          </w:tcPr>
          <w:p>
            <w:pPr>
              <w:ind w:left="280"/>
              <w:spacing w:after="0"/>
              <w:rPr>
                <w:sz w:val="20"/>
                <w:szCs w:val="20"/>
                <w:color w:val="auto"/>
              </w:rPr>
            </w:pPr>
            <w:r>
              <w:rPr>
                <w:rFonts w:ascii="Arial" w:cs="Arial" w:eastAsia="Arial" w:hAnsi="Arial"/>
                <w:sz w:val="22"/>
                <w:szCs w:val="22"/>
                <w:color w:val="auto"/>
              </w:rPr>
              <w:t>"Subject Matter").</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8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22"/>
                <w:szCs w:val="22"/>
                <w:color w:val="auto"/>
                <w:w w:val="87"/>
              </w:rPr>
              <w:t>Executive hereby assigns and transfers, and agrees to assign and transfer, to the Company, all his rights, title and</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9"/>
              </w:rPr>
              <w:t>interest in and to the Subject Matter, and Executive further agrees to deliver to the Company any and all drawings, notes,</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1"/>
              </w:rPr>
              <w:t>specifications and data relating to the Subject Matter, and to execute, acknowledge and deliver all such further papers,</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0"/>
              </w:rPr>
              <w:t>including applications for copyrights or patents, as may be necessary to obtain copyrights and patents for any thereof in</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3"/>
              </w:rPr>
              <w:t>any and all countries and to vest title thereto to the Company.  Executive shall assist the Company in obtaining such</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0"/>
              </w:rPr>
              <w:t>copyrights or patents during the term of this Agreement, and at any time thereafter on reasonable notice and at mutually</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3"/>
              </w:rPr>
              <w:t>convenient times, and Executive agrees to testify in any prosecution or litigation involving any of the Subject Matter;</w:t>
            </w:r>
          </w:p>
        </w:tc>
      </w:tr>
      <w:tr>
        <w:trPr>
          <w:trHeight w:val="243"/>
        </w:trPr>
        <w:tc>
          <w:tcPr>
            <w:tcW w:w="600" w:type="dxa"/>
            <w:vAlign w:val="bottom"/>
          </w:tcPr>
          <w:p>
            <w:pPr>
              <w:spacing w:after="0"/>
              <w:rPr>
                <w:sz w:val="21"/>
                <w:szCs w:val="21"/>
                <w:color w:val="auto"/>
              </w:rPr>
            </w:pPr>
          </w:p>
        </w:tc>
        <w:tc>
          <w:tcPr>
            <w:tcW w:w="1084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0"/>
              </w:rPr>
              <w:t>provided, however, after the Term of Employment that Executive shall be compensated in a timely manner at the rate of</w:t>
            </w:r>
          </w:p>
        </w:tc>
      </w:tr>
      <w:tr>
        <w:trPr>
          <w:trHeight w:val="275"/>
        </w:trPr>
        <w:tc>
          <w:tcPr>
            <w:tcW w:w="600" w:type="dxa"/>
            <w:vAlign w:val="bottom"/>
          </w:tcPr>
          <w:p>
            <w:pPr>
              <w:spacing w:after="0"/>
              <w:rPr>
                <w:sz w:val="23"/>
                <w:szCs w:val="23"/>
                <w:color w:val="auto"/>
              </w:rPr>
            </w:pPr>
          </w:p>
        </w:tc>
        <w:tc>
          <w:tcPr>
            <w:tcW w:w="10840" w:type="dxa"/>
            <w:vAlign w:val="bottom"/>
            <w:gridSpan w:val="3"/>
          </w:tcPr>
          <w:p>
            <w:pPr>
              <w:ind w:left="280"/>
              <w:spacing w:after="0"/>
              <w:rPr>
                <w:sz w:val="20"/>
                <w:szCs w:val="20"/>
                <w:color w:val="auto"/>
              </w:rPr>
            </w:pPr>
            <w:r>
              <w:rPr>
                <w:rFonts w:ascii="Arial" w:cs="Arial" w:eastAsia="Arial" w:hAnsi="Arial"/>
                <w:sz w:val="22"/>
                <w:szCs w:val="22"/>
                <w:color w:val="auto"/>
              </w:rPr>
              <w:t>$250 per day (or portion thereof), plus out-of-pocket expenses incurred in rendering such</w:t>
            </w:r>
          </w:p>
        </w:tc>
      </w:tr>
      <w:tr>
        <w:trPr>
          <w:trHeight w:val="638"/>
        </w:trPr>
        <w:tc>
          <w:tcPr>
            <w:tcW w:w="600" w:type="dxa"/>
            <w:vAlign w:val="bottom"/>
          </w:tcPr>
          <w:p>
            <w:pPr>
              <w:spacing w:after="0"/>
              <w:rPr>
                <w:sz w:val="24"/>
                <w:szCs w:val="24"/>
                <w:color w:val="auto"/>
              </w:rPr>
            </w:pPr>
          </w:p>
        </w:tc>
        <w:tc>
          <w:tcPr>
            <w:tcW w:w="10840" w:type="dxa"/>
            <w:vAlign w:val="bottom"/>
            <w:gridSpan w:val="3"/>
          </w:tcPr>
          <w:p>
            <w:pPr>
              <w:ind w:left="5020"/>
              <w:spacing w:after="0"/>
              <w:rPr>
                <w:sz w:val="20"/>
                <w:szCs w:val="20"/>
                <w:color w:val="auto"/>
              </w:rPr>
            </w:pPr>
            <w:r>
              <w:rPr>
                <w:rFonts w:ascii="Arial" w:cs="Arial" w:eastAsia="Arial" w:hAnsi="Arial"/>
                <w:sz w:val="18"/>
                <w:szCs w:val="18"/>
                <w:color w:val="auto"/>
              </w:rPr>
              <w:t>10</w:t>
            </w:r>
          </w:p>
        </w:tc>
      </w:tr>
      <w:tr>
        <w:trPr>
          <w:trHeight w:val="331"/>
        </w:trPr>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4" w:name="page15"/>
    <w:bookmarkEnd w:id="14"/>
    <w:p>
      <w:pPr>
        <w:ind w:left="1680"/>
        <w:spacing w:after="0"/>
        <w:rPr>
          <w:sz w:val="20"/>
          <w:szCs w:val="20"/>
          <w:color w:val="auto"/>
        </w:rPr>
      </w:pPr>
      <w:r>
        <w:rPr>
          <w:rFonts w:ascii="Arial" w:cs="Arial" w:eastAsia="Arial" w:hAnsi="Arial"/>
          <w:sz w:val="19"/>
          <w:szCs w:val="19"/>
          <w:color w:val="auto"/>
        </w:rPr>
        <w:t>assistance or giving or preparing to give such testimony if it is required after the termination of this Agreement.</w:t>
      </w:r>
    </w:p>
    <w:p>
      <w:pPr>
        <w:spacing w:after="0" w:line="241"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u w:val="single" w:color="auto"/>
          <w:color w:val="auto"/>
        </w:rPr>
        <w:t>NON-DISCLOSURE OF CONFIDENTIAL INFORMATION</w:t>
      </w:r>
    </w:p>
    <w:p>
      <w:pPr>
        <w:spacing w:after="0" w:line="206"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(a) 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200" w:lineRule="exact"/>
        <w:rPr>
          <w:sz w:val="20"/>
          <w:szCs w:val="20"/>
          <w:color w:val="auto"/>
        </w:rPr>
      </w:pPr>
    </w:p>
    <w:p>
      <w:pPr>
        <w:spacing w:after="0" w:line="213"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(b) 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48"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u w:val="single" w:color="auto"/>
          <w:color w:val="auto"/>
        </w:rPr>
        <w:t>SPECIFIC PERFORMANCE</w:t>
      </w:r>
    </w:p>
    <w:p>
      <w:pPr>
        <w:spacing w:after="0" w:line="20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9"/>
          <w:szCs w:val="19"/>
          <w:color w:val="auto"/>
        </w:rPr>
        <w:t>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48"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u w:val="single" w:color="auto"/>
          <w:color w:val="auto"/>
        </w:rPr>
        <w:t>AMENDMENT OR ALTERATION</w:t>
      </w:r>
    </w:p>
    <w:p>
      <w:pPr>
        <w:spacing w:after="0" w:line="206"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No amendment or alteration of the terms of this Agreement shall be valid unless made in writing and signed by both of the parties hereto.</w:t>
      </w:r>
    </w:p>
    <w:p>
      <w:pPr>
        <w:spacing w:after="0" w:line="173"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u w:val="single" w:color="auto"/>
          <w:color w:val="auto"/>
        </w:rPr>
        <w:t>GOVERNING LAW</w:t>
      </w:r>
    </w:p>
    <w:p>
      <w:pPr>
        <w:spacing w:after="0" w:line="206"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173"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u w:val="single" w:color="auto"/>
          <w:color w:val="auto"/>
        </w:rPr>
        <w:t>SEVERABILITY</w:t>
      </w:r>
    </w:p>
    <w:p>
      <w:pPr>
        <w:spacing w:after="0" w:line="206"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173"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u w:val="single" w:color="auto"/>
          <w:color w:val="auto"/>
        </w:rPr>
        <w:t>NOTICES</w:t>
      </w:r>
    </w:p>
    <w:p>
      <w:pPr>
        <w:spacing w:after="0" w:line="20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Any notices required or permitted to be given hereunder shall be sufficient if inwriting,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85"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u w:val="single" w:color="auto"/>
          <w:color w:val="auto"/>
        </w:rPr>
        <w:t>WAIVER OR BREACH</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It is agreed that a waiver by either party of a breach of any provision of this Agreement shall not operate, or be construed as a waiver of any subsequent breach by that same party.</w:t>
      </w:r>
    </w:p>
    <w:p>
      <w:pPr>
        <w:spacing w:after="0" w:line="173"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u w:val="single" w:color="auto"/>
          <w:color w:val="auto"/>
        </w:rPr>
        <w:t>ENTIRE AGREEMENT AND BINDING EFFECT</w:t>
      </w:r>
    </w:p>
    <w:p>
      <w:pPr>
        <w:spacing w:after="0" w:line="206"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 w:name="page17"/>
    <w:bookmarkEnd w:id="16"/>
    <w:p>
      <w:pPr>
        <w:jc w:val="both"/>
        <w:spacing w:after="0" w:line="235" w:lineRule="auto"/>
        <w:rPr>
          <w:sz w:val="20"/>
          <w:szCs w:val="20"/>
          <w:color w:val="auto"/>
        </w:rPr>
      </w:pPr>
      <w:r>
        <w:rPr>
          <w:rFonts w:ascii="Arial" w:cs="Arial" w:eastAsia="Arial" w:hAnsi="Arial"/>
          <w:sz w:val="22"/>
          <w:szCs w:val="22"/>
          <w:color w:val="auto"/>
        </w:rPr>
        <w:t>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 Executive understands that he is advised to consult with an attorney before signing this Agreement, and that the restrictive covenants contained in paragraphs 10 through 13 above have been included in the first and, if applicable, each subsequent iteration of this Agreement.</w:t>
      </w:r>
    </w:p>
    <w:p>
      <w:pPr>
        <w:spacing w:after="0" w:line="188"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22"/>
          <w:szCs w:val="22"/>
          <w:u w:val="single" w:color="auto"/>
          <w:color w:val="auto"/>
        </w:rPr>
        <w:t>SURVIVAL</w:t>
      </w:r>
    </w:p>
    <w:p>
      <w:pPr>
        <w:spacing w:after="0" w:line="20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86"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u w:val="single" w:color="auto"/>
          <w:color w:val="auto"/>
        </w:rPr>
        <w:t>RESOLUTION OF DISPUTES</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Any and all disputes arising under or in connection with this Agreement shall be resolved in accordance with this paragraph 21 and paragraph 15.</w:t>
      </w:r>
    </w:p>
    <w:p>
      <w:pPr>
        <w:spacing w:after="0" w:line="17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88"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NON-DISPARAGEMENT</w:t>
      </w:r>
    </w:p>
    <w:p>
      <w:pPr>
        <w:spacing w:after="0" w:line="20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85"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u w:val="single" w:color="auto"/>
          <w:color w:val="auto"/>
        </w:rPr>
        <w:t>FURTHER ASSURANCES</w:t>
      </w:r>
    </w:p>
    <w:p>
      <w:pPr>
        <w:spacing w:after="0" w:line="20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51"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u w:val="single" w:color="auto"/>
          <w:color w:val="auto"/>
        </w:rPr>
        <w:t>SUBSIDIARIES AND AFFILIATES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For purposes of this Agreement: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(a) “affiliate” means any entity that controls, is controlled by, or is under common control with, the Company, and “control” means the power to exercise a controlling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jc w:val="both"/>
        <w:ind w:right="20"/>
        <w:spacing w:after="0" w:line="251" w:lineRule="auto"/>
        <w:rPr>
          <w:sz w:val="20"/>
          <w:szCs w:val="20"/>
          <w:color w:val="auto"/>
        </w:rPr>
      </w:pPr>
      <w:r>
        <w:rPr>
          <w:rFonts w:ascii="Arial" w:cs="Arial" w:eastAsia="Arial" w:hAnsi="Arial"/>
          <w:sz w:val="22"/>
          <w:szCs w:val="22"/>
          <w:color w:val="auto"/>
        </w:rPr>
        <w:t>influence over the management or policies of an entity, unless such power is solely the result of an official position with such entity; and</w:t>
      </w:r>
    </w:p>
    <w:p>
      <w:pPr>
        <w:spacing w:after="0" w:line="17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(b) “subsidiary”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88"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u w:val="single" w:color="auto"/>
          <w:color w:val="auto"/>
        </w:rPr>
        <w:t>HEADINGS</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173"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u w:val="single" w:color="auto"/>
          <w:color w:val="auto"/>
        </w:rPr>
        <w:t>COUNTERPARTS</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020"/>
        <w:spacing w:after="0" w:line="251" w:lineRule="auto"/>
        <w:rPr>
          <w:sz w:val="20"/>
          <w:szCs w:val="20"/>
          <w:color w:val="auto"/>
        </w:rPr>
      </w:pPr>
      <w:r>
        <w:rPr>
          <w:rFonts w:ascii="Arial" w:cs="Arial" w:eastAsia="Arial" w:hAnsi="Arial"/>
          <w:sz w:val="22"/>
          <w:szCs w:val="22"/>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380" w:type="dxa"/>
            <w:vAlign w:val="bottom"/>
            <w:gridSpan w:val="4"/>
          </w:tcPr>
          <w:p>
            <w:pPr>
              <w:spacing w:after="0"/>
              <w:rPr>
                <w:sz w:val="20"/>
                <w:szCs w:val="20"/>
                <w:color w:val="auto"/>
              </w:rPr>
            </w:pPr>
            <w:r>
              <w:rPr>
                <w:rFonts w:ascii="Arial" w:cs="Arial" w:eastAsia="Arial" w:hAnsi="Arial"/>
                <w:sz w:val="22"/>
                <w:szCs w:val="22"/>
                <w:color w:val="auto"/>
              </w:rPr>
              <w:t>DESTINATION XL GROUP, INC.</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36"/>
        </w:trPr>
        <w:tc>
          <w:tcPr>
            <w:tcW w:w="6380" w:type="dxa"/>
            <w:vAlign w:val="bottom"/>
            <w:gridSpan w:val="4"/>
          </w:tcPr>
          <w:p>
            <w:pPr>
              <w:spacing w:after="0"/>
              <w:rPr>
                <w:sz w:val="20"/>
                <w:szCs w:val="20"/>
                <w:color w:val="auto"/>
              </w:rPr>
            </w:pPr>
            <w:r>
              <w:rPr>
                <w:rFonts w:ascii="Arial" w:cs="Arial" w:eastAsia="Arial" w:hAnsi="Arial"/>
                <w:sz w:val="22"/>
                <w:szCs w:val="22"/>
                <w:color w:val="auto"/>
              </w:rPr>
              <w:t>By: /s/ DAVID A. LEVIN</w:t>
            </w:r>
          </w:p>
        </w:tc>
        <w:tc>
          <w:tcPr>
            <w:tcW w:w="4920" w:type="dxa"/>
            <w:vAlign w:val="bottom"/>
            <w:gridSpan w:val="2"/>
          </w:tcPr>
          <w:p>
            <w:pPr>
              <w:ind w:left="3000"/>
              <w:spacing w:after="0"/>
              <w:rPr>
                <w:sz w:val="20"/>
                <w:szCs w:val="20"/>
                <w:color w:val="auto"/>
              </w:rPr>
            </w:pPr>
            <w:r>
              <w:rPr>
                <w:rFonts w:ascii="Arial" w:cs="Arial" w:eastAsia="Arial" w:hAnsi="Arial"/>
                <w:sz w:val="22"/>
                <w:szCs w:val="22"/>
                <w:color w:val="auto"/>
                <w:w w:val="87"/>
              </w:rPr>
              <w:t>Date: October 8, 2018</w:t>
            </w:r>
          </w:p>
        </w:tc>
      </w:tr>
      <w:tr>
        <w:trPr>
          <w:trHeight w:val="20"/>
        </w:trPr>
        <w:tc>
          <w:tcPr>
            <w:tcW w:w="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42"/>
        </w:trPr>
        <w:tc>
          <w:tcPr>
            <w:tcW w:w="6380" w:type="dxa"/>
            <w:vAlign w:val="bottom"/>
            <w:gridSpan w:val="4"/>
          </w:tcPr>
          <w:p>
            <w:pPr>
              <w:spacing w:after="0" w:line="242" w:lineRule="exact"/>
              <w:rPr>
                <w:sz w:val="20"/>
                <w:szCs w:val="20"/>
                <w:color w:val="auto"/>
              </w:rPr>
            </w:pPr>
            <w:r>
              <w:rPr>
                <w:rFonts w:ascii="Arial" w:cs="Arial" w:eastAsia="Arial" w:hAnsi="Arial"/>
                <w:sz w:val="22"/>
                <w:szCs w:val="22"/>
                <w:color w:val="auto"/>
              </w:rPr>
              <w:t>Name:David A. Levin</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5"/>
        </w:trPr>
        <w:tc>
          <w:tcPr>
            <w:tcW w:w="6380" w:type="dxa"/>
            <w:vAlign w:val="bottom"/>
            <w:gridSpan w:val="4"/>
          </w:tcPr>
          <w:p>
            <w:pPr>
              <w:spacing w:after="0"/>
              <w:rPr>
                <w:sz w:val="20"/>
                <w:szCs w:val="20"/>
                <w:color w:val="auto"/>
              </w:rPr>
            </w:pPr>
            <w:r>
              <w:rPr>
                <w:rFonts w:ascii="Arial" w:cs="Arial" w:eastAsia="Arial" w:hAnsi="Arial"/>
                <w:sz w:val="22"/>
                <w:szCs w:val="22"/>
                <w:color w:val="auto"/>
              </w:rPr>
              <w:t>Its: President, Chief Executive Officer</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679"/>
        </w:trPr>
        <w:tc>
          <w:tcPr>
            <w:tcW w:w="2040" w:type="dxa"/>
            <w:vAlign w:val="bottom"/>
            <w:gridSpan w:val="2"/>
          </w:tcPr>
          <w:p>
            <w:pPr>
              <w:spacing w:after="0"/>
              <w:rPr>
                <w:sz w:val="20"/>
                <w:szCs w:val="20"/>
                <w:color w:val="auto"/>
              </w:rPr>
            </w:pPr>
            <w:r>
              <w:rPr>
                <w:rFonts w:ascii="Arial" w:cs="Arial" w:eastAsia="Arial" w:hAnsi="Arial"/>
                <w:sz w:val="22"/>
                <w:szCs w:val="22"/>
                <w:color w:val="auto"/>
                <w:w w:val="92"/>
              </w:rPr>
              <w:t>/s/ BRIAN S. REAVES</w:t>
            </w:r>
          </w:p>
        </w:tc>
        <w:tc>
          <w:tcPr>
            <w:tcW w:w="4340" w:type="dxa"/>
            <w:vAlign w:val="bottom"/>
            <w:gridSpan w:val="2"/>
          </w:tcPr>
          <w:p>
            <w:pPr>
              <w:spacing w:after="0"/>
              <w:rPr>
                <w:sz w:val="24"/>
                <w:szCs w:val="24"/>
                <w:color w:val="auto"/>
              </w:rPr>
            </w:pPr>
          </w:p>
        </w:tc>
        <w:tc>
          <w:tcPr>
            <w:tcW w:w="4920" w:type="dxa"/>
            <w:vAlign w:val="bottom"/>
            <w:gridSpan w:val="2"/>
          </w:tcPr>
          <w:p>
            <w:pPr>
              <w:ind w:left="3000"/>
              <w:spacing w:after="0"/>
              <w:rPr>
                <w:sz w:val="20"/>
                <w:szCs w:val="20"/>
                <w:color w:val="auto"/>
              </w:rPr>
            </w:pPr>
            <w:r>
              <w:rPr>
                <w:rFonts w:ascii="Arial" w:cs="Arial" w:eastAsia="Arial" w:hAnsi="Arial"/>
                <w:sz w:val="22"/>
                <w:szCs w:val="22"/>
                <w:color w:val="auto"/>
                <w:w w:val="87"/>
              </w:rPr>
              <w:t>Date: October 8, 2018</w:t>
            </w:r>
          </w:p>
        </w:tc>
      </w:tr>
      <w:tr>
        <w:trPr>
          <w:trHeight w:val="274"/>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Brian S. Reaves</w:t>
            </w:r>
          </w:p>
        </w:tc>
        <w:tc>
          <w:tcPr>
            <w:tcW w:w="4340" w:type="dxa"/>
            <w:vAlign w:val="bottom"/>
            <w:gridSpan w:val="2"/>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i w:val="1"/>
          <w:iCs w:val="1"/>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FORM OF RELEASE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GENERAL RELEASE OF CLAIMS</w:t>
      </w:r>
    </w:p>
    <w:p>
      <w:pPr>
        <w:spacing w:after="0" w:line="206"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1. Brian S. Reaves (“</w:t>
      </w:r>
      <w:r>
        <w:rPr>
          <w:rFonts w:ascii="Arial" w:cs="Arial" w:eastAsia="Arial" w:hAnsi="Arial"/>
          <w:sz w:val="19"/>
          <w:szCs w:val="19"/>
          <w:u w:val="single" w:color="auto"/>
          <w:color w:val="auto"/>
        </w:rPr>
        <w:t>Executive</w:t>
      </w:r>
      <w:r>
        <w:rPr>
          <w:rFonts w:ascii="Arial" w:cs="Arial" w:eastAsia="Arial" w:hAnsi="Arial"/>
          <w:sz w:val="19"/>
          <w:szCs w:val="19"/>
          <w:color w:val="auto"/>
        </w:rPr>
        <w:t>”), for himself and his family, heirs, executors, administrators, legal representatives and their respective successors and assigns, in exchange for good and valuable consideration to be paid after the date of Executive’s termination as set forth in the Employment Agreement to which this release is attached as Exhibit A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does hereby release and forever discharge, to the maximum extent permitted by law, 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xml:space="preserve">”) from any and all actions, causes of action, suits, controversies, claims and demands whatsoever, for or by reason of any matter, cause or thing whatsoever, whether known or unknown including, but not limited to, the Age Discrimination in Employment Act (ADEA); the Massachusetts Law Against Discrimination, G.L. c. 151B; the Massachusetts Wage Payment Statute, G.L. c. 149, §§ 148, 148A, 148B, 149, 150, 150A-150C, 151, 152, 152A, </w:t>
      </w:r>
      <w:r>
        <w:rPr>
          <w:rFonts w:ascii="Arial" w:cs="Arial" w:eastAsia="Arial" w:hAnsi="Arial"/>
          <w:sz w:val="19"/>
          <w:szCs w:val="19"/>
          <w:u w:val="single" w:color="auto"/>
          <w:color w:val="auto"/>
        </w:rPr>
        <w:t>et seq</w:t>
      </w:r>
      <w:r>
        <w:rPr>
          <w:rFonts w:ascii="Arial" w:cs="Arial" w:eastAsia="Arial" w:hAnsi="Arial"/>
          <w:sz w:val="19"/>
          <w:szCs w:val="19"/>
          <w:color w:val="auto"/>
        </w:rPr>
        <w:t>.; the Massachusetts Wage and Hour laws, G.L. c. 151§1A et seq;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Executive to consult with an attorney of Executive’s choosing, and through this General Release of Claims advises Executive to consult with his attorney with respect to possible claims, including but not limited to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xml:space="preserve"> ”)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 w:name="page20"/>
    <w:bookmarkEnd w:id="19"/>
    <w:p>
      <w:pPr>
        <w:jc w:val="both"/>
        <w:ind w:firstLine="877"/>
        <w:spacing w:after="0" w:line="279" w:lineRule="auto"/>
        <w:rPr>
          <w:sz w:val="20"/>
          <w:szCs w:val="20"/>
          <w:color w:val="auto"/>
        </w:rPr>
      </w:pPr>
      <w:r>
        <w:rPr>
          <w:rFonts w:ascii="Arial" w:cs="Arial" w:eastAsia="Arial" w:hAnsi="Arial"/>
          <w:sz w:val="19"/>
          <w:szCs w:val="19"/>
          <w:color w:val="auto"/>
        </w:rPr>
        <w:t>2. 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Executive shall not have relinquished his right to commence a Proceeding to challenge whether Executive knowingly and voluntarily waived his rights under ADEA.</w:t>
      </w:r>
    </w:p>
    <w:p>
      <w:pPr>
        <w:spacing w:after="0" w:line="151"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3. 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calendar days following the date on which Executive signs this General Release of Claims within which to revoke it by providing a written notice of his revocation to the Company. Any such revocation shall be directed to the VP, Managing Director-Human Resources and must be delivered to the VP, Managing Director-Human Resources within that seven (7) day revocation period, or mailed to Destination XL Group, Inc., Attn: VP, Managing Director-Human Resources, 555 Turnpike Street, Canton, MA 02021 and postmarked within the seven (7) day revocation period.</w:t>
      </w:r>
    </w:p>
    <w:p>
      <w:pPr>
        <w:spacing w:after="0" w:line="15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4. 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8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5. 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p>
    <w:p>
      <w:pPr>
        <w:spacing w:after="0" w:line="18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6. 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Brian S. Reaves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1"/>
    </w:lvl>
    <w:lvl w:ilvl="1">
      <w:lvlJc w:val="left"/>
      <w:lvlText w:val="(%2)"/>
      <w:numFmt w:val="lowerLetter"/>
      <w:start w:val="3"/>
    </w:lvl>
  </w:abstractNum>
  <w:abstractNum w:abstractNumId="5">
    <w:nsid w:val="1190CDE7"/>
    <w:multiLevelType w:val="hybridMultilevel"/>
    <w:lvl w:ilvl="0">
      <w:lvlJc w:val="left"/>
      <w:lvlText w:val="%1."/>
      <w:numFmt w:val="decimal"/>
      <w:start w:val="4"/>
    </w:lvl>
    <w:lvl w:ilvl="1">
      <w:lvlJc w:val="left"/>
      <w:lvlText w:val="%2"/>
      <w:numFmt w:val="lowerLetter"/>
      <w:start w:val="1"/>
    </w:lvl>
  </w:abstractNum>
  <w:abstractNum w:abstractNumId="6">
    <w:nsid w:val="66EF438D"/>
    <w:multiLevelType w:val="hybridMultilevel"/>
    <w:lvl w:ilvl="0">
      <w:lvlJc w:val="left"/>
      <w:lvlText w:val="%1."/>
      <w:numFmt w:val="decimal"/>
      <w:start w:val="5"/>
    </w:lvl>
    <w:lvl w:ilvl="1">
      <w:lvlJc w:val="left"/>
      <w:lvlText w:val="(%2)"/>
      <w:numFmt w:val="lowerLetter"/>
      <w:start w:val="1"/>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7"/>
    </w:lvl>
  </w:abstractNum>
  <w:abstractNum w:abstractNumId="10">
    <w:nsid w:val="DED7263"/>
    <w:multiLevelType w:val="hybridMultilevel"/>
    <w:lvl w:ilvl="0">
      <w:lvlJc w:val="left"/>
      <w:lvlText w:val="(%1)"/>
      <w:numFmt w:val="lowerLetter"/>
      <w:start w:val="1"/>
    </w:lvl>
    <w:lvl w:ilvl="1">
      <w:lvlJc w:val="left"/>
      <w:lvlText w:val="(%2)"/>
      <w:numFmt w:val="lowerRoman"/>
      <w:start w:val="1"/>
    </w:lvl>
  </w:abstractNum>
  <w:abstractNum w:abstractNumId="11">
    <w:nsid w:val="7FDCC233"/>
    <w:multiLevelType w:val="hybridMultilevel"/>
    <w:lvl w:ilvl="0">
      <w:lvlJc w:val="left"/>
      <w:lvlText w:val="%1"/>
      <w:numFmt w:val="lowerLetter"/>
      <w:start w:val="1"/>
    </w:lvl>
    <w:lvl w:ilvl="1">
      <w:lvlJc w:val="left"/>
      <w:lvlText w:val="(%2)"/>
      <w:numFmt w:val="lowerRoman"/>
      <w:start w:val="1"/>
    </w:lvl>
  </w:abstractNum>
  <w:abstractNum w:abstractNumId="12">
    <w:nsid w:val="1BEFD79F"/>
    <w:multiLevelType w:val="hybridMultilevel"/>
    <w:lvl w:ilvl="0">
      <w:lvlJc w:val="left"/>
      <w:lvlText w:val="(%1)"/>
      <w:numFmt w:val="lowerLetter"/>
      <w:start w:val="3"/>
    </w:lvl>
    <w:lvl w:ilvl="1">
      <w:lvlJc w:val="left"/>
      <w:lvlText w:val="%2"/>
      <w:numFmt w:val="lowerRoman"/>
      <w:start w:val="1"/>
    </w:lvl>
  </w:abstractNum>
  <w:abstractNum w:abstractNumId="13">
    <w:nsid w:val="41A7C4C9"/>
    <w:multiLevelType w:val="hybridMultilevel"/>
    <w:lvl w:ilvl="0">
      <w:lvlJc w:val="left"/>
      <w:lvlText w:val="%1"/>
      <w:numFmt w:val="lowerLetter"/>
      <w:start w:val="1"/>
    </w:lvl>
    <w:lvl w:ilvl="1">
      <w:lvlJc w:val="left"/>
      <w:lvlText w:val="(%2)"/>
      <w:numFmt w:val="lowerLetter"/>
      <w:start w:val="6"/>
    </w:lvl>
  </w:abstractNum>
  <w:abstractNum w:abstractNumId="14">
    <w:nsid w:val="6B68079A"/>
    <w:multiLevelType w:val="hybridMultilevel"/>
    <w:lvl w:ilvl="0">
      <w:lvlJc w:val="left"/>
      <w:lvlText w:val="(%1)"/>
      <w:numFmt w:val="lowerLetter"/>
      <w:start w:val="61"/>
    </w:lvl>
    <w:lvl w:ilvl="1">
      <w:lvlJc w:val="left"/>
      <w:lvlText w:val="(%2)"/>
      <w:numFmt w:val="lowerLetter"/>
      <w:start w:val="10"/>
    </w:lvl>
  </w:abstractNum>
  <w:abstractNum w:abstractNumId="15">
    <w:nsid w:val="4E6AFB66"/>
    <w:multiLevelType w:val="hybridMultilevel"/>
    <w:lvl w:ilvl="0">
      <w:lvlJc w:val="left"/>
      <w:lvlText w:val="(%1)"/>
      <w:numFmt w:val="lowerLetter"/>
      <w:start w:val="11"/>
    </w:lvl>
    <w:lvl w:ilvl="1">
      <w:lvlJc w:val="left"/>
      <w:lvlText w:val="(%2)"/>
      <w:numFmt w:val="lowerRoman"/>
      <w:start w:val="1"/>
    </w:lvl>
  </w:abstractNum>
  <w:abstractNum w:abstractNumId="16">
    <w:nsid w:val="25E45D32"/>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2019-12-28T19:22:39Z</dcterms:created>
  <dcterms:modified xsi:type="dcterms:W3CDTF">2019-12-28T19:22:39Z</dcterms:modified>
</cp:coreProperties>
</file>