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80"/>
        <w:spacing w:after="0"/>
        <w:rPr>
          <w:sz w:val="20"/>
          <w:szCs w:val="20"/>
          <w:color w:val="auto"/>
        </w:rPr>
      </w:pPr>
      <w:r>
        <w:rPr>
          <w:rFonts w:ascii="Courier New" w:cs="Courier New" w:eastAsia="Courier New" w:hAnsi="Courier New"/>
          <w:sz w:val="18"/>
          <w:szCs w:val="18"/>
          <w:color w:val="auto"/>
        </w:rPr>
        <w:t>Page 1 of 11 Pages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Casual Male Retail Group,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Page 2 of 11 Pages</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No.5(continued)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Baron Capital Group,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w w:val="94"/>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w w:val="94"/>
              </w:rPr>
              <w:t>2,664,856</w:t>
            </w:r>
          </w:p>
        </w:tc>
      </w:tr>
    </w:tbl>
    <w:p>
      <w:pPr>
        <w:sectPr>
          <w:pgSz w:w="11900" w:h="16838" w:orient="portrait"/>
          <w:cols w:equalWidth="0" w:num="1">
            <w:col w:w="10219"/>
          </w:cols>
          <w:pgMar w:left="240" w:top="649" w:right="1440" w:bottom="0" w:gutter="0" w:footer="0" w:header="0"/>
        </w:sectPr>
      </w:pPr>
    </w:p>
    <w:bookmarkStart w:id="1" w:name="page2"/>
    <w:bookmarkEnd w:id="1"/>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6.4%</w:t>
      </w:r>
    </w:p>
    <w:p>
      <w:pPr>
        <w:spacing w:after="0" w:line="4" w:lineRule="exact"/>
        <w:rPr>
          <w:sz w:val="20"/>
          <w:szCs w:val="20"/>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42" w:right="1440" w:bottom="1440" w:gutter="0" w:footer="0" w:header="0"/>
        </w:sectPr>
      </w:pPr>
    </w:p>
    <w:bookmarkStart w:id="2" w:name="page3"/>
    <w:bookmarkEnd w:id="2"/>
    <w:p>
      <w:pPr>
        <w:ind w:left="4640"/>
        <w:spacing w:after="0"/>
        <w:rPr>
          <w:sz w:val="20"/>
          <w:szCs w:val="20"/>
          <w:color w:val="auto"/>
        </w:rPr>
      </w:pPr>
      <w:r>
        <w:rPr>
          <w:rFonts w:ascii="Courier New" w:cs="Courier New" w:eastAsia="Courier New" w:hAnsi="Courier New"/>
          <w:sz w:val="18"/>
          <w:szCs w:val="18"/>
          <w:color w:val="auto"/>
        </w:rPr>
        <w:t>Page 3 of 11 Pages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No.5(continued)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BAMCO, Inc.</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2,664,856</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6.4%</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3" w:name="page4"/>
    <w:bookmarkEnd w:id="3"/>
    <w:p>
      <w:pPr>
        <w:ind w:left="4640"/>
        <w:spacing w:after="0"/>
        <w:rPr>
          <w:sz w:val="20"/>
          <w:szCs w:val="20"/>
          <w:color w:val="auto"/>
        </w:rPr>
      </w:pPr>
      <w:r>
        <w:rPr>
          <w:rFonts w:ascii="Courier New" w:cs="Courier New" w:eastAsia="Courier New" w:hAnsi="Courier New"/>
          <w:sz w:val="18"/>
          <w:szCs w:val="18"/>
          <w:color w:val="auto"/>
        </w:rPr>
        <w:t>Page 4 of 11 Pages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No.5(continued)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Small Cap Fund</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540" w:right="5259" w:hanging="636"/>
        <w:spacing w:after="0" w:line="235" w:lineRule="auto"/>
        <w:tabs>
          <w:tab w:leader="none" w:pos="2435"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2,664,856</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6.4%</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Page 5 of 11 Pages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No.5(continued)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Ronald Baron</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w w:val="94"/>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2,664,856</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6.4%</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5" w:name="page6"/>
    <w:bookmarkEnd w:id="5"/>
    <w:p>
      <w:pPr>
        <w:ind w:left="4640"/>
        <w:spacing w:after="0"/>
        <w:rPr>
          <w:sz w:val="20"/>
          <w:szCs w:val="20"/>
          <w:color w:val="auto"/>
        </w:rPr>
      </w:pPr>
      <w:r>
        <w:rPr>
          <w:rFonts w:ascii="Courier New" w:cs="Courier New" w:eastAsia="Courier New" w:hAnsi="Courier New"/>
          <w:sz w:val="18"/>
          <w:szCs w:val="18"/>
          <w:color w:val="auto"/>
        </w:rPr>
        <w:t>Page 6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Casual Male Retail Group, Inc.</w:t>
      </w:r>
    </w:p>
    <w:p>
      <w:pPr>
        <w:spacing w:after="0" w:line="207" w:lineRule="exact"/>
        <w:rPr>
          <w:rFonts w:ascii="Courier New" w:cs="Courier New" w:eastAsia="Courier New" w:hAnsi="Courier New"/>
          <w:sz w:val="18"/>
          <w:szCs w:val="18"/>
          <w:color w:val="auto"/>
        </w:rPr>
      </w:pPr>
    </w:p>
    <w:p>
      <w:pPr>
        <w:ind w:left="1380" w:right="3779" w:hanging="529"/>
        <w:spacing w:after="0" w:line="235" w:lineRule="auto"/>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555 Turnpike Street</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Canton, MA 02021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380" w:hanging="529"/>
        <w:spacing w:after="0"/>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w:t>
      </w:r>
    </w:p>
    <w:p>
      <w:pPr>
        <w:spacing w:after="0" w:line="4" w:lineRule="exact"/>
        <w:rPr>
          <w:rFonts w:ascii="Courier New" w:cs="Courier New" w:eastAsia="Courier New" w:hAnsi="Courier New"/>
          <w:sz w:val="18"/>
          <w:szCs w:val="18"/>
          <w:color w:val="auto"/>
        </w:rPr>
      </w:pPr>
    </w:p>
    <w:p>
      <w:pPr>
        <w:ind w:left="1380" w:right="5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Capital Group, Inc. ("BCG") BAMCO, Inc. ("BAMCO")</w:t>
      </w:r>
    </w:p>
    <w:p>
      <w:pPr>
        <w:spacing w:after="0" w:line="5" w:lineRule="exact"/>
        <w:rPr>
          <w:rFonts w:ascii="Courier New" w:cs="Courier New" w:eastAsia="Courier New" w:hAnsi="Courier New"/>
          <w:sz w:val="18"/>
          <w:szCs w:val="18"/>
          <w:color w:val="auto"/>
        </w:rPr>
      </w:pPr>
    </w:p>
    <w:p>
      <w:pPr>
        <w:ind w:left="138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Small Cap Fund ("BSC") Ronald Baron</w:t>
      </w:r>
    </w:p>
    <w:p>
      <w:pPr>
        <w:spacing w:after="0" w:line="5" w:lineRule="exact"/>
        <w:rPr>
          <w:rFonts w:ascii="Courier New" w:cs="Courier New" w:eastAsia="Courier New" w:hAnsi="Courier New"/>
          <w:sz w:val="18"/>
          <w:szCs w:val="18"/>
          <w:color w:val="auto"/>
        </w:rPr>
      </w:pPr>
    </w:p>
    <w:p>
      <w:pPr>
        <w:ind w:left="1580" w:right="4939" w:hanging="729"/>
        <w:spacing w:after="0" w:line="235"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767 Fifth Avenue</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10153</w:t>
      </w:r>
    </w:p>
    <w:p>
      <w:pPr>
        <w:ind w:left="1380" w:hanging="529"/>
        <w:spacing w:after="0" w:line="238" w:lineRule="auto"/>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5" w:lineRule="exact"/>
        <w:rPr>
          <w:sz w:val="20"/>
          <w:szCs w:val="20"/>
          <w:color w:val="auto"/>
        </w:rPr>
      </w:pPr>
    </w:p>
    <w:p>
      <w:pPr>
        <w:ind w:left="1580" w:right="1999"/>
        <w:spacing w:after="0" w:line="236" w:lineRule="auto"/>
        <w:rPr>
          <w:sz w:val="20"/>
          <w:szCs w:val="20"/>
          <w:color w:val="auto"/>
        </w:rPr>
      </w:pPr>
      <w:r>
        <w:rPr>
          <w:rFonts w:ascii="Courier New" w:cs="Courier New" w:eastAsia="Courier New" w:hAnsi="Courier New"/>
          <w:sz w:val="18"/>
          <w:szCs w:val="18"/>
          <w:color w:val="auto"/>
        </w:rPr>
        <w:t>BCG and BAMCO are New York corporations. Baron Small Cap Fund is a series of a Massachusetts Business Trust. Ronald Baron is a citizen of the United States.</w:t>
      </w:r>
    </w:p>
    <w:p>
      <w:pPr>
        <w:spacing w:after="0" w:line="6" w:lineRule="exact"/>
        <w:rPr>
          <w:sz w:val="20"/>
          <w:szCs w:val="20"/>
          <w:color w:val="auto"/>
        </w:rPr>
      </w:pPr>
    </w:p>
    <w:p>
      <w:pPr>
        <w:ind w:left="1580" w:right="6099" w:hanging="729"/>
        <w:spacing w:after="0" w:line="235"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148711104</w:t>
      </w:r>
    </w:p>
    <w:p>
      <w:pPr>
        <w:spacing w:after="0" w:line="200" w:lineRule="exact"/>
        <w:rPr>
          <w:sz w:val="20"/>
          <w:szCs w:val="20"/>
          <w:color w:val="auto"/>
        </w:rPr>
      </w:pP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PERSONS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BCG and Ronald Baron are:</w:t>
      </w:r>
    </w:p>
    <w:p>
      <w:pPr>
        <w:ind w:left="1480"/>
        <w:spacing w:after="0" w:line="238" w:lineRule="auto"/>
        <w:rPr>
          <w:sz w:val="20"/>
          <w:szCs w:val="20"/>
          <w:color w:val="auto"/>
        </w:rPr>
      </w:pPr>
      <w:r>
        <w:rPr>
          <w:rFonts w:ascii="Courier New" w:cs="Courier New" w:eastAsia="Courier New" w:hAnsi="Courier New"/>
          <w:sz w:val="18"/>
          <w:szCs w:val="18"/>
          <w:color w:val="auto"/>
        </w:rPr>
        <w:t>(g) Parent holding companies, in accordance with</w:t>
      </w:r>
    </w:p>
    <w:p>
      <w:pPr>
        <w:ind w:left="1900"/>
        <w:spacing w:after="0"/>
        <w:rPr>
          <w:sz w:val="20"/>
          <w:szCs w:val="20"/>
          <w:color w:val="auto"/>
        </w:rPr>
      </w:pPr>
      <w:r>
        <w:rPr>
          <w:rFonts w:ascii="Courier New" w:cs="Courier New" w:eastAsia="Courier New" w:hAnsi="Courier New"/>
          <w:sz w:val="18"/>
          <w:szCs w:val="18"/>
          <w:color w:val="auto"/>
        </w:rPr>
        <w:t>Section 240.13d-1(b)(ii)(G)</w:t>
      </w:r>
    </w:p>
    <w:p>
      <w:pPr>
        <w:ind w:left="860"/>
        <w:spacing w:after="0" w:line="237" w:lineRule="auto"/>
        <w:rPr>
          <w:sz w:val="20"/>
          <w:szCs w:val="20"/>
          <w:color w:val="auto"/>
        </w:rPr>
      </w:pPr>
      <w:r>
        <w:rPr>
          <w:rFonts w:ascii="Courier New" w:cs="Courier New" w:eastAsia="Courier New" w:hAnsi="Courier New"/>
          <w:sz w:val="18"/>
          <w:szCs w:val="18"/>
          <w:color w:val="auto"/>
        </w:rPr>
        <w:t>BAMCO is:</w:t>
      </w:r>
    </w:p>
    <w:p>
      <w:pPr>
        <w:spacing w:after="0" w:line="5" w:lineRule="exact"/>
        <w:rPr>
          <w:sz w:val="20"/>
          <w:szCs w:val="20"/>
          <w:color w:val="auto"/>
        </w:rPr>
      </w:pPr>
    </w:p>
    <w:p>
      <w:pPr>
        <w:ind w:left="1900" w:right="3039" w:hanging="419"/>
        <w:spacing w:after="0" w:line="235" w:lineRule="auto"/>
        <w:tabs>
          <w:tab w:leader="none" w:pos="1880" w:val="left"/>
        </w:tabs>
        <w:rPr>
          <w:sz w:val="20"/>
          <w:szCs w:val="20"/>
          <w:color w:val="auto"/>
        </w:rPr>
      </w:pPr>
      <w:r>
        <w:rPr>
          <w:rFonts w:ascii="Courier New" w:cs="Courier New" w:eastAsia="Courier New" w:hAnsi="Courier New"/>
          <w:sz w:val="18"/>
          <w:szCs w:val="18"/>
          <w:color w:val="auto"/>
        </w:rPr>
        <w:t>(e)</w:t>
        <w:tab/>
        <w:t>Investment Adviser registered under Section 203 of the Investment Advisers Act of 1940</w:t>
      </w:r>
    </w:p>
    <w:p>
      <w:pPr>
        <w:ind w:left="860"/>
        <w:spacing w:after="0"/>
        <w:rPr>
          <w:sz w:val="20"/>
          <w:szCs w:val="20"/>
          <w:color w:val="auto"/>
        </w:rPr>
      </w:pPr>
      <w:r>
        <w:rPr>
          <w:rFonts w:ascii="Courier New" w:cs="Courier New" w:eastAsia="Courier New" w:hAnsi="Courier New"/>
          <w:sz w:val="18"/>
          <w:szCs w:val="18"/>
          <w:color w:val="auto"/>
        </w:rPr>
        <w:t>BSC is:</w:t>
      </w:r>
    </w:p>
    <w:p>
      <w:pPr>
        <w:spacing w:after="0" w:line="4" w:lineRule="exact"/>
        <w:rPr>
          <w:sz w:val="20"/>
          <w:szCs w:val="20"/>
          <w:color w:val="auto"/>
        </w:rPr>
      </w:pPr>
    </w:p>
    <w:p>
      <w:pPr>
        <w:ind w:left="1900" w:right="2839" w:hanging="417"/>
        <w:spacing w:after="0" w:line="235" w:lineRule="auto"/>
        <w:tabs>
          <w:tab w:leader="none" w:pos="19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w:t>
      </w:r>
    </w:p>
    <w:p>
      <w:pPr>
        <w:ind w:left="860"/>
        <w:spacing w:after="0"/>
        <w:rPr>
          <w:sz w:val="20"/>
          <w:szCs w:val="20"/>
          <w:color w:val="auto"/>
        </w:rPr>
      </w:pPr>
      <w:r>
        <w:rPr>
          <w:rFonts w:ascii="Courier New" w:cs="Courier New" w:eastAsia="Courier New" w:hAnsi="Courier New"/>
          <w:sz w:val="18"/>
          <w:szCs w:val="18"/>
          <w:color w:val="auto"/>
        </w:rPr>
        <w:t>All persons filing are:</w:t>
      </w:r>
    </w:p>
    <w:p>
      <w:pPr>
        <w:ind w:left="1480"/>
        <w:spacing w:after="0" w:line="238" w:lineRule="auto"/>
        <w:rPr>
          <w:sz w:val="20"/>
          <w:szCs w:val="20"/>
          <w:color w:val="auto"/>
        </w:rPr>
      </w:pPr>
      <w:r>
        <w:rPr>
          <w:rFonts w:ascii="Courier New" w:cs="Courier New" w:eastAsia="Courier New" w:hAnsi="Courier New"/>
          <w:sz w:val="18"/>
          <w:szCs w:val="18"/>
          <w:color w:val="auto"/>
        </w:rPr>
        <w:t>(j) Group, in accordance with Rule 13d-1(b)(1)(ii)(J)</w:t>
      </w:r>
    </w:p>
    <w:p>
      <w:pPr>
        <w:sectPr>
          <w:pgSz w:w="11900" w:h="16838" w:orient="portrait"/>
          <w:cols w:equalWidth="0" w:num="1">
            <w:col w:w="10219"/>
          </w:cols>
          <w:pgMar w:left="240" w:top="514" w:right="1440" w:bottom="1440" w:gutter="0" w:footer="0" w:header="0"/>
        </w:sectPr>
      </w:pPr>
    </w:p>
    <w:bookmarkStart w:id="6" w:name="page7"/>
    <w:bookmarkEnd w:id="6"/>
    <w:p>
      <w:pPr>
        <w:ind w:left="4640"/>
        <w:spacing w:after="0"/>
        <w:rPr>
          <w:sz w:val="20"/>
          <w:szCs w:val="20"/>
          <w:color w:val="auto"/>
        </w:rPr>
      </w:pPr>
      <w:r>
        <w:rPr>
          <w:rFonts w:ascii="Courier New" w:cs="Courier New" w:eastAsia="Courier New" w:hAnsi="Courier New"/>
          <w:sz w:val="18"/>
          <w:szCs w:val="18"/>
          <w:color w:val="auto"/>
        </w:rPr>
        <w:t>Page 7 of 11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(a) Amount Beneficially Owned as of December 31, 2007:</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320" w:type="dxa"/>
            <w:vAlign w:val="bottom"/>
          </w:tcPr>
          <w:p>
            <w:pPr>
              <w:ind w:left="620"/>
              <w:spacing w:after="0"/>
              <w:rPr>
                <w:sz w:val="20"/>
                <w:szCs w:val="20"/>
                <w:color w:val="auto"/>
              </w:rPr>
            </w:pPr>
            <w:r>
              <w:rPr>
                <w:rFonts w:ascii="Courier New" w:cs="Courier New" w:eastAsia="Courier New" w:hAnsi="Courier New"/>
                <w:sz w:val="18"/>
                <w:szCs w:val="18"/>
                <w:color w:val="auto"/>
              </w:rPr>
              <w:t>BCG:</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2,664,856</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BAMCO:</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2,664,856</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BSC:</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2,664,856</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Ronald Baron: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2,664,856</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w w:val="96"/>
              </w:rPr>
              <w:t>(b) Percent of Class#:</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2320" w:type="dxa"/>
            <w:vAlign w:val="bottom"/>
          </w:tcPr>
          <w:p>
            <w:pPr>
              <w:ind w:left="620"/>
              <w:spacing w:after="0"/>
              <w:rPr>
                <w:sz w:val="20"/>
                <w:szCs w:val="20"/>
                <w:color w:val="auto"/>
              </w:rPr>
            </w:pPr>
            <w:r>
              <w:rPr>
                <w:rFonts w:ascii="Courier New" w:cs="Courier New" w:eastAsia="Courier New" w:hAnsi="Courier New"/>
                <w:sz w:val="18"/>
                <w:szCs w:val="18"/>
                <w:color w:val="auto"/>
              </w:rPr>
              <w:t>BCG:</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6.4%</w:t>
            </w:r>
          </w:p>
        </w:tc>
        <w:tc>
          <w:tcPr>
            <w:tcW w:w="680" w:type="dxa"/>
            <w:vAlign w:val="bottom"/>
          </w:tcPr>
          <w:p>
            <w:pPr>
              <w:spacing w:after="0"/>
              <w:rPr>
                <w:sz w:val="24"/>
                <w:szCs w:val="24"/>
                <w:color w:val="auto"/>
              </w:rPr>
            </w:pP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BAMCO:</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w:t>
            </w:r>
          </w:p>
        </w:tc>
        <w:tc>
          <w:tcPr>
            <w:tcW w:w="680" w:type="dxa"/>
            <w:vAlign w:val="bottom"/>
          </w:tcPr>
          <w:p>
            <w:pPr>
              <w:spacing w:after="0"/>
              <w:rPr>
                <w:sz w:val="17"/>
                <w:szCs w:val="17"/>
                <w:color w:val="auto"/>
              </w:rPr>
            </w:pP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BSC:</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w:t>
            </w:r>
          </w:p>
        </w:tc>
        <w:tc>
          <w:tcPr>
            <w:tcW w:w="680" w:type="dxa"/>
            <w:vAlign w:val="bottom"/>
          </w:tcPr>
          <w:p>
            <w:pPr>
              <w:spacing w:after="0"/>
              <w:rPr>
                <w:sz w:val="17"/>
                <w:szCs w:val="17"/>
                <w:color w:val="auto"/>
              </w:rPr>
            </w:pP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Ronald Baron</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w:t>
            </w:r>
          </w:p>
        </w:tc>
        <w:tc>
          <w:tcPr>
            <w:tcW w:w="6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3579" w:hanging="104"/>
        <w:spacing w:after="0" w:line="237" w:lineRule="auto"/>
        <w:rPr>
          <w:sz w:val="20"/>
          <w:szCs w:val="20"/>
          <w:color w:val="auto"/>
        </w:rPr>
      </w:pPr>
      <w:r>
        <w:rPr>
          <w:rFonts w:ascii="Courier New" w:cs="Courier New" w:eastAsia="Courier New" w:hAnsi="Courier New"/>
          <w:sz w:val="18"/>
          <w:szCs w:val="18"/>
          <w:color w:val="auto"/>
        </w:rPr>
        <w:t>^BCG and Ronald Baron disclaim beneficial ownership of shares held by their controlled entities (or the investment advisory clients thereof) to the extent such shares are held by persons other than BCG and Ronald Baron. BAMCO disclaims beneficial ownership of shares held by its investment advisory clients to the extent such shares are held by persons other than BAMCO and its affiliates.</w:t>
      </w:r>
    </w:p>
    <w:p>
      <w:pPr>
        <w:sectPr>
          <w:pgSz w:w="11900" w:h="16838" w:orient="portrait"/>
          <w:cols w:equalWidth="0" w:num="1">
            <w:col w:w="10219"/>
          </w:cols>
          <w:pgMar w:left="240" w:top="514" w:right="1440" w:bottom="1440" w:gutter="0" w:footer="0" w:header="0"/>
        </w:sectPr>
      </w:pPr>
    </w:p>
    <w:bookmarkStart w:id="7" w:name="page8"/>
    <w:bookmarkEnd w:id="7"/>
    <w:p>
      <w:pPr>
        <w:ind w:left="5060"/>
        <w:spacing w:after="0"/>
        <w:rPr>
          <w:sz w:val="20"/>
          <w:szCs w:val="20"/>
          <w:color w:val="auto"/>
        </w:rPr>
      </w:pPr>
      <w:r>
        <w:rPr>
          <w:rFonts w:ascii="Courier New" w:cs="Courier New" w:eastAsia="Courier New" w:hAnsi="Courier New"/>
          <w:sz w:val="18"/>
          <w:szCs w:val="18"/>
          <w:color w:val="auto"/>
        </w:rPr>
        <w:t>Page 8 of 11 Pages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Number of shares as to which such person has:</w:t>
      </w:r>
    </w:p>
    <w:p>
      <w:pPr>
        <w:ind w:left="2320" w:hanging="627"/>
        <w:spacing w:after="0" w:line="238" w:lineRule="auto"/>
        <w:tabs>
          <w:tab w:leader="none" w:pos="2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0</w:t>
      </w:r>
    </w:p>
    <w:tbl>
      <w:tblPr>
        <w:tblLayout w:type="fixed"/>
        <w:tblInd w:w="274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BSC:</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ind w:left="2320" w:hanging="627"/>
        <w:spacing w:after="0" w:line="238" w:lineRule="auto"/>
        <w:tabs>
          <w:tab w:leader="none" w:pos="2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2,664,856</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2,664,856</w:t>
      </w:r>
    </w:p>
    <w:p>
      <w:pPr>
        <w:spacing w:after="0" w:line="4"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0</w:t>
      </w:r>
    </w:p>
    <w:tbl>
      <w:tblPr>
        <w:tblLayout w:type="fixed"/>
        <w:tblInd w:w="274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BSC:</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320" w:right="4419" w:hanging="627"/>
        <w:spacing w:after="0" w:line="235" w:lineRule="auto"/>
        <w:tabs>
          <w:tab w:leader="none" w:pos="23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2,664,856</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2,664,856</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347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The advisory clients of BAMCO have the right to receive</w:t>
      </w:r>
    </w:p>
    <w:p>
      <w:pPr>
        <w:ind w:right="2739"/>
        <w:spacing w:after="0" w:line="275" w:lineRule="auto"/>
        <w:rPr>
          <w:sz w:val="20"/>
          <w:szCs w:val="20"/>
          <w:color w:val="auto"/>
        </w:rPr>
      </w:pPr>
      <w:r>
        <w:rPr>
          <w:rFonts w:ascii="Courier New" w:cs="Courier New" w:eastAsia="Courier New" w:hAnsi="Courier New"/>
          <w:sz w:val="16"/>
          <w:szCs w:val="16"/>
          <w:color w:val="auto"/>
        </w:rPr>
        <w:t>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182"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BAMCO is a subsidiary of BCG. BSC is an investment advisory client of BAMCO. Ronald Baron owns a controlling interest in BCG.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w:t>
      </w:r>
    </w:p>
    <w:p>
      <w:pPr>
        <w:spacing w:after="0" w:line="200" w:lineRule="exact"/>
        <w:rPr>
          <w:sz w:val="20"/>
          <w:szCs w:val="20"/>
          <w:color w:val="auto"/>
        </w:rPr>
      </w:pPr>
    </w:p>
    <w:p>
      <w:pPr>
        <w:spacing w:after="0" w:line="209" w:lineRule="exact"/>
        <w:rPr>
          <w:sz w:val="20"/>
          <w:szCs w:val="20"/>
          <w:color w:val="auto"/>
        </w:rPr>
      </w:pPr>
    </w:p>
    <w:p>
      <w:pPr>
        <w:ind w:left="220" w:right="4199" w:hanging="212"/>
        <w:spacing w:after="0" w:line="268" w:lineRule="auto"/>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investment advisory agreements with its clients, BAMCO has been given the discretion to dispose</w:t>
      </w:r>
    </w:p>
    <w:p>
      <w:pPr>
        <w:ind w:left="220" w:right="347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the disposition of the securities in the advisory accounts. All such discretionary agreements, are however, revocable.</w:t>
      </w:r>
    </w:p>
    <w:p>
      <w:pPr>
        <w:sectPr>
          <w:pgSz w:w="11900" w:h="16838" w:orient="portrait"/>
          <w:cols w:equalWidth="0" w:num="1">
            <w:col w:w="10219"/>
          </w:cols>
          <w:pgMar w:left="240" w:top="514" w:right="1440" w:bottom="1440" w:gutter="0" w:footer="0" w:header="0"/>
        </w:sectPr>
      </w:pPr>
    </w:p>
    <w:bookmarkStart w:id="8" w:name="page9"/>
    <w:bookmarkEnd w:id="8"/>
    <w:p>
      <w:pPr>
        <w:ind w:left="5160"/>
        <w:spacing w:after="0"/>
        <w:tabs>
          <w:tab w:leader="none" w:pos="57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9 of 11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tab/>
        <w:t>February 14, 2008</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 and</w:t>
      </w:r>
    </w:p>
    <w:p>
      <w:pPr>
        <w:ind w:left="2540"/>
        <w:spacing w:after="0" w:line="238" w:lineRule="auto"/>
        <w:rPr>
          <w:sz w:val="20"/>
          <w:szCs w:val="20"/>
          <w:color w:val="auto"/>
        </w:rPr>
      </w:pPr>
      <w:r>
        <w:rPr>
          <w:rFonts w:ascii="Courier New" w:cs="Courier New" w:eastAsia="Courier New" w:hAnsi="Courier New"/>
          <w:sz w:val="18"/>
          <w:szCs w:val="18"/>
          <w:color w:val="auto"/>
        </w:rPr>
        <w:t>BAMCO,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Small Cap Fund</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p>
      <w:pPr>
        <w:sectPr>
          <w:pgSz w:w="11900" w:h="16838" w:orient="portrait"/>
          <w:cols w:equalWidth="0" w:num="1">
            <w:col w:w="10219"/>
          </w:cols>
          <w:pgMar w:left="240" w:top="514" w:right="1440" w:bottom="1440" w:gutter="0" w:footer="0" w:header="0"/>
        </w:sectPr>
      </w:pPr>
    </w:p>
    <w:bookmarkStart w:id="9" w:name="page10"/>
    <w:bookmarkEnd w:id="9"/>
    <w:p>
      <w:pPr>
        <w:ind w:left="4740"/>
        <w:spacing w:after="0"/>
        <w:rPr>
          <w:sz w:val="20"/>
          <w:szCs w:val="20"/>
          <w:color w:val="auto"/>
        </w:rPr>
      </w:pPr>
      <w:r>
        <w:rPr>
          <w:rFonts w:ascii="Courier New" w:cs="Courier New" w:eastAsia="Courier New" w:hAnsi="Courier New"/>
          <w:sz w:val="18"/>
          <w:szCs w:val="18"/>
          <w:color w:val="auto"/>
        </w:rPr>
        <w:t>Page 10 of 11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each hereby agree that the Schedule 13G Amendment No.5 dated February 14, 2008, which relates to the common stock of Casual Male Retail Group, Inc., to be filed jointly on behalf of each of them for the reasons stated therein, and any amendments thereto shall be filed jointly by the undersigned.</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2008</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 and</w:t>
      </w:r>
    </w:p>
    <w:p>
      <w:pPr>
        <w:ind w:left="2540"/>
        <w:spacing w:after="0" w:line="238" w:lineRule="auto"/>
        <w:rPr>
          <w:sz w:val="20"/>
          <w:szCs w:val="20"/>
          <w:color w:val="auto"/>
        </w:rPr>
      </w:pPr>
      <w:r>
        <w:rPr>
          <w:rFonts w:ascii="Courier New" w:cs="Courier New" w:eastAsia="Courier New" w:hAnsi="Courier New"/>
          <w:sz w:val="18"/>
          <w:szCs w:val="18"/>
          <w:color w:val="auto"/>
        </w:rPr>
        <w:t>BAMCO,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Small Cap Fund</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2"/>
      <w:numFmt w:val="decimal"/>
      <w:start w:val="1"/>
    </w:lvl>
  </w:abstractNum>
  <w:abstractNum w:abstractNumId="1">
    <w:nsid w:val="25E45D32"/>
    <w:multiLevelType w:val="hybridMultilevel"/>
    <w:lvl w:ilvl="0">
      <w:lvlJc w:val="left"/>
      <w:lvlText w:val="-"/>
      <w:numFmt w:val="bullet"/>
      <w:start w:val="1"/>
    </w:lvl>
    <w:lvl w:ilvl="1">
      <w:lvlJc w:val="left"/>
      <w:lvlText w:val="(%2)"/>
      <w:numFmt w:val="lowerLetter"/>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lvl w:ilvl="1">
      <w:lvlJc w:val="left"/>
      <w:lvlText w:val="%2"/>
      <w:numFmt w:val="decimal"/>
      <w:start w:val="1"/>
    </w:lvl>
  </w:abstractNum>
  <w:abstractNum w:abstractNumId="7">
    <w:nsid w:val="62BBD95A"/>
    <w:multiLevelType w:val="hybridMultilevel"/>
    <w:lvl w:ilvl="0">
      <w:lvlJc w:val="left"/>
      <w:lvlText w:val="-"/>
      <w:numFmt w:val="bullet"/>
      <w:start w:val="1"/>
    </w:lvl>
    <w:lvl w:ilvl="1">
      <w:lvlJc w:val="left"/>
      <w:lvlText w:val="(%2)"/>
      <w:numFmt w:val="lowerLetter"/>
      <w:start w:val="1"/>
    </w:lvl>
  </w:abstractNum>
  <w:abstractNum w:abstractNumId="8">
    <w:nsid w:val="436C6125"/>
    <w:multiLevelType w:val="hybridMultilevel"/>
    <w:lvl w:ilvl="0">
      <w:lvlJc w:val="left"/>
      <w:lvlText w:val="-"/>
      <w:numFmt w:val="bullet"/>
      <w:start w:val="1"/>
    </w:lvl>
    <w:lvl w:ilvl="1">
      <w:lvlJc w:val="left"/>
      <w:lvlText w:val="8"/>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lvl w:ilvl="1">
      <w:lvlJc w:val="left"/>
      <w:lvlText w:val="%2"/>
      <w:numFmt w:val="decimal"/>
      <w:start w:val="1"/>
    </w:lvl>
  </w:abstractNum>
  <w:abstractNum w:abstractNumId="13">
    <w:nsid w:val="2D1D5AE9"/>
    <w:multiLevelType w:val="hybridMultilevel"/>
    <w:lvl w:ilvl="0">
      <w:lvlJc w:val="left"/>
      <w:lvlText w:val="-"/>
      <w:numFmt w:val="bullet"/>
      <w:start w:val="1"/>
    </w:lvl>
    <w:lvl w:ilvl="1">
      <w:lvlJc w:val="left"/>
      <w:lvlText w:val="(%2)"/>
      <w:numFmt w:val="lowerLetter"/>
      <w:start w:val="1"/>
    </w:lvl>
  </w:abstractNum>
  <w:abstractNum w:abstractNumId="14">
    <w:nsid w:val="6763845E"/>
    <w:multiLevelType w:val="hybridMultilevel"/>
    <w:lvl w:ilvl="0">
      <w:lvlJc w:val="left"/>
      <w:lvlText w:val="-"/>
      <w:numFmt w:val="bullet"/>
      <w:start w:val="1"/>
    </w:lvl>
    <w:lvl w:ilvl="1">
      <w:lvlJc w:val="left"/>
      <w:lvlText w:val="8"/>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lvl w:ilvl="1">
      <w:lvlJc w:val="left"/>
      <w:lvlText w:val="%2"/>
      <w:numFmt w:val="decimal"/>
      <w:start w:val="1"/>
    </w:lvl>
  </w:abstractNum>
  <w:abstractNum w:abstractNumId="19">
    <w:nsid w:val="B03E0C6"/>
    <w:multiLevelType w:val="hybridMultilevel"/>
    <w:lvl w:ilvl="0">
      <w:lvlJc w:val="left"/>
      <w:lvlText w:val="-"/>
      <w:numFmt w:val="bullet"/>
      <w:start w:val="1"/>
    </w:lvl>
    <w:lvl w:ilvl="1">
      <w:lvlJc w:val="left"/>
      <w:lvlText w:val="(%2)"/>
      <w:numFmt w:val="lowerLetter"/>
      <w:start w:val="1"/>
    </w:lvl>
  </w:abstractNum>
  <w:abstractNum w:abstractNumId="20">
    <w:nsid w:val="189A769B"/>
    <w:multiLevelType w:val="hybridMultilevel"/>
    <w:lvl w:ilvl="0">
      <w:lvlJc w:val="left"/>
      <w:lvlText w:val="-"/>
      <w:numFmt w:val="bullet"/>
      <w:start w:val="1"/>
    </w:lvl>
    <w:lvl w:ilvl="1">
      <w:lvlJc w:val="left"/>
      <w:lvlText w:val="8"/>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4"/>
    </w:lvl>
  </w:abstractNum>
  <w:abstractNum w:abstractNumId="27">
    <w:nsid w:val="8138641"/>
    <w:multiLevelType w:val="hybridMultilevel"/>
    <w:lvl w:ilvl="0">
      <w:lvlJc w:val="left"/>
      <w:lvlText w:val="(%1)"/>
      <w:numFmt w:val="lowerLetter"/>
      <w:start w:val="4"/>
    </w:lvl>
  </w:abstractNum>
  <w:abstractNum w:abstractNumId="28">
    <w:nsid w:val="1E7FF521"/>
    <w:multiLevelType w:val="hybridMultilevel"/>
    <w:lvl w:ilvl="0">
      <w:lvlJc w:val="left"/>
      <w:lvlText w:val="(%1)"/>
      <w:numFmt w:val="lowerRoman"/>
      <w:start w:val="1"/>
    </w:lvl>
  </w:abstractNum>
  <w:abstractNum w:abstractNumId="29">
    <w:nsid w:val="7C3DBD3D"/>
    <w:multiLevelType w:val="hybridMultilevel"/>
    <w:lvl w:ilvl="0">
      <w:lvlJc w:val="left"/>
      <w:lvlText w:val="(%1)"/>
      <w:numFmt w:val="lowerRoman"/>
      <w:start w:val="2"/>
    </w:lvl>
  </w:abstractNum>
  <w:abstractNum w:abstractNumId="30">
    <w:nsid w:val="737B8DDC"/>
    <w:multiLevelType w:val="hybridMultilevel"/>
    <w:lvl w:ilvl="0">
      <w:lvlJc w:val="left"/>
      <w:lvlText w:val="(%1)"/>
      <w:numFmt w:val="lowerRoman"/>
      <w:start w:val="4"/>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2019-12-20T07:35:07Z</dcterms:created>
  <dcterms:modified xsi:type="dcterms:W3CDTF">2019-12-20T07:35:07Z</dcterms:modified>
</cp:coreProperties>
</file>