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238" w:lineRule="auto"/>
        <w:rPr>
          <w:sz w:val="20"/>
          <w:szCs w:val="20"/>
          <w:color w:val="auto"/>
        </w:rPr>
      </w:pPr>
      <w:r>
        <w:rPr>
          <w:rFonts w:ascii="Courier New" w:cs="Courier New" w:eastAsia="Courier New" w:hAnsi="Courier New"/>
          <w:sz w:val="18"/>
          <w:szCs w:val="18"/>
          <w:color w:val="auto"/>
        </w:rPr>
        <w:t>Designs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 25057L102</w:t>
      </w:r>
    </w:p>
    <w:p>
      <w:pPr>
        <w:spacing w:after="0" w:line="238" w:lineRule="auto"/>
        <w:rPr>
          <w:sz w:val="20"/>
          <w:szCs w:val="20"/>
          <w:color w:val="auto"/>
        </w:rPr>
      </w:pPr>
      <w:r>
        <w:rPr>
          <w:rFonts w:ascii="Courier New" w:cs="Courier New" w:eastAsia="Courier New" w:hAnsi="Courier New"/>
          <w:sz w:val="18"/>
          <w:szCs w:val="18"/>
          <w:color w:val="auto"/>
        </w:rPr>
        <w:t>Filing Fee: No</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25057L102</w:t>
      </w:r>
    </w:p>
    <w:p>
      <w:pPr>
        <w:spacing w:after="0"/>
        <w:tabs>
          <w:tab w:leader="none" w:pos="5140" w:val="left"/>
        </w:tabs>
        <w:rPr>
          <w:sz w:val="20"/>
          <w:szCs w:val="20"/>
          <w:color w:val="auto"/>
        </w:rPr>
      </w:pPr>
      <w:r>
        <w:rPr>
          <w:rFonts w:ascii="Courier New" w:cs="Courier New" w:eastAsia="Courier New" w:hAnsi="Courier New"/>
          <w:sz w:val="18"/>
          <w:szCs w:val="18"/>
          <w:color w:val="auto"/>
        </w:rPr>
        <w:t>Item 1: Reporting Person - FMR Corp. - (Tax ID:</w:t>
      </w:r>
      <w:r>
        <w:rPr>
          <w:sz w:val="20"/>
          <w:szCs w:val="20"/>
          <w:color w:val="auto"/>
        </w:rPr>
        <w:tab/>
      </w:r>
      <w:r>
        <w:rPr>
          <w:rFonts w:ascii="Courier New" w:cs="Courier New" w:eastAsia="Courier New" w:hAnsi="Courier New"/>
          <w:sz w:val="16"/>
          <w:szCs w:val="16"/>
          <w:color w:val="auto"/>
        </w:rPr>
        <w:t>04-2507163)</w:t>
      </w:r>
    </w:p>
    <w:p>
      <w:pPr>
        <w:spacing w:after="0"/>
        <w:rPr>
          <w:sz w:val="20"/>
          <w:szCs w:val="20"/>
          <w:color w:val="auto"/>
        </w:rPr>
      </w:pPr>
      <w:r>
        <w:rPr>
          <w:rFonts w:ascii="Courier New" w:cs="Courier New" w:eastAsia="Courier New" w:hAnsi="Courier New"/>
          <w:sz w:val="18"/>
          <w:szCs w:val="18"/>
          <w:color w:val="auto"/>
        </w:rPr>
        <w:t>Item 4: Commonwealth of Massachusetts</w:t>
      </w:r>
    </w:p>
    <w:p>
      <w:pPr>
        <w:sectPr>
          <w:pgSz w:w="11900" w:h="16855" w:orient="portrait"/>
          <w:cols w:equalWidth="0" w:num="1">
            <w:col w:w="10219"/>
          </w:cols>
          <w:pgMar w:left="240" w:top="852" w:right="1440" w:bottom="0" w:gutter="0" w:footer="0" w:header="0"/>
        </w:sectPr>
      </w:pPr>
    </w:p>
    <w:p>
      <w:pPr>
        <w:spacing w:after="0" w:line="3" w:lineRule="exact"/>
        <w:rPr>
          <w:sz w:val="24"/>
          <w:szCs w:val="24"/>
          <w:color w:val="auto"/>
        </w:rPr>
      </w:pPr>
    </w:p>
    <w:p>
      <w:pPr>
        <w:spacing w:after="0" w:line="271" w:lineRule="auto"/>
        <w:rPr>
          <w:sz w:val="20"/>
          <w:szCs w:val="20"/>
          <w:color w:val="auto"/>
        </w:rPr>
      </w:pPr>
      <w:r>
        <w:rPr>
          <w:rFonts w:ascii="Courier New" w:cs="Courier New" w:eastAsia="Courier New" w:hAnsi="Courier New"/>
          <w:sz w:val="16"/>
          <w:szCs w:val="16"/>
          <w:color w:val="auto"/>
        </w:rPr>
        <w:t>Item 5: None Item 6: None Item 7: 533,800 Item 8: None Item 9: 533,800 Item 11: 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3.39%</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HC</w:t>
      </w:r>
    </w:p>
    <w:p>
      <w:pPr>
        <w:spacing w:after="0" w:line="218" w:lineRule="exact"/>
        <w:rPr>
          <w:sz w:val="24"/>
          <w:szCs w:val="24"/>
          <w:color w:val="auto"/>
        </w:rPr>
      </w:pPr>
    </w:p>
    <w:p>
      <w:pPr>
        <w:sectPr>
          <w:pgSz w:w="11900" w:h="16855" w:orient="portrait"/>
          <w:cols w:equalWidth="0" w:num="2">
            <w:col w:w="1580" w:space="120"/>
            <w:col w:w="8519"/>
          </w:cols>
          <w:pgMar w:left="240" w:top="852" w:right="1440" w:bottom="0" w:gutter="0" w:footer="0" w:header="0"/>
          <w:type w:val="continuous"/>
        </w:sectPr>
      </w:pP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25057L102</w:t>
      </w:r>
    </w:p>
    <w:p>
      <w:pPr>
        <w:spacing w:after="0"/>
        <w:tabs>
          <w:tab w:leader="none" w:pos="6300" w:val="left"/>
        </w:tabs>
        <w:rPr>
          <w:sz w:val="20"/>
          <w:szCs w:val="20"/>
          <w:color w:val="auto"/>
        </w:rPr>
      </w:pPr>
      <w:r>
        <w:rPr>
          <w:rFonts w:ascii="Courier New" w:cs="Courier New" w:eastAsia="Courier New" w:hAnsi="Courier New"/>
          <w:sz w:val="18"/>
          <w:szCs w:val="18"/>
          <w:color w:val="auto"/>
        </w:rPr>
        <w:t>Item 1: Reporting Person - Edward C. Johnson 3d - (Tax ID:</w:t>
      </w:r>
      <w:r>
        <w:rPr>
          <w:sz w:val="20"/>
          <w:szCs w:val="20"/>
          <w:color w:val="auto"/>
        </w:rPr>
        <w:tab/>
      </w: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8"/>
          <w:szCs w:val="18"/>
          <w:color w:val="auto"/>
        </w:rPr>
        <w:t>Item 4: United States of America</w:t>
      </w:r>
    </w:p>
    <w:p>
      <w:pPr>
        <w:sectPr>
          <w:pgSz w:w="11900" w:h="16855" w:orient="portrait"/>
          <w:cols w:equalWidth="0" w:num="1">
            <w:col w:w="10219"/>
          </w:cols>
          <w:pgMar w:left="240" w:top="852" w:right="1440" w:bottom="0" w:gutter="0" w:footer="0" w:header="0"/>
          <w:type w:val="continuous"/>
        </w:sectPr>
      </w:pPr>
    </w:p>
    <w:p>
      <w:pPr>
        <w:spacing w:after="0" w:line="3" w:lineRule="exact"/>
        <w:rPr>
          <w:sz w:val="24"/>
          <w:szCs w:val="24"/>
          <w:color w:val="auto"/>
        </w:rPr>
      </w:pPr>
    </w:p>
    <w:p>
      <w:pPr>
        <w:spacing w:after="0" w:line="271" w:lineRule="auto"/>
        <w:rPr>
          <w:sz w:val="20"/>
          <w:szCs w:val="20"/>
          <w:color w:val="auto"/>
        </w:rPr>
      </w:pPr>
      <w:r>
        <w:rPr>
          <w:rFonts w:ascii="Courier New" w:cs="Courier New" w:eastAsia="Courier New" w:hAnsi="Courier New"/>
          <w:sz w:val="16"/>
          <w:szCs w:val="16"/>
          <w:color w:val="auto"/>
        </w:rPr>
        <w:t>Item 5: None Item 6: None Item 7: 533,800 Item 8: None Item 9: 533,800 Item 11: 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3.39%</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w:t>
      </w:r>
    </w:p>
    <w:p>
      <w:pPr>
        <w:spacing w:after="0" w:line="218" w:lineRule="exact"/>
        <w:rPr>
          <w:sz w:val="24"/>
          <w:szCs w:val="24"/>
          <w:color w:val="auto"/>
        </w:rPr>
      </w:pPr>
    </w:p>
    <w:p>
      <w:pPr>
        <w:sectPr>
          <w:pgSz w:w="11900" w:h="16855" w:orient="portrait"/>
          <w:cols w:equalWidth="0" w:num="2">
            <w:col w:w="1580" w:space="120"/>
            <w:col w:w="8519"/>
          </w:cols>
          <w:pgMar w:left="240" w:top="852" w:right="1440" w:bottom="0" w:gutter="0" w:footer="0" w:header="0"/>
          <w:type w:val="continuous"/>
        </w:sectPr>
      </w:pP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Designs Incorporated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1244 Boylston Street</w:t>
      </w:r>
    </w:p>
    <w:p>
      <w:pPr>
        <w:ind w:left="1700"/>
        <w:spacing w:after="0"/>
        <w:tabs>
          <w:tab w:leader="none" w:pos="3680" w:val="left"/>
        </w:tabs>
        <w:rPr>
          <w:sz w:val="20"/>
          <w:szCs w:val="20"/>
          <w:color w:val="auto"/>
        </w:rPr>
      </w:pPr>
      <w:r>
        <w:rPr>
          <w:rFonts w:ascii="Courier New" w:cs="Courier New" w:eastAsia="Courier New" w:hAnsi="Courier New"/>
          <w:sz w:val="18"/>
          <w:szCs w:val="18"/>
          <w:color w:val="auto"/>
        </w:rPr>
        <w:t>Chestnut Hill, MA</w:t>
      </w:r>
      <w:r>
        <w:rPr>
          <w:sz w:val="20"/>
          <w:szCs w:val="20"/>
          <w:color w:val="auto"/>
        </w:rPr>
        <w:tab/>
      </w:r>
      <w:r>
        <w:rPr>
          <w:rFonts w:ascii="Courier New" w:cs="Courier New" w:eastAsia="Courier New" w:hAnsi="Courier New"/>
          <w:sz w:val="16"/>
          <w:szCs w:val="16"/>
          <w:color w:val="auto"/>
        </w:rPr>
        <w:t>02167</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or Principal Business Office or, if None, Residence:</w:t>
      </w:r>
    </w:p>
    <w:p>
      <w:pPr>
        <w:spacing w:after="0" w:line="201" w:lineRule="exact"/>
        <w:rPr>
          <w:sz w:val="24"/>
          <w:szCs w:val="24"/>
          <w:color w:val="auto"/>
        </w:rPr>
      </w:pPr>
    </w:p>
    <w:p>
      <w:pPr>
        <w:ind w:left="1700"/>
        <w:spacing w:after="0"/>
        <w:tabs>
          <w:tab w:leader="none" w:pos="6420" w:val="left"/>
        </w:tabs>
        <w:rPr>
          <w:sz w:val="20"/>
          <w:szCs w:val="20"/>
          <w:color w:val="auto"/>
        </w:rPr>
      </w:pPr>
      <w:r>
        <w:rPr>
          <w:rFonts w:ascii="Courier New" w:cs="Courier New" w:eastAsia="Courier New" w:hAnsi="Courier New"/>
          <w:sz w:val="18"/>
          <w:szCs w:val="18"/>
          <w:color w:val="auto"/>
        </w:rPr>
        <w:t>82 Devonshire Street, Boston, Massachusetts</w:t>
      </w:r>
      <w:r>
        <w:rPr>
          <w:sz w:val="20"/>
          <w:szCs w:val="20"/>
          <w:color w:val="auto"/>
        </w:rPr>
        <w:tab/>
      </w:r>
      <w:r>
        <w:rPr>
          <w:rFonts w:ascii="Courier New" w:cs="Courier New" w:eastAsia="Courier New" w:hAnsi="Courier New"/>
          <w:sz w:val="16"/>
          <w:szCs w:val="16"/>
          <w:color w:val="auto"/>
        </w:rPr>
        <w:t>02109</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25057L102</w:t>
      </w:r>
    </w:p>
    <w:p>
      <w:pPr>
        <w:spacing w:after="0" w:line="207"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533,800</w:t>
      </w:r>
    </w:p>
    <w:p>
      <w:pPr>
        <w:sectPr>
          <w:pgSz w:w="11900" w:h="16855" w:orient="portrait"/>
          <w:cols w:equalWidth="0" w:num="1">
            <w:col w:w="10219"/>
          </w:cols>
          <w:pgMar w:left="240" w:top="852" w:right="1440" w:bottom="0" w:gutter="0" w:footer="0" w:header="0"/>
          <w:type w:val="continuous"/>
        </w:sectPr>
      </w:pPr>
    </w:p>
    <w:bookmarkStart w:id="1" w:name="page2"/>
    <w:bookmarkEnd w:id="1"/>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3.39%</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533,800</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2839" w:firstLine="843"/>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and 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839" w:firstLine="843"/>
        <w:spacing w:after="0" w:line="237" w:lineRule="auto"/>
        <w:rPr>
          <w:sz w:val="20"/>
          <w:szCs w:val="20"/>
          <w:color w:val="auto"/>
        </w:rPr>
      </w:pPr>
      <w:r>
        <w:rPr>
          <w:rFonts w:ascii="Courier New" w:cs="Courier New" w:eastAsia="Courier New" w:hAnsi="Courier New"/>
          <w:sz w:val="18"/>
          <w:szCs w:val="18"/>
          <w:color w:val="auto"/>
        </w:rPr>
        <w:t>Inasmuch as the reporting persons are no longer the beneficial owners of more than five percent of the number of shares outstanding, the reporting persons have no further reporting obligation under section 13(d) of the Securities and Exchange Commission thereunder, and the reporting persons have no</w:t>
      </w:r>
    </w:p>
    <w:p>
      <w:pPr>
        <w:spacing w:after="0" w:line="6"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obligation to amend this Statement if any material change occurs in the facts set forth herein.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5"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w:t>
      </w:r>
    </w:p>
    <w:p>
      <w:pPr>
        <w:spacing w:after="0" w:line="6"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Schedule 13G in connection with FMR Corp's beneficial ownership of the common stock of Designs Incorporated at December 31, 1994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13, 1995</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Arthur S. Loring, Vice</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Name/Title</w:t>
      </w:r>
    </w:p>
    <w:p>
      <w:pPr>
        <w:sectPr>
          <w:pgSz w:w="11900" w:h="16838" w:orient="portrait"/>
          <w:cols w:equalWidth="0" w:num="1">
            <w:col w:w="10219"/>
          </w:cols>
          <w:pgMar w:left="240" w:top="339"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533,800 shares or 3.39% of the common stock outstanding of Designs Incorporated ("the Company") as a result of acting as investment adviser to several investment companies registered under Section 8 of the Investment Company Act of 1940.</w:t>
      </w:r>
    </w:p>
    <w:p>
      <w:pPr>
        <w:spacing w:after="0" w:line="212" w:lineRule="exact"/>
        <w:rPr>
          <w:sz w:val="20"/>
          <w:szCs w:val="20"/>
          <w:color w:val="auto"/>
        </w:rPr>
      </w:pPr>
    </w:p>
    <w:p>
      <w:pPr>
        <w:ind w:right="1679" w:firstLine="843"/>
        <w:spacing w:after="0" w:line="290" w:lineRule="auto"/>
        <w:rPr>
          <w:sz w:val="20"/>
          <w:szCs w:val="20"/>
          <w:color w:val="auto"/>
        </w:rPr>
      </w:pPr>
      <w:r>
        <w:rPr>
          <w:rFonts w:ascii="Courier New" w:cs="Courier New" w:eastAsia="Courier New" w:hAnsi="Courier New"/>
          <w:sz w:val="16"/>
          <w:szCs w:val="16"/>
          <w:color w:val="auto"/>
        </w:rPr>
        <w:t>Edward C. Johnson 3d, FMR Corp., through its control of Fidelity, and the Funds each has sole power to dispose of the 533,800 shares owned by the Funds.</w:t>
      </w:r>
    </w:p>
    <w:p>
      <w:pPr>
        <w:spacing w:after="0" w:line="170"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Edward C. Johnson 3d and Abigail P. Johnson each own 24.9% of the outstanding voting common stock of FMR Corp. Mr. Johnson 3d is Chairman of FMR Corp. Various Johnson family members and trusts for the benefit of Johnson family members own FMR Corp. voting common stock. These Johnson family members, through their ownership of voting common stock and the execution of a family shareholders' voting agreement, form a controlling group with respect to FMR Corp.</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13, 1995, agree and consent to the joint filing on their behalf of this Schedule 13G in connection with their beneficial ownership of the common stock of Designs Incorporated at December 31, 1994.</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ind w:left="860"/>
        <w:spacing w:after="0" w:line="238" w:lineRule="auto"/>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rPr>
          <w:sz w:val="20"/>
          <w:szCs w:val="20"/>
          <w:color w:val="auto"/>
        </w:rPr>
      </w:pPr>
      <w:r>
        <w:rPr>
          <w:rFonts w:ascii="Courier New" w:cs="Courier New" w:eastAsia="Courier New" w:hAnsi="Courier New"/>
          <w:sz w:val="18"/>
          <w:szCs w:val="18"/>
          <w:color w:val="auto"/>
        </w:rPr>
        <w:t>Arthur S. Loring</w:t>
      </w:r>
    </w:p>
    <w:p>
      <w:pPr>
        <w:spacing w:after="0" w:line="237" w:lineRule="auto"/>
        <w:rPr>
          <w:sz w:val="20"/>
          <w:szCs w:val="20"/>
          <w:color w:val="auto"/>
        </w:rPr>
      </w:pPr>
      <w:r>
        <w:rPr>
          <w:rFonts w:ascii="Courier New" w:cs="Courier New" w:eastAsia="Courier New" w:hAnsi="Courier New"/>
          <w:sz w:val="18"/>
          <w:szCs w:val="18"/>
          <w:color w:val="auto"/>
        </w:rPr>
        <w:t>Vice President - Legal</w:t>
      </w:r>
    </w:p>
    <w:p>
      <w:pPr>
        <w:ind w:left="860"/>
        <w:spacing w:after="0" w:line="238" w:lineRule="auto"/>
        <w:rPr>
          <w:sz w:val="20"/>
          <w:szCs w:val="20"/>
          <w:color w:val="auto"/>
        </w:rPr>
      </w:pPr>
      <w:r>
        <w:rPr>
          <w:rFonts w:ascii="Courier New" w:cs="Courier New" w:eastAsia="Courier New" w:hAnsi="Courier New"/>
          <w:sz w:val="18"/>
          <w:szCs w:val="18"/>
          <w:color w:val="auto"/>
        </w:rPr>
        <w:t>Edward C. Johnson 3d</w:t>
      </w: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7"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Under Power of Attorney dated</w:t>
      </w:r>
    </w:p>
    <w:p>
      <w:pPr>
        <w:spacing w:after="0" w:line="237" w:lineRule="auto"/>
        <w:rPr>
          <w:sz w:val="20"/>
          <w:szCs w:val="20"/>
          <w:color w:val="auto"/>
        </w:rPr>
      </w:pPr>
      <w:r>
        <w:rPr>
          <w:rFonts w:ascii="Courier New" w:cs="Courier New" w:eastAsia="Courier New" w:hAnsi="Courier New"/>
          <w:sz w:val="18"/>
          <w:szCs w:val="18"/>
          <w:color w:val="auto"/>
        </w:rPr>
        <w:t>5/17/89</w:t>
      </w:r>
    </w:p>
    <w:p>
      <w:pPr>
        <w:spacing w:after="0"/>
        <w:rPr>
          <w:sz w:val="20"/>
          <w:szCs w:val="20"/>
          <w:color w:val="auto"/>
        </w:rPr>
      </w:pPr>
      <w:r>
        <w:rPr>
          <w:rFonts w:ascii="Courier New" w:cs="Courier New" w:eastAsia="Courier New" w:hAnsi="Courier New"/>
          <w:sz w:val="18"/>
          <w:szCs w:val="18"/>
          <w:color w:val="auto"/>
        </w:rPr>
        <w:t>On File with Schedule 13G for</w:t>
      </w:r>
    </w:p>
    <w:p>
      <w:pPr>
        <w:spacing w:after="0" w:line="237" w:lineRule="auto"/>
        <w:rPr>
          <w:sz w:val="20"/>
          <w:szCs w:val="20"/>
          <w:color w:val="auto"/>
        </w:rPr>
      </w:pPr>
      <w:r>
        <w:rPr>
          <w:rFonts w:ascii="Courier New" w:cs="Courier New" w:eastAsia="Courier New" w:hAnsi="Courier New"/>
          <w:sz w:val="18"/>
          <w:szCs w:val="18"/>
          <w:color w:val="auto"/>
        </w:rPr>
        <w:t>Airborne Freight Corp. 9/10/91</w:t>
      </w:r>
    </w:p>
    <w:p>
      <w:pPr>
        <w:ind w:left="860"/>
        <w:spacing w:after="0" w:line="238" w:lineRule="auto"/>
        <w:rPr>
          <w:sz w:val="20"/>
          <w:szCs w:val="20"/>
          <w:color w:val="auto"/>
        </w:rPr>
      </w:pPr>
      <w:r>
        <w:rPr>
          <w:rFonts w:ascii="Courier New" w:cs="Courier New" w:eastAsia="Courier New" w:hAnsi="Courier New"/>
          <w:sz w:val="18"/>
          <w:szCs w:val="18"/>
          <w:color w:val="auto"/>
        </w:rPr>
        <w:t>Fidelity Management &amp; Research Company</w:t>
      </w: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7"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Sr. V.P. and General Counsel</w:t>
      </w:r>
    </w:p>
    <w:sectPr>
      <w:pgSz w:w="11900" w:h="16838" w:orient="portrait"/>
      <w:cols w:equalWidth="0" w:num="1">
        <w:col w:w="10219"/>
      </w:cols>
      <w:pgMar w:left="240" w:top="7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2019-12-19T21:23:42Z</dcterms:created>
  <dcterms:modified xsi:type="dcterms:W3CDTF">2019-12-19T21:23:42Z</dcterms:modified>
</cp:coreProperties>
</file>