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0"/>
        <w:spacing w:after="0"/>
        <w:rPr>
          <w:sz w:val="20"/>
          <w:szCs w:val="20"/>
          <w:color w:val="auto"/>
        </w:rPr>
      </w:pPr>
      <w:r>
        <w:rPr>
          <w:rFonts w:ascii="Courier New" w:cs="Courier New" w:eastAsia="Courier New" w:hAnsi="Courier New"/>
          <w:sz w:val="16"/>
          <w:szCs w:val="16"/>
          <w:color w:val="auto"/>
        </w:rPr>
        <w:t>SCHEDULE 14A INFORMATION</w:t>
      </w:r>
    </w:p>
    <w:p>
      <w:pPr>
        <w:spacing w:after="0" w:line="4"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CONSENT STATEMENT PURSUANT TO SECTION 14(A) OF</w:t>
      </w:r>
    </w:p>
    <w:p>
      <w:pPr>
        <w:spacing w:after="0" w:line="14" w:lineRule="exact"/>
        <w:rPr>
          <w:sz w:val="24"/>
          <w:szCs w:val="24"/>
          <w:color w:val="auto"/>
        </w:rPr>
      </w:pPr>
    </w:p>
    <w:p>
      <w:pPr>
        <w:ind w:left="2140"/>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77" w:lineRule="exact"/>
        <w:rPr>
          <w:sz w:val="24"/>
          <w:szCs w:val="24"/>
          <w:color w:val="auto"/>
        </w:rPr>
      </w:pPr>
    </w:p>
    <w:p>
      <w:pPr>
        <w:spacing w:after="0"/>
        <w:tabs>
          <w:tab w:leader="none" w:pos="2580" w:val="left"/>
        </w:tabs>
        <w:rPr>
          <w:sz w:val="20"/>
          <w:szCs w:val="20"/>
          <w:color w:val="auto"/>
        </w:rPr>
      </w:pPr>
      <w:r>
        <w:rPr>
          <w:rFonts w:ascii="Courier New" w:cs="Courier New" w:eastAsia="Courier New" w:hAnsi="Courier New"/>
          <w:sz w:val="16"/>
          <w:szCs w:val="16"/>
          <w:color w:val="auto"/>
        </w:rPr>
        <w:t>Filed by the Registrant {</w:t>
      </w:r>
      <w:r>
        <w:rPr>
          <w:sz w:val="20"/>
          <w:szCs w:val="20"/>
          <w:color w:val="auto"/>
        </w:rPr>
        <w:tab/>
      </w:r>
      <w:r>
        <w:rPr>
          <w:rFonts w:ascii="Courier New" w:cs="Courier New" w:eastAsia="Courier New" w:hAnsi="Courier New"/>
          <w:sz w:val="16"/>
          <w:szCs w:val="16"/>
          <w:color w:val="auto"/>
        </w:rPr>
        <w:t>}</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{x}</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w:t>
      </w:r>
    </w:p>
    <w:p>
      <w:pPr>
        <w:spacing w:after="0" w:line="177" w:lineRule="exact"/>
        <w:rPr>
          <w:sz w:val="24"/>
          <w:szCs w:val="24"/>
          <w:color w:val="auto"/>
        </w:rPr>
      </w:pPr>
    </w:p>
    <w:p>
      <w:pPr>
        <w:spacing w:after="0"/>
        <w:rPr>
          <w:sz w:val="24"/>
          <w:szCs w:val="24"/>
          <w:color w:val="auto"/>
        </w:rPr>
      </w:pPr>
      <w:r>
        <w:rPr>
          <w:rFonts w:ascii="Courier New" w:cs="Courier New" w:eastAsia="Courier New" w:hAnsi="Courier New"/>
          <w:sz w:val="16"/>
          <w:szCs w:val="16"/>
          <w:color w:val="auto"/>
        </w:rPr>
        <w:t>{   }   Preliminary Consent Statement</w:t>
      </w:r>
    </w:p>
    <w:p>
      <w:pPr>
        <w:sectPr>
          <w:pgSz w:w="11900" w:h="16838" w:orient="portrait"/>
          <w:cols w:equalWidth="0" w:num="1">
            <w:col w:w="10219"/>
          </w:cols>
          <w:pgMar w:left="240" w:top="589" w:right="1440" w:bottom="696" w:gutter="0" w:footer="0" w:header="0"/>
        </w:sectPr>
      </w:pP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line="234" w:lineRule="auto"/>
        <w:rPr>
          <w:sz w:val="20"/>
          <w:szCs w:val="20"/>
          <w:color w:val="auto"/>
        </w:rPr>
      </w:pPr>
      <w:r>
        <w:rPr>
          <w:rFonts w:ascii="Courier New" w:cs="Courier New" w:eastAsia="Courier New" w:hAnsi="Courier New"/>
          <w:sz w:val="16"/>
          <w:szCs w:val="16"/>
          <w:color w:val="auto"/>
        </w:rPr>
        <w:t>Confidential, for Use of the Commission Only (as Permitted by 6(e)(2))</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Rule 14a-</w:t>
      </w:r>
    </w:p>
    <w:p>
      <w:pPr>
        <w:spacing w:after="0" w:line="371" w:lineRule="exact"/>
        <w:rPr>
          <w:sz w:val="24"/>
          <w:szCs w:val="24"/>
          <w:color w:val="auto"/>
        </w:rPr>
      </w:pPr>
    </w:p>
    <w:p>
      <w:pPr>
        <w:sectPr>
          <w:pgSz w:w="11900" w:h="16838" w:orient="portrait"/>
          <w:cols w:equalWidth="0" w:num="4">
            <w:col w:w="80" w:space="280"/>
            <w:col w:w="100" w:space="280"/>
            <w:col w:w="5680" w:space="180"/>
            <w:col w:w="3619"/>
          </w:cols>
          <w:pgMar w:left="240" w:top="589" w:right="1440" w:bottom="696" w:gutter="0" w:footer="0" w:header="0"/>
          <w:type w:val="continuous"/>
        </w:sectPr>
      </w:pPr>
    </w:p>
    <w:p>
      <w:pPr>
        <w:spacing w:after="0"/>
        <w:rPr>
          <w:sz w:val="24"/>
          <w:szCs w:val="24"/>
          <w:color w:val="auto"/>
        </w:rPr>
      </w:pPr>
      <w:r>
        <w:rPr>
          <w:rFonts w:ascii="Courier New" w:cs="Courier New" w:eastAsia="Courier New" w:hAnsi="Courier New"/>
          <w:sz w:val="16"/>
          <w:szCs w:val="16"/>
          <w:color w:val="auto"/>
        </w:rPr>
        <w:t>{ x }   Definitive Consent Statement</w:t>
      </w:r>
    </w:p>
    <w:p>
      <w:pPr>
        <w:spacing w:after="0" w:line="182" w:lineRule="exact"/>
        <w:rPr>
          <w:sz w:val="24"/>
          <w:szCs w:val="24"/>
          <w:color w:val="auto"/>
        </w:rPr>
      </w:pPr>
    </w:p>
    <w:p>
      <w:pPr>
        <w:spacing w:after="0"/>
        <w:rPr>
          <w:sz w:val="24"/>
          <w:szCs w:val="24"/>
          <w:color w:val="auto"/>
        </w:rPr>
      </w:pPr>
      <w:r>
        <w:rPr>
          <w:rFonts w:ascii="Courier New" w:cs="Courier New" w:eastAsia="Courier New" w:hAnsi="Courier New"/>
          <w:sz w:val="14"/>
          <w:szCs w:val="14"/>
          <w:color w:val="auto"/>
        </w:rPr>
        <w:t>{   }   Definitive Additional Materials</w:t>
      </w:r>
    </w:p>
    <w:p>
      <w:pPr>
        <w:sectPr>
          <w:pgSz w:w="11900" w:h="16838" w:orient="portrait"/>
          <w:cols w:equalWidth="0" w:num="1">
            <w:col w:w="10219"/>
          </w:cols>
          <w:pgMar w:left="240" w:top="589" w:right="1440" w:bottom="696" w:gutter="0" w:footer="0" w:header="0"/>
          <w:type w:val="continuous"/>
        </w:sectPr>
      </w:pP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Soliciting Material Pursuant to</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Section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240.14a-11(c) or Section</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240.</w:t>
      </w:r>
    </w:p>
    <w:p>
      <w:pPr>
        <w:spacing w:after="0" w:line="20" w:lineRule="exact"/>
        <w:rPr>
          <w:sz w:val="24"/>
          <w:szCs w:val="24"/>
          <w:color w:val="auto"/>
        </w:rPr>
      </w:pPr>
    </w:p>
    <w:p>
      <w:pPr>
        <w:sectPr>
          <w:pgSz w:w="11900" w:h="16838" w:orient="portrait"/>
          <w:cols w:equalWidth="0" w:num="6">
            <w:col w:w="80" w:space="280"/>
            <w:col w:w="100" w:space="280"/>
            <w:col w:w="2880" w:space="180"/>
            <w:col w:w="660" w:space="180"/>
            <w:col w:w="2240" w:space="180"/>
            <w:col w:w="3159"/>
          </w:cols>
          <w:pgMar w:left="240" w:top="589" w:right="1440" w:bottom="696" w:gutter="0" w:footer="0" w:header="0"/>
          <w:type w:val="continuous"/>
        </w:sectPr>
      </w:pPr>
    </w:p>
    <w:p>
      <w:pPr>
        <w:ind w:left="740"/>
        <w:spacing w:after="0"/>
        <w:rPr>
          <w:sz w:val="20"/>
          <w:szCs w:val="20"/>
          <w:color w:val="auto"/>
        </w:rPr>
      </w:pPr>
      <w:r>
        <w:rPr>
          <w:rFonts w:ascii="Courier New" w:cs="Courier New" w:eastAsia="Courier New" w:hAnsi="Courier New"/>
          <w:sz w:val="14"/>
          <w:szCs w:val="14"/>
          <w:color w:val="auto"/>
        </w:rPr>
        <w:t>14a-12</w:t>
      </w:r>
    </w:p>
    <w:p>
      <w:pPr>
        <w:sectPr>
          <w:pgSz w:w="11900" w:h="16838" w:orient="portrait"/>
          <w:cols w:equalWidth="0" w:num="1">
            <w:col w:w="10219"/>
          </w:cols>
          <w:pgMar w:left="240" w:top="589" w:right="1440" w:bottom="696" w:gutter="0" w:footer="0" w:header="0"/>
          <w:type w:val="continuous"/>
        </w:sectPr>
      </w:pPr>
    </w:p>
    <w:p>
      <w:pPr>
        <w:spacing w:after="0" w:line="372"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DESIGNS, INC.</w:t>
      </w:r>
    </w:p>
    <w:p>
      <w:pPr>
        <w:jc w:val="center"/>
        <w:ind w:right="2779"/>
        <w:spacing w:after="0" w:line="236" w:lineRule="auto"/>
        <w:rPr>
          <w:sz w:val="20"/>
          <w:szCs w:val="20"/>
          <w:color w:val="auto"/>
        </w:rPr>
      </w:pPr>
      <w:r>
        <w:rPr>
          <w:rFonts w:ascii="Courier New" w:cs="Courier New" w:eastAsia="Courier New" w:hAnsi="Courier New"/>
          <w:sz w:val="16"/>
          <w:szCs w:val="16"/>
          <w:color w:val="auto"/>
        </w:rPr>
        <w:t>(NAME OF REGISTRANT AS SPECIFIED IN ITS CHARTER)</w:t>
      </w:r>
    </w:p>
    <w:p>
      <w:pPr>
        <w:spacing w:after="0" w:line="177"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JEWELCOR MANAGEMENT, INC.</w:t>
      </w:r>
    </w:p>
    <w:p>
      <w:pPr>
        <w:jc w:val="center"/>
        <w:ind w:right="2779"/>
        <w:spacing w:after="0" w:line="236" w:lineRule="auto"/>
        <w:rPr>
          <w:sz w:val="20"/>
          <w:szCs w:val="20"/>
          <w:color w:val="auto"/>
        </w:rPr>
      </w:pPr>
      <w:r>
        <w:rPr>
          <w:rFonts w:ascii="Courier New" w:cs="Courier New" w:eastAsia="Courier New" w:hAnsi="Courier New"/>
          <w:sz w:val="16"/>
          <w:szCs w:val="16"/>
          <w:color w:val="auto"/>
        </w:rPr>
        <w:t>(NAME OF PERSON(S) FILING CONSENT STATEMENT, IF OTHER THAN</w:t>
      </w:r>
    </w:p>
    <w:p>
      <w:pPr>
        <w:jc w:val="center"/>
        <w:ind w:right="2679"/>
        <w:spacing w:after="0" w:line="237" w:lineRule="auto"/>
        <w:rPr>
          <w:sz w:val="20"/>
          <w:szCs w:val="20"/>
          <w:color w:val="auto"/>
        </w:rPr>
      </w:pPr>
      <w:r>
        <w:rPr>
          <w:rFonts w:ascii="Courier New" w:cs="Courier New" w:eastAsia="Courier New" w:hAnsi="Courier New"/>
          <w:sz w:val="16"/>
          <w:szCs w:val="16"/>
          <w:color w:val="auto"/>
        </w:rPr>
        <w:t>REGISTRANT)</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7" w:lineRule="exact"/>
        <w:rPr>
          <w:sz w:val="24"/>
          <w:szCs w:val="24"/>
          <w:color w:val="auto"/>
        </w:rPr>
      </w:pPr>
    </w:p>
    <w:p>
      <w:pPr>
        <w:spacing w:after="0"/>
        <w:rPr>
          <w:sz w:val="24"/>
          <w:szCs w:val="24"/>
          <w:color w:val="auto"/>
        </w:rPr>
      </w:pPr>
      <w:r>
        <w:rPr>
          <w:rFonts w:ascii="Courier New" w:cs="Courier New" w:eastAsia="Courier New" w:hAnsi="Courier New"/>
          <w:sz w:val="16"/>
          <w:szCs w:val="16"/>
          <w:color w:val="auto"/>
        </w:rPr>
        <w:t>{ x } No Fee required.</w:t>
      </w:r>
    </w:p>
    <w:p>
      <w:pPr>
        <w:spacing w:after="0" w:line="176" w:lineRule="exact"/>
        <w:rPr>
          <w:sz w:val="24"/>
          <w:szCs w:val="24"/>
          <w:color w:val="auto"/>
        </w:rPr>
      </w:pPr>
    </w:p>
    <w:p>
      <w:pPr>
        <w:spacing w:after="0"/>
        <w:rPr>
          <w:sz w:val="24"/>
          <w:szCs w:val="24"/>
          <w:color w:val="auto"/>
        </w:rPr>
      </w:pPr>
      <w:r>
        <w:rPr>
          <w:rFonts w:ascii="Courier New" w:cs="Courier New" w:eastAsia="Courier New" w:hAnsi="Courier New"/>
          <w:sz w:val="16"/>
          <w:szCs w:val="16"/>
          <w:color w:val="auto"/>
        </w:rPr>
        <w:t>{   } Fee computed on table below per Exchange Act Rules 14a-6(i)(1) and 0-11:</w:t>
      </w:r>
    </w:p>
    <w:p>
      <w:pPr>
        <w:spacing w:after="0" w:line="176" w:lineRule="exact"/>
        <w:rPr>
          <w:sz w:val="24"/>
          <w:szCs w:val="24"/>
          <w:color w:val="auto"/>
        </w:rPr>
      </w:pPr>
    </w:p>
    <w:p>
      <w:pPr>
        <w:ind w:left="560" w:hanging="286"/>
        <w:spacing w:after="0"/>
        <w:tabs>
          <w:tab w:leader="none" w:pos="56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6"/>
          <w:szCs w:val="16"/>
          <w:color w:val="auto"/>
        </w:rPr>
      </w:pPr>
    </w:p>
    <w:p>
      <w:pPr>
        <w:ind w:left="560" w:hanging="286"/>
        <w:spacing w:after="0"/>
        <w:tabs>
          <w:tab w:leader="none" w:pos="56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6"/>
          <w:szCs w:val="16"/>
          <w:color w:val="auto"/>
        </w:rPr>
      </w:pPr>
    </w:p>
    <w:p>
      <w:pPr>
        <w:jc w:val="both"/>
        <w:ind w:right="2779" w:firstLine="274"/>
        <w:spacing w:after="0" w:line="235" w:lineRule="auto"/>
        <w:tabs>
          <w:tab w:leader="none" w:pos="558"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transaction computed pursuant to Exchange Act Rule 0- 11 (set forth the amount on which the filing fee is calculated and state how it was determined):</w:t>
      </w:r>
    </w:p>
    <w:p>
      <w:pPr>
        <w:spacing w:after="0" w:line="183"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p>
      <w:pPr>
        <w:ind w:left="560" w:hanging="286"/>
        <w:spacing w:after="0"/>
        <w:tabs>
          <w:tab w:leader="none" w:pos="56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05" w:lineRule="exact"/>
        <w:rPr>
          <w:rFonts w:ascii="Courier New" w:cs="Courier New" w:eastAsia="Courier New" w:hAnsi="Courier New"/>
          <w:sz w:val="16"/>
          <w:szCs w:val="16"/>
          <w:color w:val="auto"/>
        </w:rPr>
      </w:pPr>
    </w:p>
    <w:p>
      <w:pPr>
        <w:ind w:left="560" w:hanging="286"/>
        <w:spacing w:after="0"/>
        <w:tabs>
          <w:tab w:leader="none" w:pos="56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Fee paid previously with preliminary materials.</w:t>
      </w:r>
    </w:p>
    <w:p>
      <w:pPr>
        <w:spacing w:after="0" w:line="182" w:lineRule="exact"/>
        <w:rPr>
          <w:rFonts w:ascii="Courier New" w:cs="Courier New" w:eastAsia="Courier New" w:hAnsi="Courier New"/>
          <w:sz w:val="16"/>
          <w:szCs w:val="16"/>
          <w:color w:val="auto"/>
        </w:rPr>
      </w:pPr>
    </w:p>
    <w:p>
      <w:pPr>
        <w:jc w:val="both"/>
        <w:ind w:right="2779"/>
        <w:spacing w:after="0" w:line="23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57" w:lineRule="exact"/>
        <w:rPr>
          <w:rFonts w:ascii="Courier New" w:cs="Courier New" w:eastAsia="Courier New" w:hAnsi="Courier New"/>
          <w:sz w:val="16"/>
          <w:szCs w:val="16"/>
          <w:color w:val="auto"/>
        </w:rPr>
      </w:pPr>
    </w:p>
    <w:p>
      <w:pPr>
        <w:ind w:left="560" w:hanging="286"/>
        <w:spacing w:after="0"/>
        <w:tabs>
          <w:tab w:leader="none" w:pos="5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6"/>
          <w:szCs w:val="16"/>
          <w:color w:val="auto"/>
        </w:rPr>
      </w:pPr>
    </w:p>
    <w:p>
      <w:pPr>
        <w:ind w:left="560" w:hanging="286"/>
        <w:spacing w:after="0"/>
        <w:tabs>
          <w:tab w:leader="none" w:pos="5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6"/>
          <w:szCs w:val="16"/>
          <w:color w:val="auto"/>
        </w:rPr>
      </w:pPr>
    </w:p>
    <w:p>
      <w:pPr>
        <w:ind w:left="560" w:hanging="286"/>
        <w:spacing w:after="0"/>
        <w:tabs>
          <w:tab w:leader="none" w:pos="5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193" w:lineRule="exact"/>
        <w:rPr>
          <w:rFonts w:ascii="Courier New" w:cs="Courier New" w:eastAsia="Courier New" w:hAnsi="Courier New"/>
          <w:sz w:val="16"/>
          <w:szCs w:val="16"/>
          <w:color w:val="auto"/>
        </w:rPr>
      </w:pPr>
    </w:p>
    <w:p>
      <w:pPr>
        <w:ind w:left="560" w:hanging="286"/>
        <w:spacing w:after="0"/>
        <w:tabs>
          <w:tab w:leader="none" w:pos="5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8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89" w:right="1440" w:bottom="696" w:gutter="0" w:footer="0" w:header="0"/>
          <w:type w:val="continuous"/>
        </w:sectPr>
      </w:pPr>
    </w:p>
    <w:bookmarkStart w:id="1" w:name="page2"/>
    <w:bookmarkEnd w:id="1"/>
    <w:p>
      <w:pPr>
        <w:jc w:val="center"/>
        <w:ind w:right="2699"/>
        <w:spacing w:after="0"/>
        <w:rPr>
          <w:sz w:val="20"/>
          <w:szCs w:val="20"/>
          <w:color w:val="auto"/>
        </w:rPr>
      </w:pPr>
      <w:r>
        <w:rPr>
          <w:rFonts w:ascii="Courier New" w:cs="Courier New" w:eastAsia="Courier New" w:hAnsi="Courier New"/>
          <w:sz w:val="16"/>
          <w:szCs w:val="16"/>
          <w:color w:val="auto"/>
        </w:rPr>
        <w:t>CONSENT STATEMENT</w:t>
      </w:r>
    </w:p>
    <w:p>
      <w:pPr>
        <w:jc w:val="center"/>
        <w:ind w:right="2779"/>
        <w:spacing w:after="0" w:line="236" w:lineRule="auto"/>
        <w:rPr>
          <w:sz w:val="20"/>
          <w:szCs w:val="20"/>
          <w:color w:val="auto"/>
        </w:rPr>
      </w:pPr>
      <w:r>
        <w:rPr>
          <w:rFonts w:ascii="Courier New" w:cs="Courier New" w:eastAsia="Courier New" w:hAnsi="Courier New"/>
          <w:sz w:val="16"/>
          <w:szCs w:val="16"/>
          <w:color w:val="auto"/>
        </w:rPr>
        <w:t>OF</w:t>
      </w:r>
    </w:p>
    <w:p>
      <w:pPr>
        <w:jc w:val="center"/>
        <w:ind w:right="2699"/>
        <w:spacing w:after="0" w:line="237" w:lineRule="auto"/>
        <w:rPr>
          <w:sz w:val="20"/>
          <w:szCs w:val="20"/>
          <w:color w:val="auto"/>
        </w:rPr>
      </w:pPr>
      <w:r>
        <w:rPr>
          <w:rFonts w:ascii="Courier New" w:cs="Courier New" w:eastAsia="Courier New" w:hAnsi="Courier New"/>
          <w:sz w:val="16"/>
          <w:szCs w:val="16"/>
          <w:color w:val="auto"/>
        </w:rPr>
        <w:t>JEWELCOR MANAGEMENT, INC.</w:t>
      </w:r>
    </w:p>
    <w:p>
      <w:pPr>
        <w:jc w:val="center"/>
        <w:ind w:right="2699"/>
        <w:spacing w:after="0" w:line="237" w:lineRule="auto"/>
        <w:rPr>
          <w:sz w:val="20"/>
          <w:szCs w:val="20"/>
          <w:color w:val="auto"/>
        </w:rPr>
      </w:pPr>
      <w:r>
        <w:rPr>
          <w:rFonts w:ascii="Courier New" w:cs="Courier New" w:eastAsia="Courier New" w:hAnsi="Courier New"/>
          <w:sz w:val="16"/>
          <w:szCs w:val="16"/>
          <w:color w:val="auto"/>
        </w:rPr>
        <w:t>FOR</w:t>
      </w:r>
    </w:p>
    <w:p>
      <w:pPr>
        <w:jc w:val="center"/>
        <w:ind w:right="2699"/>
        <w:spacing w:after="0" w:line="237" w:lineRule="auto"/>
        <w:rPr>
          <w:sz w:val="20"/>
          <w:szCs w:val="20"/>
          <w:color w:val="auto"/>
        </w:rPr>
      </w:pPr>
      <w:r>
        <w:rPr>
          <w:rFonts w:ascii="Courier New" w:cs="Courier New" w:eastAsia="Courier New" w:hAnsi="Courier New"/>
          <w:sz w:val="16"/>
          <w:szCs w:val="16"/>
          <w:color w:val="auto"/>
        </w:rPr>
        <w:t>DESIGNS, INC.</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This Consent Solicitation Statement (the "Consent Statement") and the accompanying form of written consent are furnished by Jewelcor Management, Inc. ("JMI") in connection with its solicitation of written consents from the holders of common stock, $0.01 par value per share (the "Common Stock"), of Designs, Inc., a Delaware corporation (the "Company"), to take the following actions without a meeting of the Company's stockholders, as permitted by Delaware law:</w:t>
      </w:r>
    </w:p>
    <w:p>
      <w:pPr>
        <w:spacing w:after="0" w:line="184" w:lineRule="exact"/>
        <w:rPr>
          <w:sz w:val="20"/>
          <w:szCs w:val="20"/>
          <w:color w:val="auto"/>
        </w:rPr>
      </w:pPr>
    </w:p>
    <w:p>
      <w:pPr>
        <w:jc w:val="both"/>
        <w:ind w:left="1760" w:right="2779" w:hanging="741"/>
        <w:spacing w:after="0" w:line="236" w:lineRule="auto"/>
        <w:tabs>
          <w:tab w:leader="none" w:pos="1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Remove (i) all current members of the Company's Board of Directors (the "Board of Directors") other than Stanley I. Berger and (ii) any other person or persons (other than the persons elected pursuant to this consent) elected or appointed to the Board of Directors prior to the effective time of this stockholder action in addition to or in lieu of any of such current members (including any persons elected or appointed in lieu of Stanley I. Berger) to fill any newly created directorship or vacancy on the Board of Directors or otherwise (the "Director Removal Proposal");</w:t>
      </w:r>
    </w:p>
    <w:p>
      <w:pPr>
        <w:spacing w:after="0" w:line="185" w:lineRule="exact"/>
        <w:rPr>
          <w:rFonts w:ascii="Courier New" w:cs="Courier New" w:eastAsia="Courier New" w:hAnsi="Courier New"/>
          <w:sz w:val="16"/>
          <w:szCs w:val="16"/>
          <w:color w:val="auto"/>
        </w:rPr>
      </w:pPr>
    </w:p>
    <w:p>
      <w:pPr>
        <w:jc w:val="both"/>
        <w:ind w:left="1760" w:right="2779" w:hanging="741"/>
        <w:spacing w:after="0" w:line="235" w:lineRule="auto"/>
        <w:tabs>
          <w:tab w:leader="none" w:pos="1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Jesse H. Choper, Seymour Holtzman, Peter R. McMullin, Deborah M. Rhem-Jackson and Steve R. Tomasi (collectively, the "JMI Nominees" or the "Nominees") as directors of the Company to serve until their respective successors are duly elected and qualified (the "Director Election Proposal");</w:t>
      </w:r>
    </w:p>
    <w:p>
      <w:pPr>
        <w:spacing w:after="0" w:line="185" w:lineRule="exact"/>
        <w:rPr>
          <w:rFonts w:ascii="Courier New" w:cs="Courier New" w:eastAsia="Courier New" w:hAnsi="Courier New"/>
          <w:sz w:val="16"/>
          <w:szCs w:val="16"/>
          <w:color w:val="auto"/>
        </w:rPr>
      </w:pPr>
    </w:p>
    <w:p>
      <w:pPr>
        <w:jc w:val="both"/>
        <w:ind w:left="1760" w:right="2779" w:hanging="741"/>
        <w:spacing w:after="0" w:line="235" w:lineRule="auto"/>
        <w:tabs>
          <w:tab w:leader="none" w:pos="1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Section 4.1 of the By-Laws of the Company (the "By-Laws") to set the number of directors on the Board of Directors at six (the "Board Size Proposal");</w:t>
      </w:r>
    </w:p>
    <w:p>
      <w:pPr>
        <w:spacing w:after="0" w:line="183" w:lineRule="exact"/>
        <w:rPr>
          <w:rFonts w:ascii="Courier New" w:cs="Courier New" w:eastAsia="Courier New" w:hAnsi="Courier New"/>
          <w:sz w:val="16"/>
          <w:szCs w:val="16"/>
          <w:color w:val="auto"/>
        </w:rPr>
      </w:pPr>
    </w:p>
    <w:p>
      <w:pPr>
        <w:jc w:val="both"/>
        <w:ind w:left="1760" w:right="2779" w:hanging="741"/>
        <w:spacing w:after="0" w:line="236" w:lineRule="auto"/>
        <w:tabs>
          <w:tab w:leader="none" w:pos="1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Section 4.16 of the By-Laws to clarify that a stockholder seeking to nominate candidates for election to the Board of Directors pursuant to a stockholder action by written consent need not comply with the advance notification provisions of the By-Laws (the "Advance Notification Provisions") applicable to the nomination of candidates in connection with meetings of the stockholders (the "Advance Notification Clarification Proposal");</w:t>
      </w:r>
    </w:p>
    <w:p>
      <w:pPr>
        <w:spacing w:after="0" w:line="184" w:lineRule="exact"/>
        <w:rPr>
          <w:rFonts w:ascii="Courier New" w:cs="Courier New" w:eastAsia="Courier New" w:hAnsi="Courier New"/>
          <w:sz w:val="16"/>
          <w:szCs w:val="16"/>
          <w:color w:val="auto"/>
        </w:rPr>
      </w:pPr>
    </w:p>
    <w:p>
      <w:pPr>
        <w:jc w:val="both"/>
        <w:ind w:left="1760" w:right="2779" w:hanging="741"/>
        <w:spacing w:after="0" w:line="236" w:lineRule="auto"/>
        <w:tabs>
          <w:tab w:leader="none" w:pos="1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Repeal any By-Laws adopted by the Board of Directors subsequent to December 11, 1995 (the effective date of the By-Laws most recently filed by the Company with the Securities Exchange Commission (the "Commission") prior to the filing by JMI of the Preliminary Consent Statement (as defined herein) on December 7, 1998), and prior to the effectiveness of the Proposals (as defined below) other than the By-Laws adopted as contemplated by this Consent Statement (the "ByLaw Proposal" and, collectively with the Director Removal Proposal, the Director Election Proposal, the Board Size Proposal and the Advance Notification Clarification Proposal, the "Proposals").</w:t>
      </w:r>
    </w:p>
    <w:p>
      <w:pPr>
        <w:sectPr>
          <w:pgSz w:w="11900" w:h="16838" w:orient="portrait"/>
          <w:cols w:equalWidth="0" w:num="1">
            <w:col w:w="10219"/>
          </w:cols>
          <w:pgMar w:left="240" w:top="1185" w:right="1440" w:bottom="1440" w:gutter="0" w:footer="0" w:header="0"/>
        </w:sectPr>
      </w:pPr>
    </w:p>
    <w:bookmarkStart w:id="2" w:name="page3"/>
    <w:bookmarkEnd w:id="2"/>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Stockholders of the Company are being asked to express their consent to the Proposals by MARKING, SIGNING and DATING the enclosed WHITE consent card and returning it to D.F. King &amp; Co., Inc. in accordance with the instructions set forth below.</w:t>
      </w:r>
    </w:p>
    <w:p>
      <w:pPr>
        <w:spacing w:after="0" w:line="178"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JMI RECOMMENDS THAT YOU CONSENT TO EACH OF THE PROPOSALS</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This Consent Statement and the enclosed WHITE consent card are first being furnished to the Company's stockholders on or about December 21, 1998.</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SUMMARY OF CONSENT PROCEDURE</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The Proposals will become effective on the date when the written consents of holders of a majority of the shares of the Common Stock outstanding on the record date as determined in accordance with Delaware law (the "Record Date") are delivered to the Company, so long as each of such consents is delivered to the Company within 60 days of the earliest dated consent delivered to the Company. If the Designs By-Law Amendment (as defined below) is given effect, it may result in the delay of the effectiveness of the Proposals until the delivery of the contemplated certification by the independent inspector to the Company. See "Background to the Consent Solicitation." As applicable here, Section 213(b) of the Delaware General Corporation Law (the "DGCL") provides that the record date for a consent solicitation shall be as established by the board of directors of the corporation (i.e., the Company), which date shall not be more than ten days after the date upon which the resolution fixing the record date is adopted by the board, or, if no record date is established, shall be the first date on which a signed written consent is delivered to the corporation. JMI delivered a signed written consent to the Company on December 7, 1998. Accordingly, JMI believes that the Record Date is December 7, 1998.</w:t>
      </w:r>
    </w:p>
    <w:p>
      <w:pPr>
        <w:spacing w:after="0" w:line="191" w:lineRule="exact"/>
        <w:rPr>
          <w:sz w:val="20"/>
          <w:szCs w:val="20"/>
          <w:color w:val="auto"/>
        </w:rPr>
      </w:pPr>
    </w:p>
    <w:p>
      <w:pPr>
        <w:jc w:val="both"/>
        <w:ind w:right="2779" w:firstLine="1674"/>
        <w:spacing w:after="0" w:line="272" w:lineRule="auto"/>
        <w:rPr>
          <w:sz w:val="20"/>
          <w:szCs w:val="20"/>
          <w:color w:val="auto"/>
        </w:rPr>
      </w:pPr>
      <w:r>
        <w:rPr>
          <w:rFonts w:ascii="Courier New" w:cs="Courier New" w:eastAsia="Courier New" w:hAnsi="Courier New"/>
          <w:sz w:val="14"/>
          <w:szCs w:val="14"/>
          <w:color w:val="auto"/>
        </w:rPr>
        <w:t>The Company reported that there were 15,878,233 shares of Common Stock outstanding on December 7, 1998. Each share of Common Stock outstanding on the Record Date is entitled to one vote on each of the Proposals and are not entitled to cumulative voting. Accordingly, based on the number of shares reported by the Company as outstanding on December 7, 1998, written consents by holders representing 7,939,117 shares of Common Stock will be required to adopt and approve each of the Proposals. JMI intends to vote the 1,570,200 shares of Common Stock (representing approximately 9.9% of the shares of Common Stock reported by the Company as outstanding on December 7, 1998) it owns in favor of the Proposals. Accordingly, based on the number of shares reported by the Company as outstanding on December 7, 1998, written consents by holders representing an additional 6,368,917 shares of Common Stock, or approximately 44.5% of the shares not owned by JMI, will be required to adopt and approve each of the Proposals. Each abstention and broker non-vote with respect to any of the Proposals will have the same effect as voting against the adoption of such Proposal.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JMI RECOMMENDS THAT YOU CONSENT TO EACH OF THE PROPOSALS. YOUR CONSENT IS IMPORTANT. PLEASE MARK, SIGN AND DATE THE ENCLOSED WHITE CONSENT CARD AND RETURN IT IN THE ENCLOSED POSTAGE-PAID ENVELOPE PROMPTLY. FAILURE TO SIGN AND RETURN YOUR CONSENT WILL HAVE THE SAME EFFECT AS VOTING AGAINST THE PROPOSALS.</w:t>
      </w:r>
    </w:p>
    <w:p>
      <w:pPr>
        <w:sectPr>
          <w:pgSz w:w="11900" w:h="16838" w:orient="portrait"/>
          <w:cols w:equalWidth="0" w:num="1">
            <w:col w:w="10219"/>
          </w:cols>
          <w:pgMar w:left="240" w:top="1012" w:right="1440" w:bottom="1440" w:gutter="0" w:footer="0" w:header="0"/>
        </w:sectPr>
      </w:pPr>
    </w:p>
    <w:bookmarkStart w:id="3" w:name="page4"/>
    <w:bookmarkEnd w:id="3"/>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JMI has retained D.F. King &amp; Co., Inc. ("DF King") to assist in the solicitation of consents. If your shares are held in your name, please mark, sign, date and mail the enclosed WHITE consent card to DF King in the postage-paid envelope provided. If your shares are held in the name of a brokerage firm, bank nominee or other institution, you should contact the person responsible for your account and give instructions for the WHITE consent card representing your shares to be marked, dated, signed and mailed. Only that institution can execute a WHITE consent card with respect to your shares held in the name of such institution and only upon receipt of specific instructions from you. JMI urges you to confirm in writing your instructions to the person responsible for your account and to provide a copy of those instructions to JMI in care of DF King at the address set forth below so that JMI will be aware of all instructions given and can attempt to ensure that such instructions are followed.</w:t>
      </w:r>
    </w:p>
    <w:p>
      <w:pPr>
        <w:spacing w:after="0" w:line="188" w:lineRule="exact"/>
        <w:rPr>
          <w:sz w:val="20"/>
          <w:szCs w:val="20"/>
          <w:color w:val="auto"/>
        </w:rPr>
      </w:pPr>
    </w:p>
    <w:p>
      <w:pPr>
        <w:jc w:val="both"/>
        <w:ind w:right="2779" w:firstLine="1674"/>
        <w:spacing w:after="0" w:line="234" w:lineRule="auto"/>
        <w:rPr>
          <w:sz w:val="20"/>
          <w:szCs w:val="20"/>
          <w:color w:val="auto"/>
        </w:rPr>
      </w:pPr>
      <w:r>
        <w:rPr>
          <w:rFonts w:ascii="Courier New" w:cs="Courier New" w:eastAsia="Courier New" w:hAnsi="Courier New"/>
          <w:sz w:val="16"/>
          <w:szCs w:val="16"/>
          <w:color w:val="auto"/>
        </w:rPr>
        <w:t>If you have any questions about executing your consent or require assistance, please contact:</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D.F. King &amp; Co., Inc.</w:t>
      </w:r>
    </w:p>
    <w:p>
      <w:pPr>
        <w:ind w:left="2500"/>
        <w:spacing w:after="0" w:line="236" w:lineRule="auto"/>
        <w:rPr>
          <w:sz w:val="20"/>
          <w:szCs w:val="20"/>
          <w:color w:val="auto"/>
        </w:rPr>
      </w:pPr>
      <w:r>
        <w:rPr>
          <w:rFonts w:ascii="Courier New" w:cs="Courier New" w:eastAsia="Courier New" w:hAnsi="Courier New"/>
          <w:sz w:val="16"/>
          <w:szCs w:val="16"/>
          <w:color w:val="auto"/>
        </w:rPr>
        <w:t>77 Water Street, 20th Floor</w:t>
      </w:r>
    </w:p>
    <w:p>
      <w:pPr>
        <w:ind w:left="2880"/>
        <w:spacing w:after="0" w:line="237" w:lineRule="auto"/>
        <w:rPr>
          <w:sz w:val="20"/>
          <w:szCs w:val="20"/>
          <w:color w:val="auto"/>
        </w:rPr>
      </w:pPr>
      <w:r>
        <w:rPr>
          <w:rFonts w:ascii="Courier New" w:cs="Courier New" w:eastAsia="Courier New" w:hAnsi="Courier New"/>
          <w:sz w:val="16"/>
          <w:szCs w:val="16"/>
          <w:color w:val="auto"/>
        </w:rPr>
        <w:t>New York, NY 10005</w:t>
      </w:r>
    </w:p>
    <w:p>
      <w:pPr>
        <w:ind w:left="2600"/>
        <w:spacing w:after="0" w:line="237" w:lineRule="auto"/>
        <w:rPr>
          <w:sz w:val="20"/>
          <w:szCs w:val="20"/>
          <w:color w:val="auto"/>
        </w:rPr>
      </w:pPr>
      <w:r>
        <w:rPr>
          <w:rFonts w:ascii="Courier New" w:cs="Courier New" w:eastAsia="Courier New" w:hAnsi="Courier New"/>
          <w:sz w:val="16"/>
          <w:szCs w:val="16"/>
          <w:color w:val="auto"/>
        </w:rPr>
        <w:t>Toll Free: (800) 431-9643</w:t>
      </w:r>
    </w:p>
    <w:p>
      <w:pPr>
        <w:ind w:left="1580"/>
        <w:spacing w:after="0" w:line="237" w:lineRule="auto"/>
        <w:rPr>
          <w:sz w:val="20"/>
          <w:szCs w:val="20"/>
          <w:color w:val="auto"/>
        </w:rPr>
      </w:pPr>
      <w:r>
        <w:rPr>
          <w:rFonts w:ascii="Courier New" w:cs="Courier New" w:eastAsia="Courier New" w:hAnsi="Courier New"/>
          <w:sz w:val="16"/>
          <w:szCs w:val="16"/>
          <w:color w:val="auto"/>
        </w:rPr>
        <w:t>Banks and Brokers call collect: (212) 269-5550</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INFORMATION ABOUT JMI</w:t>
      </w:r>
    </w:p>
    <w:p>
      <w:pPr>
        <w:spacing w:after="0" w:line="183" w:lineRule="exact"/>
        <w:rPr>
          <w:sz w:val="20"/>
          <w:szCs w:val="20"/>
          <w:color w:val="auto"/>
        </w:rPr>
      </w:pPr>
    </w:p>
    <w:p>
      <w:pPr>
        <w:jc w:val="both"/>
        <w:ind w:right="2779" w:firstLine="1674"/>
        <w:spacing w:after="0" w:line="272" w:lineRule="auto"/>
        <w:rPr>
          <w:sz w:val="20"/>
          <w:szCs w:val="20"/>
          <w:color w:val="auto"/>
        </w:rPr>
      </w:pPr>
      <w:r>
        <w:rPr>
          <w:rFonts w:ascii="Courier New" w:cs="Courier New" w:eastAsia="Courier New" w:hAnsi="Courier New"/>
          <w:sz w:val="14"/>
          <w:szCs w:val="14"/>
          <w:color w:val="auto"/>
        </w:rPr>
        <w:t>JMI is a Nevada corporation and a wholly-owned subsidiary of Jewelcor, Inc., a Pennsylvania corporation ("JI"), which in turn is a wholly-owned subsidiary of S.H. Holdings, Inc. ("SH"). Seymour Holtzman and Evelyn Holtzman, husband and wife, own, as tenants by the entirety, a controlling interest of SH. The principal business of JMI is investment and management services. The principal business of JI is the rental of commercial real estate. SH is a holding company. Mr. Holtzman is the President, Chief Executive Officer and Chairman of the Board of Directors of each of JMI, JI and SH. As of the date of this Consent Statement, JMI owns an aggregate of 1,570,200 shares of Common Stock representing approximately 9.9% of the shares of the Common Stock outstanding on December 7, 1998, as reported by the Company in the Preliminary Consent Revocation Statement (as defined herein) filed with the Securities and Exchange Commission (the "Commission") on December 11, 1998. The business address and the address of the principal executive offices of JMI is 100 North Wilkes-Barre Blvd., Wilkes-Barre, Pennsylvania 18702.</w:t>
      </w:r>
    </w:p>
    <w:p>
      <w:pPr>
        <w:spacing w:after="0" w:line="346"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Additional information about JMI and its Nominees is set forth under the heading "Certain Other Information Regarding JMI and the JMI Nominees" and in Annex A attached to this Consent Statement.</w:t>
      </w:r>
    </w:p>
    <w:p>
      <w:pPr>
        <w:sectPr>
          <w:pgSz w:w="11900" w:h="16838" w:orient="portrait"/>
          <w:cols w:equalWidth="0" w:num="1">
            <w:col w:w="10219"/>
          </w:cols>
          <w:pgMar w:left="240" w:top="1370" w:right="1440" w:bottom="1440" w:gutter="0" w:footer="0" w:header="0"/>
        </w:sectPr>
      </w:pPr>
    </w:p>
    <w:bookmarkStart w:id="4" w:name="page5"/>
    <w:bookmarkEnd w:id="4"/>
    <w:p>
      <w:pPr>
        <w:ind w:left="1945"/>
        <w:spacing w:after="0"/>
        <w:rPr>
          <w:sz w:val="20"/>
          <w:szCs w:val="20"/>
          <w:color w:val="auto"/>
        </w:rPr>
      </w:pPr>
      <w:r>
        <w:rPr>
          <w:rFonts w:ascii="Courier New" w:cs="Courier New" w:eastAsia="Courier New" w:hAnsi="Courier New"/>
          <w:sz w:val="16"/>
          <w:szCs w:val="16"/>
          <w:color w:val="auto"/>
        </w:rPr>
        <w:t>BACKGROUND OF THE CONSENT SOLICITATION</w:t>
      </w:r>
    </w:p>
    <w:p>
      <w:pPr>
        <w:spacing w:after="0" w:line="183" w:lineRule="exact"/>
        <w:rPr>
          <w:sz w:val="20"/>
          <w:szCs w:val="20"/>
          <w:color w:val="auto"/>
        </w:r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Beginning in October 1998, JMI began to acquire shares of the Company's Common Stock because JMI believed that the then current trading prices of the Common Stock did not adequately reflect the value of the underlying business and assets of the Company.</w:t>
      </w:r>
    </w:p>
    <w:p>
      <w:pPr>
        <w:spacing w:after="0" w:line="185" w:lineRule="exact"/>
        <w:rPr>
          <w:sz w:val="20"/>
          <w:szCs w:val="20"/>
          <w:color w:val="auto"/>
        </w:r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On November 27, 1998 JMI, JI, SH and Seymour and Evelyn Holtzman (the "Reporting Persons") filed with the Commission a Statement on Schedule 13D (the "Schedule 13D") disclosing that JMI had acquired in excess of 5% of the outstanding shares of the Company's Common Stock.</w:t>
      </w:r>
    </w:p>
    <w:p>
      <w:pPr>
        <w:spacing w:after="0" w:line="185" w:lineRule="exact"/>
        <w:rPr>
          <w:sz w:val="20"/>
          <w:szCs w:val="20"/>
          <w:color w:val="auto"/>
        </w:rPr>
      </w:pPr>
    </w:p>
    <w:p>
      <w:pPr>
        <w:jc w:val="both"/>
        <w:ind w:left="5" w:right="2779" w:firstLine="1674"/>
        <w:spacing w:after="0" w:line="279" w:lineRule="auto"/>
        <w:rPr>
          <w:sz w:val="20"/>
          <w:szCs w:val="20"/>
          <w:color w:val="auto"/>
        </w:rPr>
      </w:pPr>
      <w:r>
        <w:rPr>
          <w:rFonts w:ascii="Courier New" w:cs="Courier New" w:eastAsia="Courier New" w:hAnsi="Courier New"/>
          <w:sz w:val="14"/>
          <w:szCs w:val="14"/>
          <w:color w:val="auto"/>
        </w:rPr>
        <w:t>On December 1, 1998 the Reporting Persons filed an amendment to the Schedule 13D disclosing that JMI had acquired an additional 528,500 shares of the Company's Common Stock, bringing JMI's ownership to approximately 9.9% of the Common Stock last reported by the Company as outstanding.</w:t>
      </w:r>
    </w:p>
    <w:p>
      <w:pPr>
        <w:spacing w:after="0" w:line="157" w:lineRule="exact"/>
        <w:rPr>
          <w:sz w:val="20"/>
          <w:szCs w:val="20"/>
          <w:color w:val="auto"/>
        </w:r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The total amount of funds required to purchase the shares of Common Stock acquired by JMI since October 26, 1998 was $976,978.50, all of which was obtained through credit made available to JMI under standard margin agreements with a registered broker dealer entered into in the ordinary course of business.</w:t>
      </w:r>
    </w:p>
    <w:p>
      <w:pPr>
        <w:spacing w:after="0" w:line="186" w:lineRule="exact"/>
        <w:rPr>
          <w:sz w:val="20"/>
          <w:szCs w:val="20"/>
          <w:color w:val="auto"/>
        </w:rPr>
      </w:pPr>
    </w:p>
    <w:p>
      <w:pPr>
        <w:jc w:val="both"/>
        <w:ind w:left="5" w:right="2779" w:firstLine="1674"/>
        <w:spacing w:after="0" w:line="275" w:lineRule="auto"/>
        <w:rPr>
          <w:sz w:val="20"/>
          <w:szCs w:val="20"/>
          <w:color w:val="auto"/>
        </w:rPr>
      </w:pPr>
      <w:r>
        <w:rPr>
          <w:rFonts w:ascii="Courier New" w:cs="Courier New" w:eastAsia="Courier New" w:hAnsi="Courier New"/>
          <w:sz w:val="14"/>
          <w:szCs w:val="14"/>
          <w:color w:val="auto"/>
        </w:rPr>
        <w:t>On December 7, 1998, JMI delivered a preliminary copy of this Consent Statement (the "Preliminary Consent Statement") and the JMI written consent in favor of the Proposals to the Company. JMI also delivered a demand for the Company to provide, among other things, a list of stockholders of the Company to assist JMI in delivering this Consent Statement to the Company's stockholders and in communicating with such stockholders.</w:t>
      </w:r>
    </w:p>
    <w:p>
      <w:pPr>
        <w:spacing w:after="0" w:line="162" w:lineRule="exact"/>
        <w:rPr>
          <w:sz w:val="20"/>
          <w:szCs w:val="20"/>
          <w:color w:val="auto"/>
        </w:rPr>
      </w:pPr>
    </w:p>
    <w:p>
      <w:pPr>
        <w:jc w:val="both"/>
        <w:ind w:left="5" w:right="2779" w:firstLine="1674"/>
        <w:spacing w:after="0" w:line="236" w:lineRule="auto"/>
        <w:rPr>
          <w:sz w:val="20"/>
          <w:szCs w:val="20"/>
          <w:color w:val="auto"/>
        </w:rPr>
      </w:pPr>
      <w:r>
        <w:rPr>
          <w:rFonts w:ascii="Courier New" w:cs="Courier New" w:eastAsia="Courier New" w:hAnsi="Courier New"/>
          <w:sz w:val="16"/>
          <w:szCs w:val="16"/>
          <w:color w:val="auto"/>
        </w:rPr>
        <w:t>On December 11, 1998, the Company filed with the Commission a preliminary Revocation of Consent Statement on Schedule 14A (the "Preliminary Consent Revocation Statement") in opposition to the solicitation by JMI of written consents from the stockholders of the Company. On December 11, 1998, the Company also filed with the Commission a Form 8-K reporting that it had amended its By-Laws (the "Designs By-Law Amendment") to provide, among other things, that no action by written consent of the stockholders without a meeting shall be effective until the date an independent inspector certifies to the Company that the consents delivered constitute at least the minimum number of votes that would be necessary to take the corporate action.</w:t>
      </w:r>
    </w:p>
    <w:p>
      <w:pPr>
        <w:spacing w:after="0" w:line="186" w:lineRule="exact"/>
        <w:rPr>
          <w:sz w:val="20"/>
          <w:szCs w:val="20"/>
          <w:color w:val="auto"/>
        </w:rPr>
      </w:pPr>
    </w:p>
    <w:p>
      <w:pPr>
        <w:jc w:val="both"/>
        <w:ind w:left="5" w:right="2779" w:firstLine="1674"/>
        <w:spacing w:after="0" w:line="276" w:lineRule="auto"/>
        <w:rPr>
          <w:sz w:val="20"/>
          <w:szCs w:val="20"/>
          <w:color w:val="auto"/>
        </w:rPr>
      </w:pPr>
      <w:r>
        <w:rPr>
          <w:rFonts w:ascii="Courier New" w:cs="Courier New" w:eastAsia="Courier New" w:hAnsi="Courier New"/>
          <w:sz w:val="14"/>
          <w:szCs w:val="14"/>
          <w:color w:val="auto"/>
        </w:rPr>
        <w:t>JMI believes that the Company's existing business plan and strategy, which has been formulated and implemented under the direction of the current Board of Directors and management, has demonstrably failed to enhance stockholder value and the Company's business prospects. Examples of the results of this failure can be seen from information reported by the Company:</w:t>
      </w:r>
    </w:p>
    <w:p>
      <w:pPr>
        <w:spacing w:after="0" w:line="161" w:lineRule="exact"/>
        <w:rPr>
          <w:sz w:val="20"/>
          <w:szCs w:val="20"/>
          <w:color w:val="auto"/>
        </w:rPr>
      </w:pPr>
    </w:p>
    <w:p>
      <w:pPr>
        <w:jc w:val="both"/>
        <w:ind w:left="845" w:right="2779" w:hanging="845"/>
        <w:spacing w:after="0" w:line="235" w:lineRule="auto"/>
        <w:tabs>
          <w:tab w:leader="none" w:pos="84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reported an operating loss of approximately $46.1 million (approximately $21.6 million of which represents a pre-tax nonrecurring charge) for the fiscal year ended January 31, 1998 (reported in the Company's Form 10-K for such fiscal year).</w:t>
      </w:r>
    </w:p>
    <w:p>
      <w:pPr>
        <w:sectPr>
          <w:pgSz w:w="11900" w:h="16838" w:orient="portrait"/>
          <w:cols w:equalWidth="0" w:num="1">
            <w:col w:w="10224"/>
          </w:cols>
          <w:pgMar w:left="235" w:top="1006" w:right="1440" w:bottom="1440" w:gutter="0" w:footer="0" w:header="0"/>
        </w:sectPr>
      </w:pPr>
    </w:p>
    <w:bookmarkStart w:id="5" w:name="page6"/>
    <w:bookmarkEnd w:id="5"/>
    <w:p>
      <w:pPr>
        <w:jc w:val="both"/>
        <w:ind w:left="845" w:right="2779" w:hanging="845"/>
        <w:spacing w:after="0" w:line="235"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reported an operating loss of approximately $5.0 million for the quarter ended May 2, 1998 (reported in the Company's Form 10-Q for such quarter).</w:t>
      </w:r>
    </w:p>
    <w:p>
      <w:pPr>
        <w:spacing w:after="0" w:line="183" w:lineRule="exact"/>
        <w:rPr>
          <w:rFonts w:ascii="Courier New" w:cs="Courier New" w:eastAsia="Courier New" w:hAnsi="Courier New"/>
          <w:sz w:val="16"/>
          <w:szCs w:val="16"/>
          <w:color w:val="auto"/>
        </w:rPr>
      </w:pPr>
    </w:p>
    <w:p>
      <w:pPr>
        <w:jc w:val="both"/>
        <w:ind w:left="845" w:right="2779" w:hanging="845"/>
        <w:spacing w:after="0" w:line="235"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reported an operating loss of approximately $5.1 million for the quarter ended August 1, 1998 (reported in the Company's Form 10-Q for such quarter).</w:t>
      </w:r>
    </w:p>
    <w:p>
      <w:pPr>
        <w:spacing w:after="0" w:line="183" w:lineRule="exact"/>
        <w:rPr>
          <w:rFonts w:ascii="Courier New" w:cs="Courier New" w:eastAsia="Courier New" w:hAnsi="Courier New"/>
          <w:sz w:val="16"/>
          <w:szCs w:val="16"/>
          <w:color w:val="auto"/>
        </w:rPr>
      </w:pPr>
    </w:p>
    <w:p>
      <w:pPr>
        <w:jc w:val="both"/>
        <w:ind w:left="845" w:right="2779" w:hanging="845"/>
        <w:spacing w:after="0" w:line="235" w:lineRule="auto"/>
        <w:tabs>
          <w:tab w:leader="none" w:pos="84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reported an operating loss of approximately $15.2 million (approximately $13.4 million of which represents a pre-tax nonrecurring charge) for the quarter ended October 31, 1998 (reported in the Company's Form 10-Q for such quarter).</w:t>
      </w:r>
    </w:p>
    <w:p>
      <w:pPr>
        <w:spacing w:after="0" w:line="185" w:lineRule="exact"/>
        <w:rPr>
          <w:sz w:val="20"/>
          <w:szCs w:val="20"/>
          <w:color w:val="auto"/>
        </w:r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The closing price for the Company's Common Stock on December 31, 1994, the month in which Mr. Reichman became Chief Executive Officer was $7.00. The closing price for the Company's Common Stock on November 25, 1998, the business day preceding the filing by JMI of its initial Schedule 13D, was $.69 -- a decline of $6.31 or approximately 90%.</w:t>
      </w:r>
    </w:p>
    <w:p>
      <w:pPr>
        <w:spacing w:after="0" w:line="186" w:lineRule="exact"/>
        <w:rPr>
          <w:sz w:val="20"/>
          <w:szCs w:val="20"/>
          <w:color w:val="auto"/>
        </w:r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Based upon JMI's review of the Company's business and financial results, JMI firmly believes that the execution of the strategic business plan of the Company as designed and implemented by the existing Board of Directors and management has been a complete failure for the Company and its stockholders.</w:t>
      </w:r>
    </w:p>
    <w:p>
      <w:pPr>
        <w:spacing w:after="0" w:line="186" w:lineRule="exact"/>
        <w:rPr>
          <w:sz w:val="20"/>
          <w:szCs w:val="20"/>
          <w:color w:val="auto"/>
        </w:rPr>
      </w:pPr>
    </w:p>
    <w:p>
      <w:pPr>
        <w:jc w:val="both"/>
        <w:ind w:left="5" w:right="2779" w:firstLine="1674"/>
        <w:spacing w:after="0" w:line="273" w:lineRule="auto"/>
        <w:rPr>
          <w:sz w:val="20"/>
          <w:szCs w:val="20"/>
          <w:color w:val="auto"/>
        </w:rPr>
      </w:pPr>
      <w:r>
        <w:rPr>
          <w:rFonts w:ascii="Courier New" w:cs="Courier New" w:eastAsia="Courier New" w:hAnsi="Courier New"/>
          <w:sz w:val="14"/>
          <w:szCs w:val="14"/>
          <w:color w:val="auto"/>
        </w:rPr>
        <w:t>If the JMI Nominees are elected as directors of the Company, they will immediately undertake a review of the Company's business plan and management to determine a plan to enhance stockholder value. Based upon JMI's review of the Company's existing business strategy as reported by the Company, it believes that the Company should decisively return to a business strategy focused principally on marketing Levi's(R) and Dockers(R) brand name merchandise through factory outlet stores. JMI believes that the Company should shift away from, and exit, the business associated with the Boston Trading Co.(R) vertically integrated private label concept and the Buffalo Jeans product, and, subject to existing commitments, close unprofitable stores.</w:t>
      </w:r>
    </w:p>
    <w:p>
      <w:pPr>
        <w:spacing w:after="0" w:line="344" w:lineRule="exact"/>
        <w:rPr>
          <w:sz w:val="20"/>
          <w:szCs w:val="20"/>
          <w:color w:val="auto"/>
        </w:rPr>
      </w:pPr>
    </w:p>
    <w:p>
      <w:pPr>
        <w:jc w:val="both"/>
        <w:ind w:left="5" w:right="2779" w:firstLine="1674"/>
        <w:spacing w:after="0" w:line="273" w:lineRule="auto"/>
        <w:rPr>
          <w:sz w:val="20"/>
          <w:szCs w:val="20"/>
          <w:color w:val="auto"/>
        </w:rPr>
      </w:pPr>
      <w:r>
        <w:rPr>
          <w:rFonts w:ascii="Courier New" w:cs="Courier New" w:eastAsia="Courier New" w:hAnsi="Courier New"/>
          <w:sz w:val="14"/>
          <w:szCs w:val="14"/>
          <w:color w:val="auto"/>
        </w:rPr>
        <w:t>As part of its overall review and shift toward the core business of selling Levi's(R) and Dockers(R) branded merchandise at factory outlet stores, the JMI Nominees will examine the existing management structure and personnel and seek to make necessary management changes where appropriate. The JMI Nominees would also seek to substantially reduce administrative and other overhead expenses to become a true low cost retail operator with a goal of creating a sustainable competitive advantage. The JMI Nominees would also consider all other options to enhance stockholder value, including, but not limited to, a sale or merger of the Company or stock buy back programs.</w:t>
      </w:r>
    </w:p>
    <w:p>
      <w:pPr>
        <w:spacing w:after="0" w:line="165" w:lineRule="exact"/>
        <w:rPr>
          <w:sz w:val="20"/>
          <w:szCs w:val="20"/>
          <w:color w:val="auto"/>
        </w:rPr>
      </w:pPr>
    </w:p>
    <w:p>
      <w:pPr>
        <w:jc w:val="both"/>
        <w:ind w:left="5" w:right="2779" w:firstLine="1674"/>
        <w:spacing w:after="0" w:line="274" w:lineRule="auto"/>
        <w:rPr>
          <w:sz w:val="20"/>
          <w:szCs w:val="20"/>
          <w:color w:val="auto"/>
        </w:rPr>
      </w:pPr>
      <w:r>
        <w:rPr>
          <w:rFonts w:ascii="Courier New" w:cs="Courier New" w:eastAsia="Courier New" w:hAnsi="Courier New"/>
          <w:sz w:val="14"/>
          <w:szCs w:val="14"/>
          <w:color w:val="auto"/>
        </w:rPr>
        <w:t>This approach differs from JMI's understanding of the Company's present business plans in that the Company does not appear to have determined to completely focus on merchandizing of Levis(R) and Dockers(R) brand name products through outlet stores. Moreover, JMI would seek to more significantly reduce administrative and other overhead expenses from those recently proposed by the Company. In addition, to JMI's knowledge, the Company has not announced a plan to consider changes to management structure and personnel. The foregoing description of the Company's present plans is based</w:t>
      </w:r>
    </w:p>
    <w:p>
      <w:pPr>
        <w:sectPr>
          <w:pgSz w:w="11900" w:h="16838" w:orient="portrait"/>
          <w:cols w:equalWidth="0" w:num="1">
            <w:col w:w="10224"/>
          </w:cols>
          <w:pgMar w:left="235" w:top="1012" w:right="1440" w:bottom="1440" w:gutter="0" w:footer="0" w:header="0"/>
        </w:sectPr>
      </w:pPr>
    </w:p>
    <w:bookmarkStart w:id="6" w:name="page7"/>
    <w:bookmarkEnd w:id="6"/>
    <w:p>
      <w:pPr>
        <w:jc w:val="both"/>
        <w:ind w:right="2779"/>
        <w:spacing w:after="0" w:line="235" w:lineRule="auto"/>
        <w:rPr>
          <w:sz w:val="20"/>
          <w:szCs w:val="20"/>
          <w:color w:val="auto"/>
        </w:rPr>
      </w:pPr>
      <w:r>
        <w:rPr>
          <w:rFonts w:ascii="Courier New" w:cs="Courier New" w:eastAsia="Courier New" w:hAnsi="Courier New"/>
          <w:sz w:val="16"/>
          <w:szCs w:val="16"/>
          <w:color w:val="auto"/>
        </w:rPr>
        <w:t>solely upon JMI's understanding of such plans based upon the Company's public statements which have been reviewed by JMI. In addition, stockholders should note that on December 11, 1998, the Company announced that it was considering strategic alternatives, including a possible sale of the Company, which could result in a further change in its announced business strategy.</w:t>
      </w:r>
    </w:p>
    <w:p>
      <w:pPr>
        <w:spacing w:after="0" w:line="186"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As part of this Consent Solicitation, JMI is not seeking to remove the current chairman, Stanley I. Berger. Mr. Holtzman, the Chairman of the Board and President of JMI, has personally known Mr. Berger for many years. Mr. Berger had served as the Chief Executive Officer of the Company when the Company was financially healthy and since that time, while under the management of a different Chief Executive Officer, the financial condition of the Company had deteriorated. JMI believes that it would be in the best interests of the stockholders for Mr. Berger to remain as a director of the Company and, therefore, has not proposed that he be removed as a director. However, there can be no assurance that Mr. Berger will continue to serve as a director if the JMI Nominees are elected. If Mr. Berger declines to serve as a director if the Nominees are elected or were to resign prior to the effectiveness of this consent solicitation, the JMI Nominees currently intend to fill the vacancy on the Board created by his resignation. There are no existing arrangements or understandings between Mr. Berger and Mr. Holtzman or his affiliates relating to the Company or this consent solicitation. JMI expects to solicit Mr. Berger's (and other stockholders') consent in favor of the JMI Proposals and hopes that he will be willing to remain as a director and/or Chairman of the Company in the event the JMI Nominees are elected.</w:t>
      </w:r>
    </w:p>
    <w:p>
      <w:pPr>
        <w:spacing w:after="0" w:line="18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PROPOSALS</w:t>
      </w:r>
    </w:p>
    <w:p>
      <w:pPr>
        <w:spacing w:after="0" w:line="183" w:lineRule="exact"/>
        <w:rPr>
          <w:sz w:val="20"/>
          <w:szCs w:val="20"/>
          <w:color w:val="auto"/>
        </w:rPr>
      </w:pPr>
    </w:p>
    <w:p>
      <w:pPr>
        <w:jc w:val="both"/>
        <w:ind w:right="2779" w:firstLine="1674"/>
        <w:spacing w:after="0" w:line="283" w:lineRule="auto"/>
        <w:rPr>
          <w:sz w:val="20"/>
          <w:szCs w:val="20"/>
          <w:color w:val="auto"/>
        </w:rPr>
      </w:pPr>
      <w:r>
        <w:rPr>
          <w:rFonts w:ascii="Courier New" w:cs="Courier New" w:eastAsia="Courier New" w:hAnsi="Courier New"/>
          <w:sz w:val="14"/>
          <w:szCs w:val="14"/>
          <w:color w:val="auto"/>
        </w:rPr>
        <w:t>JMI is seeking written consents from the holders of shares of Common Stock to elect the Nominees and adopt the other Proposals and to take the following actions without a stockholders meeting, as permitted by the DGCL.</w:t>
      </w:r>
    </w:p>
    <w:p>
      <w:pPr>
        <w:spacing w:after="0" w:line="155"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The effectiveness of each of the Proposals is subject to, and conditioned upon, the adoption of each of the other Proposals by the holders of record, as of the close of business on the Record Date, of a majority of the shares of the Company's Common Stock then outstanding. However, if Proposal 5 is not so adopted, JMI reserves the right to waive this condition, but only with respect to Proposal 5.</w:t>
      </w:r>
    </w:p>
    <w:p>
      <w:pPr>
        <w:spacing w:after="0" w:line="177" w:lineRule="exact"/>
        <w:rPr>
          <w:sz w:val="20"/>
          <w:szCs w:val="20"/>
          <w:color w:val="auto"/>
        </w:rPr>
      </w:pPr>
    </w:p>
    <w:p>
      <w:pPr>
        <w:ind w:left="2320" w:hanging="650"/>
        <w:spacing w:after="0"/>
        <w:tabs>
          <w:tab w:leader="none" w:pos="23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Removal Proposal</w:t>
      </w:r>
    </w:p>
    <w:p>
      <w:pPr>
        <w:ind w:left="2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1674"/>
        <w:spacing w:after="0" w:line="283" w:lineRule="auto"/>
        <w:rPr>
          <w:sz w:val="20"/>
          <w:szCs w:val="20"/>
          <w:color w:val="auto"/>
        </w:rPr>
      </w:pPr>
      <w:r>
        <w:rPr>
          <w:rFonts w:ascii="Courier New" w:cs="Courier New" w:eastAsia="Courier New" w:hAnsi="Courier New"/>
          <w:sz w:val="14"/>
          <w:szCs w:val="14"/>
          <w:color w:val="auto"/>
        </w:rPr>
        <w:t>This proposal would remove each of the current members of the Company's Board of Directors other than the Remaining Director and the persons elected pursuant to this consent. The text of the resolution is as follows:</w:t>
      </w:r>
    </w:p>
    <w:p>
      <w:pPr>
        <w:spacing w:after="0" w:line="155" w:lineRule="exact"/>
        <w:rPr>
          <w:sz w:val="20"/>
          <w:szCs w:val="20"/>
          <w:color w:val="auto"/>
        </w:rPr>
      </w:pPr>
    </w:p>
    <w:p>
      <w:pPr>
        <w:jc w:val="both"/>
        <w:ind w:left="1760" w:right="2779"/>
        <w:spacing w:after="0" w:line="273" w:lineRule="auto"/>
        <w:rPr>
          <w:sz w:val="20"/>
          <w:szCs w:val="20"/>
          <w:color w:val="auto"/>
        </w:rPr>
      </w:pPr>
      <w:r>
        <w:rPr>
          <w:rFonts w:ascii="Courier New" w:cs="Courier New" w:eastAsia="Courier New" w:hAnsi="Courier New"/>
          <w:sz w:val="14"/>
          <w:szCs w:val="14"/>
          <w:color w:val="auto"/>
        </w:rPr>
        <w:t>"RESOLVED, that (i) each current member of the Board of Directors of the Company, other than Stanley I. Berger (the "Remaining Director") and (ii) any other person or persons (other than the persons elected pursuant to this consent) elected or appointed to the Board of Directors of the Company, prior to the effective time of this resolution, in addition to or in lieu of any of such current members (including any persons elected or appointed in lieu of the Remaining Director) to fill any newly created directorship or</w:t>
      </w:r>
    </w:p>
    <w:p>
      <w:pPr>
        <w:sectPr>
          <w:pgSz w:w="11900" w:h="16838" w:orient="portrait"/>
          <w:cols w:equalWidth="0" w:num="1">
            <w:col w:w="10219"/>
          </w:cols>
          <w:pgMar w:left="240" w:top="833" w:right="1440" w:bottom="1440" w:gutter="0" w:footer="0" w:header="0"/>
        </w:sectPr>
      </w:pPr>
    </w:p>
    <w:bookmarkStart w:id="7" w:name="page8"/>
    <w:bookmarkEnd w:id="7"/>
    <w:p>
      <w:pPr>
        <w:spacing w:after="0" w:line="109" w:lineRule="exact"/>
        <w:rPr>
          <w:sz w:val="20"/>
          <w:szCs w:val="20"/>
          <w:color w:val="auto"/>
        </w:rPr>
      </w:pPr>
    </w:p>
    <w:p>
      <w:pPr>
        <w:jc w:val="both"/>
        <w:ind w:left="1760" w:right="2779"/>
        <w:spacing w:after="0" w:line="283" w:lineRule="auto"/>
        <w:rPr>
          <w:sz w:val="20"/>
          <w:szCs w:val="20"/>
          <w:color w:val="auto"/>
        </w:rPr>
      </w:pPr>
      <w:r>
        <w:rPr>
          <w:rFonts w:ascii="Courier New" w:cs="Courier New" w:eastAsia="Courier New" w:hAnsi="Courier New"/>
          <w:sz w:val="14"/>
          <w:szCs w:val="14"/>
          <w:color w:val="auto"/>
        </w:rPr>
        <w:t>vacancy on the Board of Directors of the Company, or otherwise, is hereby removed and the office of each such member of the Board of Directors is hereby declared vacant."</w:t>
      </w:r>
    </w:p>
    <w:p>
      <w:pPr>
        <w:spacing w:after="0" w:line="155"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Delaware law provides, as relevant here, that directors of the Company may be removed, with or without cause, by the holders of a majority of the shares of Common Stock then entitled to vote at an election of the directors. This Proposal would remove all of the current directors (other than the Remaining Director) so that the Nominees, if elected, along with the Remaining Director, would constitute the entire Board of Directors.</w:t>
      </w:r>
    </w:p>
    <w:p>
      <w:pPr>
        <w:spacing w:after="0" w:line="177" w:lineRule="exact"/>
        <w:rPr>
          <w:sz w:val="20"/>
          <w:szCs w:val="20"/>
          <w:color w:val="auto"/>
        </w:rPr>
      </w:pPr>
    </w:p>
    <w:p>
      <w:pPr>
        <w:ind w:left="2320" w:hanging="650"/>
        <w:spacing w:after="0"/>
        <w:tabs>
          <w:tab w:leader="none" w:pos="23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Election Proposal</w:t>
      </w:r>
    </w:p>
    <w:p>
      <w:pPr>
        <w:ind w:left="2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right="2779" w:firstLine="1674"/>
        <w:spacing w:after="0" w:line="234" w:lineRule="auto"/>
        <w:rPr>
          <w:sz w:val="20"/>
          <w:szCs w:val="20"/>
          <w:color w:val="auto"/>
        </w:rPr>
      </w:pPr>
      <w:r>
        <w:rPr>
          <w:rFonts w:ascii="Courier New" w:cs="Courier New" w:eastAsia="Courier New" w:hAnsi="Courier New"/>
          <w:sz w:val="16"/>
          <w:szCs w:val="16"/>
          <w:color w:val="auto"/>
        </w:rPr>
        <w:t>This proposal would elect the five persons listed below as directors of the Company. The text of the resolution is as follows:</w:t>
      </w:r>
    </w:p>
    <w:p>
      <w:pPr>
        <w:spacing w:after="0" w:line="183" w:lineRule="exact"/>
        <w:rPr>
          <w:sz w:val="20"/>
          <w:szCs w:val="20"/>
          <w:color w:val="auto"/>
        </w:rPr>
      </w:pPr>
    </w:p>
    <w:p>
      <w:pPr>
        <w:jc w:val="both"/>
        <w:ind w:left="1660" w:right="2779"/>
        <w:spacing w:after="0" w:line="235" w:lineRule="auto"/>
        <w:rPr>
          <w:sz w:val="20"/>
          <w:szCs w:val="20"/>
          <w:color w:val="auto"/>
        </w:rPr>
      </w:pPr>
      <w:r>
        <w:rPr>
          <w:rFonts w:ascii="Courier New" w:cs="Courier New" w:eastAsia="Courier New" w:hAnsi="Courier New"/>
          <w:sz w:val="16"/>
          <w:szCs w:val="16"/>
          <w:color w:val="auto"/>
        </w:rPr>
        <w:t>"RESOLVED, that the following persons are hereby elected as directors of the Company to serve until their respective successors are duly elected and qualified:</w:t>
      </w:r>
    </w:p>
    <w:p>
      <w:pPr>
        <w:spacing w:after="0" w:line="183" w:lineRule="exact"/>
        <w:rPr>
          <w:sz w:val="20"/>
          <w:szCs w:val="20"/>
          <w:color w:val="auto"/>
        </w:rPr>
      </w:pPr>
    </w:p>
    <w:p>
      <w:pPr>
        <w:jc w:val="both"/>
        <w:ind w:left="1660" w:right="2779"/>
        <w:spacing w:after="0" w:line="234" w:lineRule="auto"/>
        <w:rPr>
          <w:sz w:val="20"/>
          <w:szCs w:val="20"/>
          <w:color w:val="auto"/>
        </w:rPr>
      </w:pPr>
      <w:r>
        <w:rPr>
          <w:rFonts w:ascii="Courier New" w:cs="Courier New" w:eastAsia="Courier New" w:hAnsi="Courier New"/>
          <w:sz w:val="16"/>
          <w:szCs w:val="16"/>
          <w:color w:val="auto"/>
        </w:rPr>
        <w:t>Jesse H. Choper, Seymour Holtzman, Peter R. McMullin, Deborah M. Rhem-Jackson and Steve R. Tomasi."</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JMI seeks to replace the current Board of Directors other than the Remaining Director with its own Nominees. If elected, the Nominees would be responsible for managing the business and affairs of the Company. The Nominees understand that, as directors of the Company, each of them has an obligation under Delaware law to the scrupulous observance of his or her duty of care and duty of loyalty to the Company and its stockholders.</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JMI proposes that the JMI Nominees named above, once elected, serve until the next annual meeting of the stockholders and until their successors have been duly elected and qualified. Each of the JMI Nominees has consented to serve as a director of the Company if elected. See the next Section for more information about the JMI Nominees.</w:t>
      </w:r>
    </w:p>
    <w:p>
      <w:pPr>
        <w:spacing w:after="0" w:line="180" w:lineRule="exact"/>
        <w:rPr>
          <w:sz w:val="20"/>
          <w:szCs w:val="20"/>
          <w:color w:val="auto"/>
        </w:rPr>
      </w:pPr>
    </w:p>
    <w:p>
      <w:pPr>
        <w:ind w:left="2320" w:hanging="650"/>
        <w:spacing w:after="0"/>
        <w:tabs>
          <w:tab w:leader="none" w:pos="23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Size Proposal</w:t>
      </w:r>
    </w:p>
    <w:p>
      <w:pPr>
        <w:ind w:left="2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This proposal would amend Section 4.1 of the By-Laws to set the number of directors on the Board of Directors at six. The text of the amending resolution to the By-Laws, which should be carefully reviewed, is set forth below.</w:t>
      </w:r>
    </w:p>
    <w:p>
      <w:pPr>
        <w:spacing w:after="0" w:line="185" w:lineRule="exact"/>
        <w:rPr>
          <w:sz w:val="20"/>
          <w:szCs w:val="20"/>
          <w:color w:val="auto"/>
        </w:rPr>
      </w:pPr>
    </w:p>
    <w:p>
      <w:pPr>
        <w:ind w:left="1660" w:right="2779"/>
        <w:spacing w:after="0" w:line="234" w:lineRule="auto"/>
        <w:rPr>
          <w:sz w:val="20"/>
          <w:szCs w:val="20"/>
          <w:color w:val="auto"/>
        </w:rPr>
      </w:pPr>
      <w:r>
        <w:rPr>
          <w:rFonts w:ascii="Courier New" w:cs="Courier New" w:eastAsia="Courier New" w:hAnsi="Courier New"/>
          <w:sz w:val="16"/>
          <w:szCs w:val="16"/>
          <w:color w:val="auto"/>
        </w:rPr>
        <w:t>"RESOLVED, that the stockholders hereby amend the first sentence of Section 4.1 of the By-Laws to read as follows:</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'The Board of Directors shall consist of six members.'"</w:t>
      </w:r>
    </w:p>
    <w:p>
      <w:pPr>
        <w:spacing w:after="0" w:line="183" w:lineRule="exact"/>
        <w:rPr>
          <w:sz w:val="20"/>
          <w:szCs w:val="20"/>
          <w:color w:val="auto"/>
        </w:rPr>
      </w:pPr>
    </w:p>
    <w:p>
      <w:pPr>
        <w:jc w:val="both"/>
        <w:ind w:right="2779" w:firstLine="1674"/>
        <w:spacing w:after="0" w:line="276" w:lineRule="auto"/>
        <w:rPr>
          <w:sz w:val="20"/>
          <w:szCs w:val="20"/>
          <w:color w:val="auto"/>
        </w:rPr>
      </w:pPr>
      <w:r>
        <w:rPr>
          <w:rFonts w:ascii="Courier New" w:cs="Courier New" w:eastAsia="Courier New" w:hAnsi="Courier New"/>
          <w:sz w:val="14"/>
          <w:szCs w:val="14"/>
          <w:color w:val="auto"/>
        </w:rPr>
        <w:t>The Company By-Laws currently provide that the Board of Directors shall consist of one or more members, with the number to be determined from time to time by the Board of Directors. The Board Size Proposal would set the number of directors on the Board of Directors at six, so that, if the Director Election Proposal is approved, the Nominees together with the</w:t>
      </w:r>
    </w:p>
    <w:p>
      <w:pPr>
        <w:sectPr>
          <w:pgSz w:w="11900" w:h="16838" w:orient="portrait"/>
          <w:cols w:equalWidth="0" w:num="1">
            <w:col w:w="10219"/>
          </w:cols>
          <w:pgMar w:left="240" w:top="144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Remaining Director would constitute the entire Board of Directors.</w:t>
      </w:r>
    </w:p>
    <w:p>
      <w:pPr>
        <w:spacing w:after="0" w:line="177" w:lineRule="exact"/>
        <w:rPr>
          <w:sz w:val="20"/>
          <w:szCs w:val="20"/>
          <w:color w:val="auto"/>
        </w:rPr>
      </w:pPr>
    </w:p>
    <w:p>
      <w:pPr>
        <w:ind w:left="2320" w:hanging="650"/>
        <w:spacing w:after="0"/>
        <w:tabs>
          <w:tab w:leader="none" w:pos="23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 Notification Clarification Proposal</w:t>
      </w:r>
    </w:p>
    <w:p>
      <w:pPr>
        <w:ind w:left="2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This proposal would amend Section 4.16 of the By-Laws to clarify that a stockholder seeking to nominate persons for election to the Board of Directors by stockholder action by written consent need not comply with the Advance Notification Provisions. The text of the resolution amending the By-Laws, which should be carefully reviewed, is set forth below.</w:t>
      </w:r>
    </w:p>
    <w:p>
      <w:pPr>
        <w:spacing w:after="0" w:line="186" w:lineRule="exact"/>
        <w:rPr>
          <w:sz w:val="20"/>
          <w:szCs w:val="20"/>
          <w:color w:val="auto"/>
        </w:rPr>
      </w:pPr>
    </w:p>
    <w:p>
      <w:pPr>
        <w:jc w:val="both"/>
        <w:ind w:left="1660" w:right="2779"/>
        <w:spacing w:after="0" w:line="235" w:lineRule="auto"/>
        <w:rPr>
          <w:sz w:val="20"/>
          <w:szCs w:val="20"/>
          <w:color w:val="auto"/>
        </w:rPr>
      </w:pPr>
      <w:r>
        <w:rPr>
          <w:rFonts w:ascii="Courier New" w:cs="Courier New" w:eastAsia="Courier New" w:hAnsi="Courier New"/>
          <w:sz w:val="16"/>
          <w:szCs w:val="16"/>
          <w:color w:val="auto"/>
        </w:rPr>
        <w:t>"RESOLVED, that the stockholders hereby amend Section 4.16 of the By-Laws by adding the following sentence after the last sentence thereof:</w:t>
      </w:r>
    </w:p>
    <w:p>
      <w:pPr>
        <w:spacing w:after="0" w:line="183" w:lineRule="exact"/>
        <w:rPr>
          <w:sz w:val="20"/>
          <w:szCs w:val="20"/>
          <w:color w:val="auto"/>
        </w:rPr>
      </w:pPr>
    </w:p>
    <w:p>
      <w:pPr>
        <w:jc w:val="both"/>
        <w:ind w:left="1660" w:right="2779"/>
        <w:spacing w:after="0" w:line="236" w:lineRule="auto"/>
        <w:rPr>
          <w:sz w:val="20"/>
          <w:szCs w:val="20"/>
          <w:color w:val="auto"/>
        </w:rPr>
      </w:pPr>
      <w:r>
        <w:rPr>
          <w:rFonts w:ascii="Courier New" w:cs="Courier New" w:eastAsia="Courier New" w:hAnsi="Courier New"/>
          <w:sz w:val="16"/>
          <w:szCs w:val="16"/>
          <w:color w:val="auto"/>
        </w:rPr>
        <w:t>'Notwithstanding anything contained in this Section 4.16 or any other provision of these By-Laws, any stockholder seeking to nominate candidates for election to the Board of Directors of the Corporation pursuant to stockholder action by written consent need not comply with any advance notification provisions contained in these By-Laws, including, without limitation, this Section 4.16.'"</w:t>
      </w:r>
    </w:p>
    <w:p>
      <w:pPr>
        <w:spacing w:after="0" w:line="184" w:lineRule="exact"/>
        <w:rPr>
          <w:sz w:val="20"/>
          <w:szCs w:val="20"/>
          <w:color w:val="auto"/>
        </w:rPr>
      </w:pPr>
    </w:p>
    <w:p>
      <w:pPr>
        <w:jc w:val="both"/>
        <w:ind w:right="2779" w:firstLine="1674"/>
        <w:spacing w:after="0" w:line="272" w:lineRule="auto"/>
        <w:rPr>
          <w:sz w:val="20"/>
          <w:szCs w:val="20"/>
          <w:color w:val="auto"/>
        </w:rPr>
      </w:pPr>
      <w:r>
        <w:rPr>
          <w:rFonts w:ascii="Courier New" w:cs="Courier New" w:eastAsia="Courier New" w:hAnsi="Courier New"/>
          <w:sz w:val="14"/>
          <w:szCs w:val="14"/>
          <w:color w:val="auto"/>
        </w:rPr>
        <w:t>Section 3.13 of the By-Laws provides that any action which may be taken at any annual or special meeting of stockholders of the Company may be taken without a meeting, without prior notice and without a vote, if proper written consent is made to the action as described therein. Section 4.16 of the By-Laws currently provides, among other things, that: "No person shall be elected by the stockholders as directors of the Corporation unless nominated in accordance with the procedures set forth in this Section 4.16." The procedures set forth in Section 4.16 purport to require certain information to be provided to the Company within certain specified time frames in order for a nomination to the Board of Directors to be made other than those made by, or at the direction of, the Board of Directors. These procedures appear to apply only to nominations for election to the Board of Directors at annual and special meetings of stockholders. Nevertheless, the Advance Notification Clarification Amendment is being proposed in order to clarify that the requirements of Section 4.16 of the By-Laws are inapplicable to the election of directors pursuant to action by written consent of stockholders.</w:t>
      </w:r>
    </w:p>
    <w:p>
      <w:pPr>
        <w:spacing w:after="0" w:line="339" w:lineRule="exact"/>
        <w:rPr>
          <w:sz w:val="20"/>
          <w:szCs w:val="20"/>
          <w:color w:val="auto"/>
        </w:rPr>
      </w:pPr>
    </w:p>
    <w:p>
      <w:pPr>
        <w:ind w:left="2320" w:hanging="557"/>
        <w:spacing w:after="0"/>
        <w:tabs>
          <w:tab w:leader="none" w:pos="23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 Proposal</w:t>
      </w:r>
    </w:p>
    <w:p>
      <w:pPr>
        <w:ind w:left="23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This proposal would repeal each provision of any amendment to the By-Laws adopted subsequent to December 11, 1995 (the effective date of the By-Laws most recently filed by the Company with the Commission prior to the filing by JMI of the Preliminary Consent Statement on December 7, 1998), and prior to the effectiveness of the Proposals other than the By-Laws adopted as contemplated by this Consent Statement. This proposal is designed to prevent the Board of Directors from taking actions to amend the By-Laws to prevent the stockholders from accomplishing the objectives described in this Consent Statement. The text of the resolution is set forth below.</w:t>
      </w:r>
    </w:p>
    <w:p>
      <w:pPr>
        <w:spacing w:after="0" w:line="185" w:lineRule="exact"/>
        <w:rPr>
          <w:sz w:val="20"/>
          <w:szCs w:val="20"/>
          <w:color w:val="auto"/>
        </w:rPr>
      </w:pPr>
    </w:p>
    <w:p>
      <w:pPr>
        <w:jc w:val="both"/>
        <w:ind w:left="1660" w:right="2779"/>
        <w:spacing w:after="0" w:line="235" w:lineRule="auto"/>
        <w:rPr>
          <w:sz w:val="20"/>
          <w:szCs w:val="20"/>
          <w:color w:val="auto"/>
        </w:rPr>
      </w:pPr>
      <w:r>
        <w:rPr>
          <w:rFonts w:ascii="Courier New" w:cs="Courier New" w:eastAsia="Courier New" w:hAnsi="Courier New"/>
          <w:sz w:val="16"/>
          <w:szCs w:val="16"/>
          <w:color w:val="auto"/>
        </w:rPr>
        <w:t>"RESOLVED, that all By-Laws adopted subsequent to December 11, 1995 and prior to the effectiveness of this resolution (other than those specifically adopted pursuant to the consent solicitation undertaken by Jewelcor Management, Inc.) shall be null and void and of no force and effect."</w:t>
      </w:r>
    </w:p>
    <w:p>
      <w:pPr>
        <w:sectPr>
          <w:pgSz w:w="11900" w:h="16838" w:orient="portrait"/>
          <w:cols w:equalWidth="0" w:num="1">
            <w:col w:w="10219"/>
          </w:cols>
          <w:pgMar w:left="240" w:top="1364" w:right="1440" w:bottom="1440" w:gutter="0" w:footer="0" w:header="0"/>
        </w:sectPr>
      </w:pPr>
    </w:p>
    <w:bookmarkStart w:id="9" w:name="page10"/>
    <w:bookmarkEnd w:id="9"/>
    <w:p>
      <w:pPr>
        <w:jc w:val="both"/>
        <w:ind w:right="2779" w:firstLine="1674"/>
        <w:spacing w:after="0" w:line="272" w:lineRule="auto"/>
        <w:rPr>
          <w:sz w:val="20"/>
          <w:szCs w:val="20"/>
          <w:color w:val="auto"/>
        </w:rPr>
      </w:pPr>
      <w:r>
        <w:rPr>
          <w:rFonts w:ascii="Courier New" w:cs="Courier New" w:eastAsia="Courier New" w:hAnsi="Courier New"/>
          <w:sz w:val="14"/>
          <w:szCs w:val="14"/>
          <w:color w:val="auto"/>
        </w:rPr>
        <w:t>Section 109 of the DGCL provides that ". . . the power to adopt, amend or repeal bylaws shall be in the stockholders entitled to vote...; provided, however, any corporation may, in its certificate of incorporation, confer the power to adopt, amend or repeal bylaws upon the directors. . . The fact that such power has been so conferred upon the directors. . .shall not divest the stockholders . . . of the power, nor limit their power to adopt, amend, or repeal bylaws." JMI believes that such an unequivocal statement makes it clear that the stockholders of the Company have the power under Delaware law to repeal By-Laws as provided by the By- Law Proposal, whether or not the By-Laws so amended or repealed are known to the stockholders. To the knowledge of JMI, the Delaware courts have not addressed the validity of a proposal in the form of the By-Law Proposal. Based upon a review of the By-Laws on file with the Commission as of December 17, 1998, JMI does not believe that the invalidity of this proposal would have an adverse effect on the stockholders or this consent solicitation. Upon effectiveness of this proposal, all By-Laws adopted subsequent to December 11, 1995, including ones that could be considered as beneficial or detrimental to the stockholders, will be repealed.</w:t>
      </w:r>
    </w:p>
    <w:p>
      <w:pPr>
        <w:spacing w:after="0" w:line="344"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If the Board of Directors of the Company adopts any material amendments to the By-Laws which are relevant to the Proposals prior to the effectiveness of the Proposals, JMI may forward additional solicitation materials to the Company's stockholders regarding such actions.</w:t>
      </w:r>
    </w:p>
    <w:p>
      <w:pPr>
        <w:spacing w:after="0" w:line="35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CERTAIN OTHER INFORMATION REGARDING JMI AND THE JMI NOMINEES</w:t>
      </w:r>
    </w:p>
    <w:p>
      <w:pPr>
        <w:spacing w:after="0" w:line="183" w:lineRule="exact"/>
        <w:rPr>
          <w:sz w:val="20"/>
          <w:szCs w:val="20"/>
          <w:color w:val="auto"/>
        </w:rPr>
      </w:pPr>
    </w:p>
    <w:p>
      <w:pPr>
        <w:jc w:val="both"/>
        <w:ind w:right="2779" w:firstLine="1674"/>
        <w:spacing w:after="0" w:line="275" w:lineRule="auto"/>
        <w:rPr>
          <w:sz w:val="20"/>
          <w:szCs w:val="20"/>
          <w:color w:val="auto"/>
        </w:rPr>
      </w:pPr>
      <w:r>
        <w:rPr>
          <w:rFonts w:ascii="Courier New" w:cs="Courier New" w:eastAsia="Courier New" w:hAnsi="Courier New"/>
          <w:sz w:val="14"/>
          <w:szCs w:val="14"/>
          <w:color w:val="auto"/>
        </w:rPr>
        <w:t>Set forth below are the name, age, business address, present principal occupation and employment history of each of the JMI Nominees for at least the past five years. This information has been furnished to JMI by the respective Nominees. Each of the Nominees has consented to serve as a director of the Company. Each of the Nominees is at least 18 years of age. None of the entities referenced below is a parent or subsidiary of the Company.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ind w:left="280"/>
              <w:spacing w:after="0"/>
              <w:rPr>
                <w:sz w:val="20"/>
                <w:szCs w:val="20"/>
                <w:color w:val="auto"/>
              </w:rPr>
            </w:pPr>
            <w:r>
              <w:rPr>
                <w:rFonts w:ascii="Courier New" w:cs="Courier New" w:eastAsia="Courier New" w:hAnsi="Courier New"/>
                <w:sz w:val="16"/>
                <w:szCs w:val="16"/>
                <w:color w:val="auto"/>
              </w:rPr>
              <w:t>Name, Age and</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Business Address</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00" w:type="dxa"/>
            <w:vAlign w:val="bottom"/>
            <w:gridSpan w:val="10"/>
          </w:tcPr>
          <w:p>
            <w:pPr>
              <w:spacing w:after="0" w:line="179" w:lineRule="exact"/>
              <w:rPr>
                <w:sz w:val="20"/>
                <w:szCs w:val="20"/>
                <w:color w:val="auto"/>
              </w:rPr>
            </w:pPr>
            <w:r>
              <w:rPr>
                <w:rFonts w:ascii="Courier New" w:cs="Courier New" w:eastAsia="Courier New" w:hAnsi="Courier New"/>
                <w:sz w:val="16"/>
                <w:szCs w:val="16"/>
                <w:color w:val="auto"/>
                <w:w w:val="96"/>
              </w:rPr>
              <w:t>Principal Occupation and Five Year History</w:t>
            </w:r>
          </w:p>
        </w:tc>
        <w:tc>
          <w:tcPr>
            <w:tcW w:w="280" w:type="dxa"/>
            <w:vAlign w:val="bottom"/>
          </w:tcPr>
          <w:p>
            <w:pPr>
              <w:spacing w:after="0"/>
              <w:rPr>
                <w:sz w:val="15"/>
                <w:szCs w:val="15"/>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00" w:type="dxa"/>
            <w:vAlign w:val="bottom"/>
            <w:gridSpan w:val="10"/>
          </w:tcPr>
          <w:p>
            <w:pPr>
              <w:spacing w:after="0" w:line="179" w:lineRule="exact"/>
              <w:rPr>
                <w:sz w:val="20"/>
                <w:szCs w:val="20"/>
                <w:color w:val="auto"/>
              </w:rPr>
            </w:pPr>
            <w:r>
              <w:rPr>
                <w:rFonts w:ascii="Courier New" w:cs="Courier New" w:eastAsia="Courier New" w:hAnsi="Courier New"/>
                <w:sz w:val="16"/>
                <w:szCs w:val="16"/>
                <w:color w:val="auto"/>
                <w:w w:val="96"/>
              </w:rPr>
              <w:t>------------------------------------------</w:t>
            </w:r>
          </w:p>
        </w:tc>
        <w:tc>
          <w:tcPr>
            <w:tcW w:w="280" w:type="dxa"/>
            <w:vAlign w:val="bottom"/>
          </w:tcPr>
          <w:p>
            <w:pPr>
              <w:spacing w:after="0"/>
              <w:rPr>
                <w:sz w:val="15"/>
                <w:szCs w:val="15"/>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Jesse H. Choper, 63</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Mr.</w:t>
            </w:r>
          </w:p>
        </w:tc>
        <w:tc>
          <w:tcPr>
            <w:tcW w:w="6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3"/>
              </w:rPr>
              <w:t>Choper</w:t>
            </w:r>
          </w:p>
        </w:tc>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has</w:t>
            </w:r>
          </w:p>
        </w:tc>
        <w:tc>
          <w:tcPr>
            <w:tcW w:w="154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been the Earl</w:t>
            </w:r>
          </w:p>
        </w:tc>
        <w:tc>
          <w:tcPr>
            <w:tcW w:w="7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Warren</w:t>
            </w:r>
          </w:p>
        </w:tc>
        <w:tc>
          <w:tcPr>
            <w:tcW w:w="9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4"/>
              </w:rPr>
              <w:t>Professor</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University of California</w:t>
            </w:r>
          </w:p>
        </w:tc>
        <w:tc>
          <w:tcPr>
            <w:tcW w:w="512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w w:val="96"/>
              </w:rPr>
              <w:t>Public Law at the University of California at Berkeley</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at Berkeley</w:t>
            </w:r>
          </w:p>
        </w:tc>
        <w:tc>
          <w:tcPr>
            <w:tcW w:w="1860" w:type="dxa"/>
            <w:vAlign w:val="bottom"/>
            <w:gridSpan w:val="5"/>
          </w:tcPr>
          <w:p>
            <w:pPr>
              <w:ind w:left="100"/>
              <w:spacing w:after="0" w:line="179" w:lineRule="exact"/>
              <w:rPr>
                <w:sz w:val="20"/>
                <w:szCs w:val="20"/>
                <w:color w:val="auto"/>
              </w:rPr>
            </w:pPr>
            <w:r>
              <w:rPr>
                <w:rFonts w:ascii="Courier New" w:cs="Courier New" w:eastAsia="Courier New" w:hAnsi="Courier New"/>
                <w:sz w:val="16"/>
                <w:szCs w:val="16"/>
                <w:color w:val="auto"/>
                <w:w w:val="95"/>
              </w:rPr>
              <w:t>School of Law since</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1965.</w:t>
            </w:r>
          </w:p>
        </w:tc>
        <w:tc>
          <w:tcPr>
            <w:tcW w:w="9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Professor</w:t>
            </w:r>
          </w:p>
        </w:tc>
        <w:tc>
          <w:tcPr>
            <w:tcW w:w="92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rPr>
              <w:t>Choper</w:t>
            </w:r>
          </w:p>
        </w:tc>
        <w:tc>
          <w:tcPr>
            <w:tcW w:w="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was the</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School of Law</w:t>
            </w:r>
          </w:p>
        </w:tc>
        <w:tc>
          <w:tcPr>
            <w:tcW w:w="3900" w:type="dxa"/>
            <w:vAlign w:val="bottom"/>
            <w:gridSpan w:val="9"/>
          </w:tcPr>
          <w:p>
            <w:pPr>
              <w:ind w:left="100"/>
              <w:spacing w:after="0" w:line="179" w:lineRule="exact"/>
              <w:rPr>
                <w:sz w:val="20"/>
                <w:szCs w:val="20"/>
                <w:color w:val="auto"/>
              </w:rPr>
            </w:pPr>
            <w:r>
              <w:rPr>
                <w:rFonts w:ascii="Courier New" w:cs="Courier New" w:eastAsia="Courier New" w:hAnsi="Courier New"/>
                <w:sz w:val="16"/>
                <w:szCs w:val="16"/>
                <w:color w:val="auto"/>
                <w:w w:val="96"/>
              </w:rPr>
              <w:t>Dean of the Law School from 1982 to 1992.</w:t>
            </w:r>
          </w:p>
        </w:tc>
        <w:tc>
          <w:tcPr>
            <w:tcW w:w="12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In 1996, he</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Berkeley, CA 94720</w:t>
            </w:r>
          </w:p>
        </w:tc>
        <w:tc>
          <w:tcPr>
            <w:tcW w:w="1580" w:type="dxa"/>
            <w:vAlign w:val="bottom"/>
            <w:gridSpan w:val="4"/>
          </w:tcPr>
          <w:p>
            <w:pPr>
              <w:ind w:left="100"/>
              <w:spacing w:after="0" w:line="179" w:lineRule="exact"/>
              <w:rPr>
                <w:sz w:val="20"/>
                <w:szCs w:val="20"/>
                <w:color w:val="auto"/>
              </w:rPr>
            </w:pPr>
            <w:r>
              <w:rPr>
                <w:rFonts w:ascii="Courier New" w:cs="Courier New" w:eastAsia="Courier New" w:hAnsi="Courier New"/>
                <w:sz w:val="16"/>
                <w:szCs w:val="16"/>
                <w:color w:val="auto"/>
              </w:rPr>
              <w:t>was a visiting</w:t>
            </w:r>
          </w:p>
        </w:tc>
        <w:tc>
          <w:tcPr>
            <w:tcW w:w="232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w w:val="95"/>
              </w:rPr>
              <w:t>Professor at  Universitad</w:t>
            </w:r>
          </w:p>
        </w:tc>
        <w:tc>
          <w:tcPr>
            <w:tcW w:w="12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Autonoma in</w:t>
            </w:r>
          </w:p>
        </w:tc>
      </w:tr>
      <w:tr>
        <w:trPr>
          <w:trHeight w:val="179"/>
        </w:trPr>
        <w:tc>
          <w:tcPr>
            <w:tcW w:w="2320" w:type="dxa"/>
            <w:vAlign w:val="bottom"/>
          </w:tcPr>
          <w:p>
            <w:pPr>
              <w:spacing w:after="0"/>
              <w:rPr>
                <w:sz w:val="15"/>
                <w:szCs w:val="15"/>
                <w:color w:val="auto"/>
              </w:rPr>
            </w:pPr>
          </w:p>
        </w:tc>
        <w:tc>
          <w:tcPr>
            <w:tcW w:w="112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Barcelona,</w:t>
            </w:r>
          </w:p>
        </w:tc>
        <w:tc>
          <w:tcPr>
            <w:tcW w:w="4000" w:type="dxa"/>
            <w:vAlign w:val="bottom"/>
            <w:gridSpan w:val="10"/>
          </w:tcPr>
          <w:p>
            <w:pPr>
              <w:jc w:val="right"/>
              <w:spacing w:after="0" w:line="179" w:lineRule="exact"/>
              <w:rPr>
                <w:sz w:val="20"/>
                <w:szCs w:val="20"/>
                <w:color w:val="auto"/>
              </w:rPr>
            </w:pPr>
            <w:r>
              <w:rPr>
                <w:rFonts w:ascii="Courier New" w:cs="Courier New" w:eastAsia="Courier New" w:hAnsi="Courier New"/>
                <w:sz w:val="16"/>
                <w:szCs w:val="16"/>
                <w:color w:val="auto"/>
                <w:w w:val="98"/>
              </w:rPr>
              <w:t>Spain. From 1960 to 1961, Professor Choper</w:t>
            </w:r>
          </w:p>
        </w:tc>
      </w:tr>
      <w:tr>
        <w:trPr>
          <w:trHeight w:val="179"/>
        </w:trPr>
        <w:tc>
          <w:tcPr>
            <w:tcW w:w="2320" w:type="dxa"/>
            <w:vAlign w:val="bottom"/>
          </w:tcPr>
          <w:p>
            <w:pPr>
              <w:spacing w:after="0"/>
              <w:rPr>
                <w:sz w:val="15"/>
                <w:szCs w:val="15"/>
                <w:color w:val="auto"/>
              </w:rPr>
            </w:pPr>
          </w:p>
        </w:tc>
        <w:tc>
          <w:tcPr>
            <w:tcW w:w="4460" w:type="dxa"/>
            <w:vAlign w:val="bottom"/>
            <w:gridSpan w:val="11"/>
          </w:tcPr>
          <w:p>
            <w:pPr>
              <w:ind w:left="100"/>
              <w:spacing w:after="0" w:line="179" w:lineRule="exact"/>
              <w:rPr>
                <w:sz w:val="20"/>
                <w:szCs w:val="20"/>
                <w:color w:val="auto"/>
              </w:rPr>
            </w:pPr>
            <w:r>
              <w:rPr>
                <w:rFonts w:ascii="Courier New" w:cs="Courier New" w:eastAsia="Courier New" w:hAnsi="Courier New"/>
                <w:sz w:val="16"/>
                <w:szCs w:val="16"/>
                <w:color w:val="auto"/>
                <w:w w:val="98"/>
              </w:rPr>
              <w:t>was a law clerk for Chief Justice Earl Warren.</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Seymour Holtzman, 63</w:t>
            </w:r>
          </w:p>
        </w:tc>
        <w:tc>
          <w:tcPr>
            <w:tcW w:w="4180" w:type="dxa"/>
            <w:vAlign w:val="bottom"/>
            <w:gridSpan w:val="10"/>
          </w:tcPr>
          <w:p>
            <w:pPr>
              <w:ind w:left="100"/>
              <w:spacing w:after="0"/>
              <w:rPr>
                <w:sz w:val="20"/>
                <w:szCs w:val="20"/>
                <w:color w:val="auto"/>
              </w:rPr>
            </w:pPr>
            <w:r>
              <w:rPr>
                <w:rFonts w:ascii="Courier New" w:cs="Courier New" w:eastAsia="Courier New" w:hAnsi="Courier New"/>
                <w:sz w:val="16"/>
                <w:szCs w:val="16"/>
                <w:color w:val="auto"/>
                <w:w w:val="98"/>
              </w:rPr>
              <w:t>Mr.  Holtzman  is  the  founder  and  Chief</w:t>
            </w:r>
          </w:p>
        </w:tc>
        <w:tc>
          <w:tcPr>
            <w:tcW w:w="9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Executive</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100 North Wilkes-Barre</w:t>
            </w:r>
          </w:p>
        </w:tc>
        <w:tc>
          <w:tcPr>
            <w:tcW w:w="1860" w:type="dxa"/>
            <w:vAlign w:val="bottom"/>
            <w:gridSpan w:val="5"/>
          </w:tcPr>
          <w:p>
            <w:pPr>
              <w:ind w:left="100"/>
              <w:spacing w:after="0" w:line="179" w:lineRule="exact"/>
              <w:rPr>
                <w:sz w:val="20"/>
                <w:szCs w:val="20"/>
                <w:color w:val="auto"/>
              </w:rPr>
            </w:pPr>
            <w:r>
              <w:rPr>
                <w:rFonts w:ascii="Courier New" w:cs="Courier New" w:eastAsia="Courier New" w:hAnsi="Courier New"/>
                <w:sz w:val="16"/>
                <w:szCs w:val="16"/>
                <w:color w:val="auto"/>
                <w:w w:val="95"/>
              </w:rPr>
              <w:t>Officer of Jewelcor</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Management,</w:t>
            </w:r>
          </w:p>
        </w:tc>
        <w:tc>
          <w:tcPr>
            <w:tcW w:w="10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Inc. Since</w:t>
            </w:r>
          </w:p>
        </w:tc>
        <w:tc>
          <w:tcPr>
            <w:tcW w:w="9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1990, Mr.</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Blvd.</w:t>
            </w:r>
          </w:p>
        </w:tc>
        <w:tc>
          <w:tcPr>
            <w:tcW w:w="9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Holtzman</w:t>
            </w:r>
          </w:p>
        </w:tc>
        <w:tc>
          <w:tcPr>
            <w:tcW w:w="218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rPr>
              <w:t>has served as Chairman</w:t>
            </w:r>
          </w:p>
        </w:tc>
        <w:tc>
          <w:tcPr>
            <w:tcW w:w="106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rPr>
              <w:t>and Chief</w:t>
            </w:r>
          </w:p>
        </w:tc>
        <w:tc>
          <w:tcPr>
            <w:tcW w:w="9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Executive</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Wilkes-Barre, PA 18702</w:t>
            </w:r>
          </w:p>
        </w:tc>
        <w:tc>
          <w:tcPr>
            <w:tcW w:w="2600" w:type="dxa"/>
            <w:vAlign w:val="bottom"/>
            <w:gridSpan w:val="6"/>
          </w:tcPr>
          <w:p>
            <w:pPr>
              <w:ind w:left="100"/>
              <w:spacing w:after="0" w:line="179" w:lineRule="exact"/>
              <w:rPr>
                <w:sz w:val="20"/>
                <w:szCs w:val="20"/>
                <w:color w:val="auto"/>
              </w:rPr>
            </w:pPr>
            <w:r>
              <w:rPr>
                <w:rFonts w:ascii="Courier New" w:cs="Courier New" w:eastAsia="Courier New" w:hAnsi="Courier New"/>
                <w:sz w:val="16"/>
                <w:szCs w:val="16"/>
                <w:color w:val="auto"/>
                <w:w w:val="95"/>
              </w:rPr>
              <w:t>Officer of each of Jewelcor</w:t>
            </w:r>
          </w:p>
        </w:tc>
        <w:tc>
          <w:tcPr>
            <w:tcW w:w="13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Management &amp;</w:t>
            </w:r>
          </w:p>
        </w:tc>
        <w:tc>
          <w:tcPr>
            <w:tcW w:w="12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Consulting,</w:t>
            </w:r>
          </w:p>
        </w:tc>
      </w:tr>
      <w:tr>
        <w:trPr>
          <w:trHeight w:val="179"/>
        </w:trPr>
        <w:tc>
          <w:tcPr>
            <w:tcW w:w="2320" w:type="dxa"/>
            <w:vAlign w:val="bottom"/>
          </w:tcPr>
          <w:p>
            <w:pPr>
              <w:spacing w:after="0"/>
              <w:rPr>
                <w:sz w:val="15"/>
                <w:szCs w:val="15"/>
                <w:color w:val="auto"/>
              </w:rPr>
            </w:pPr>
          </w:p>
        </w:tc>
        <w:tc>
          <w:tcPr>
            <w:tcW w:w="512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w w:val="96"/>
              </w:rPr>
              <w:t>Inc.,  located  in  Wilkes-Barre,  Pennsylvania;  C.D.</w:t>
            </w:r>
          </w:p>
        </w:tc>
      </w:tr>
      <w:tr>
        <w:trPr>
          <w:trHeight w:val="179"/>
        </w:trPr>
        <w:tc>
          <w:tcPr>
            <w:tcW w:w="2320" w:type="dxa"/>
            <w:vAlign w:val="bottom"/>
          </w:tcPr>
          <w:p>
            <w:pPr>
              <w:spacing w:after="0"/>
              <w:rPr>
                <w:sz w:val="15"/>
                <w:szCs w:val="15"/>
                <w:color w:val="auto"/>
              </w:rPr>
            </w:pPr>
          </w:p>
        </w:tc>
        <w:tc>
          <w:tcPr>
            <w:tcW w:w="512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w w:val="96"/>
              </w:rPr>
              <w:t>Peacock,  Inc.,  a Chicago,  Illinois  retail  jewelry</w:t>
            </w:r>
          </w:p>
        </w:tc>
      </w:tr>
      <w:tr>
        <w:trPr>
          <w:trHeight w:val="179"/>
        </w:trPr>
        <w:tc>
          <w:tcPr>
            <w:tcW w:w="2320" w:type="dxa"/>
            <w:vAlign w:val="bottom"/>
          </w:tcPr>
          <w:p>
            <w:pPr>
              <w:spacing w:after="0"/>
              <w:rPr>
                <w:sz w:val="15"/>
                <w:szCs w:val="15"/>
                <w:color w:val="auto"/>
              </w:rPr>
            </w:pPr>
          </w:p>
        </w:tc>
        <w:tc>
          <w:tcPr>
            <w:tcW w:w="512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w w:val="96"/>
              </w:rPr>
              <w:t>establishment;  Central  European  Capital  Investors,</w:t>
            </w:r>
          </w:p>
        </w:tc>
      </w:tr>
      <w:tr>
        <w:trPr>
          <w:trHeight w:val="179"/>
        </w:trPr>
        <w:tc>
          <w:tcPr>
            <w:tcW w:w="2320" w:type="dxa"/>
            <w:vAlign w:val="bottom"/>
          </w:tcPr>
          <w:p>
            <w:pPr>
              <w:spacing w:after="0"/>
              <w:rPr>
                <w:sz w:val="15"/>
                <w:szCs w:val="15"/>
                <w:color w:val="auto"/>
              </w:rPr>
            </w:pPr>
          </w:p>
        </w:tc>
        <w:tc>
          <w:tcPr>
            <w:tcW w:w="512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w w:val="96"/>
              </w:rPr>
              <w:t>Inc.,  an  investment  company  operating  in  eastern</w:t>
            </w:r>
          </w:p>
        </w:tc>
      </w:tr>
      <w:tr>
        <w:trPr>
          <w:trHeight w:val="179"/>
        </w:trPr>
        <w:tc>
          <w:tcPr>
            <w:tcW w:w="2320" w:type="dxa"/>
            <w:vAlign w:val="bottom"/>
          </w:tcPr>
          <w:p>
            <w:pPr>
              <w:spacing w:after="0"/>
              <w:rPr>
                <w:sz w:val="15"/>
                <w:szCs w:val="15"/>
                <w:color w:val="auto"/>
              </w:rPr>
            </w:pPr>
          </w:p>
        </w:tc>
        <w:tc>
          <w:tcPr>
            <w:tcW w:w="9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Europe;</w:t>
            </w:r>
          </w:p>
        </w:tc>
        <w:tc>
          <w:tcPr>
            <w:tcW w:w="9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and S.A.</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Peck &amp;</w:t>
            </w:r>
          </w:p>
        </w:tc>
        <w:tc>
          <w:tcPr>
            <w:tcW w:w="9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Company,</w:t>
            </w:r>
          </w:p>
        </w:tc>
        <w:tc>
          <w:tcPr>
            <w:tcW w:w="1580" w:type="dxa"/>
            <w:vAlign w:val="bottom"/>
            <w:gridSpan w:val="5"/>
          </w:tcPr>
          <w:p>
            <w:pPr>
              <w:jc w:val="right"/>
              <w:spacing w:after="0" w:line="179" w:lineRule="exact"/>
              <w:rPr>
                <w:sz w:val="20"/>
                <w:szCs w:val="20"/>
                <w:color w:val="auto"/>
              </w:rPr>
            </w:pPr>
            <w:r>
              <w:rPr>
                <w:rFonts w:ascii="Courier New" w:cs="Courier New" w:eastAsia="Courier New" w:hAnsi="Courier New"/>
                <w:sz w:val="16"/>
                <w:szCs w:val="16"/>
                <w:color w:val="auto"/>
                <w:w w:val="95"/>
              </w:rPr>
              <w:t>a retail and mail</w:t>
            </w:r>
          </w:p>
        </w:tc>
      </w:tr>
      <w:tr>
        <w:trPr>
          <w:trHeight w:val="179"/>
        </w:trPr>
        <w:tc>
          <w:tcPr>
            <w:tcW w:w="2320" w:type="dxa"/>
            <w:vAlign w:val="bottom"/>
          </w:tcPr>
          <w:p>
            <w:pPr>
              <w:spacing w:after="0"/>
              <w:rPr>
                <w:sz w:val="15"/>
                <w:szCs w:val="15"/>
                <w:color w:val="auto"/>
              </w:rPr>
            </w:pPr>
          </w:p>
        </w:tc>
        <w:tc>
          <w:tcPr>
            <w:tcW w:w="4840" w:type="dxa"/>
            <w:vAlign w:val="bottom"/>
            <w:gridSpan w:val="12"/>
          </w:tcPr>
          <w:p>
            <w:pPr>
              <w:ind w:left="100"/>
              <w:spacing w:after="0" w:line="179" w:lineRule="exact"/>
              <w:rPr>
                <w:sz w:val="20"/>
                <w:szCs w:val="20"/>
                <w:color w:val="auto"/>
              </w:rPr>
            </w:pPr>
            <w:r>
              <w:rPr>
                <w:rFonts w:ascii="Courier New" w:cs="Courier New" w:eastAsia="Courier New" w:hAnsi="Courier New"/>
                <w:sz w:val="16"/>
                <w:szCs w:val="16"/>
                <w:color w:val="auto"/>
              </w:rPr>
              <w:t>order jewelry company based in Chicago, Illinois.</w:t>
            </w:r>
          </w:p>
        </w:tc>
        <w:tc>
          <w:tcPr>
            <w:tcW w:w="280" w:type="dxa"/>
            <w:vAlign w:val="bottom"/>
          </w:tcPr>
          <w:p>
            <w:pPr>
              <w:spacing w:after="0"/>
              <w:rPr>
                <w:sz w:val="15"/>
                <w:szCs w:val="15"/>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Peter R. McMullin, 55</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Mr.</w:t>
            </w:r>
          </w:p>
        </w:tc>
        <w:tc>
          <w:tcPr>
            <w:tcW w:w="3660" w:type="dxa"/>
            <w:vAlign w:val="bottom"/>
            <w:gridSpan w:val="9"/>
          </w:tcPr>
          <w:p>
            <w:pPr>
              <w:jc w:val="right"/>
              <w:spacing w:after="0"/>
              <w:rPr>
                <w:sz w:val="20"/>
                <w:szCs w:val="20"/>
                <w:color w:val="auto"/>
              </w:rPr>
            </w:pPr>
            <w:r>
              <w:rPr>
                <w:rFonts w:ascii="Courier New" w:cs="Courier New" w:eastAsia="Courier New" w:hAnsi="Courier New"/>
                <w:sz w:val="16"/>
                <w:szCs w:val="16"/>
                <w:color w:val="auto"/>
                <w:w w:val="97"/>
              </w:rPr>
              <w:t>McMullin is the co-founder of Southeast</w:t>
            </w:r>
          </w:p>
        </w:tc>
        <w:tc>
          <w:tcPr>
            <w:tcW w:w="9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Research</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2101 Corporate Boulevard</w:t>
            </w:r>
          </w:p>
        </w:tc>
        <w:tc>
          <w:tcPr>
            <w:tcW w:w="512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w w:val="96"/>
              </w:rPr>
              <w:t>Partners, Inc. ("Southeast") and has been an Executive</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Suite 402</w:t>
            </w:r>
          </w:p>
        </w:tc>
        <w:tc>
          <w:tcPr>
            <w:tcW w:w="5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Vice</w:t>
            </w:r>
          </w:p>
        </w:tc>
        <w:tc>
          <w:tcPr>
            <w:tcW w:w="106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President</w:t>
            </w:r>
          </w:p>
        </w:tc>
        <w:tc>
          <w:tcPr>
            <w:tcW w:w="154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rPr>
              <w:t>and a managing</w:t>
            </w:r>
          </w:p>
        </w:tc>
        <w:tc>
          <w:tcPr>
            <w:tcW w:w="200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8"/>
              </w:rPr>
              <w:t>director of Southeast</w:t>
            </w: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Boca Raton, FL 33431</w:t>
            </w:r>
          </w:p>
        </w:tc>
        <w:tc>
          <w:tcPr>
            <w:tcW w:w="9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4"/>
              </w:rPr>
              <w:t>since its</w:t>
            </w:r>
          </w:p>
        </w:tc>
        <w:tc>
          <w:tcPr>
            <w:tcW w:w="180" w:type="dxa"/>
            <w:vAlign w:val="bottom"/>
          </w:tcPr>
          <w:p>
            <w:pPr>
              <w:spacing w:after="0"/>
              <w:rPr>
                <w:sz w:val="15"/>
                <w:szCs w:val="15"/>
                <w:color w:val="auto"/>
              </w:rPr>
            </w:pPr>
          </w:p>
        </w:tc>
        <w:tc>
          <w:tcPr>
            <w:tcW w:w="2420" w:type="dxa"/>
            <w:vAlign w:val="bottom"/>
            <w:gridSpan w:val="5"/>
          </w:tcPr>
          <w:p>
            <w:pPr>
              <w:jc w:val="right"/>
              <w:ind w:right="122"/>
              <w:spacing w:after="0" w:line="179" w:lineRule="exact"/>
              <w:rPr>
                <w:sz w:val="20"/>
                <w:szCs w:val="20"/>
                <w:color w:val="auto"/>
              </w:rPr>
            </w:pPr>
            <w:r>
              <w:rPr>
                <w:rFonts w:ascii="Courier New" w:cs="Courier New" w:eastAsia="Courier New" w:hAnsi="Courier New"/>
                <w:sz w:val="16"/>
                <w:szCs w:val="16"/>
                <w:color w:val="auto"/>
                <w:w w:val="95"/>
              </w:rPr>
              <w:t>inception  in June 1990.</w:t>
            </w:r>
          </w:p>
        </w:tc>
        <w:tc>
          <w:tcPr>
            <w:tcW w:w="6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Since</w:t>
            </w:r>
          </w:p>
        </w:tc>
        <w:tc>
          <w:tcPr>
            <w:tcW w:w="6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1997,</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Mr.</w:t>
            </w:r>
          </w:p>
        </w:tc>
      </w:tr>
      <w:tr>
        <w:trPr>
          <w:trHeight w:val="179"/>
        </w:trPr>
        <w:tc>
          <w:tcPr>
            <w:tcW w:w="2320" w:type="dxa"/>
            <w:vAlign w:val="bottom"/>
          </w:tcPr>
          <w:p>
            <w:pPr>
              <w:spacing w:after="0"/>
              <w:rPr>
                <w:sz w:val="15"/>
                <w:szCs w:val="15"/>
                <w:color w:val="auto"/>
              </w:rPr>
            </w:pPr>
          </w:p>
        </w:tc>
        <w:tc>
          <w:tcPr>
            <w:tcW w:w="4460" w:type="dxa"/>
            <w:vAlign w:val="bottom"/>
            <w:gridSpan w:val="11"/>
          </w:tcPr>
          <w:p>
            <w:pPr>
              <w:ind w:left="100"/>
              <w:spacing w:after="0" w:line="179" w:lineRule="exact"/>
              <w:rPr>
                <w:sz w:val="20"/>
                <w:szCs w:val="20"/>
                <w:color w:val="auto"/>
              </w:rPr>
            </w:pPr>
            <w:r>
              <w:rPr>
                <w:rFonts w:ascii="Courier New" w:cs="Courier New" w:eastAsia="Courier New" w:hAnsi="Courier New"/>
                <w:sz w:val="16"/>
                <w:szCs w:val="16"/>
                <w:color w:val="auto"/>
                <w:w w:val="96"/>
              </w:rPr>
              <w:t>McMullin has been the Executive Vice President,</w:t>
            </w:r>
          </w:p>
        </w:tc>
        <w:tc>
          <w:tcPr>
            <w:tcW w:w="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Chief</w:t>
            </w:r>
          </w:p>
        </w:tc>
      </w:tr>
      <w:tr>
        <w:trPr>
          <w:trHeight w:val="179"/>
        </w:trPr>
        <w:tc>
          <w:tcPr>
            <w:tcW w:w="2320" w:type="dxa"/>
            <w:vAlign w:val="bottom"/>
          </w:tcPr>
          <w:p>
            <w:pPr>
              <w:spacing w:after="0"/>
              <w:rPr>
                <w:sz w:val="15"/>
                <w:szCs w:val="15"/>
                <w:color w:val="auto"/>
              </w:rPr>
            </w:pPr>
          </w:p>
        </w:tc>
        <w:tc>
          <w:tcPr>
            <w:tcW w:w="512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w w:val="96"/>
              </w:rPr>
              <w:t>Investment Officer and a director of Research Partners</w:t>
            </w:r>
          </w:p>
        </w:tc>
      </w:tr>
      <w:tr>
        <w:trPr>
          <w:trHeight w:val="179"/>
        </w:trPr>
        <w:tc>
          <w:tcPr>
            <w:tcW w:w="2320" w:type="dxa"/>
            <w:vAlign w:val="bottom"/>
          </w:tcPr>
          <w:p>
            <w:pPr>
              <w:spacing w:after="0"/>
              <w:rPr>
                <w:sz w:val="15"/>
                <w:szCs w:val="15"/>
                <w:color w:val="auto"/>
              </w:rPr>
            </w:pPr>
          </w:p>
        </w:tc>
        <w:tc>
          <w:tcPr>
            <w:tcW w:w="1580" w:type="dxa"/>
            <w:vAlign w:val="bottom"/>
            <w:gridSpan w:val="4"/>
          </w:tcPr>
          <w:p>
            <w:pPr>
              <w:ind w:left="100"/>
              <w:spacing w:after="0" w:line="179" w:lineRule="exact"/>
              <w:rPr>
                <w:sz w:val="20"/>
                <w:szCs w:val="20"/>
                <w:color w:val="auto"/>
              </w:rPr>
            </w:pPr>
            <w:r>
              <w:rPr>
                <w:rFonts w:ascii="Courier New" w:cs="Courier New" w:eastAsia="Courier New" w:hAnsi="Courier New"/>
                <w:sz w:val="16"/>
                <w:szCs w:val="16"/>
                <w:color w:val="auto"/>
              </w:rPr>
              <w:t>International,</w:t>
            </w:r>
          </w:p>
        </w:tc>
        <w:tc>
          <w:tcPr>
            <w:tcW w:w="2320" w:type="dxa"/>
            <w:vAlign w:val="bottom"/>
            <w:gridSpan w:val="5"/>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a company that provides</w:t>
            </w:r>
          </w:p>
        </w:tc>
        <w:tc>
          <w:tcPr>
            <w:tcW w:w="122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6"/>
              </w:rPr>
              <w:t>institutional</w:t>
            </w:r>
          </w:p>
        </w:tc>
      </w:tr>
      <w:tr>
        <w:trPr>
          <w:trHeight w:val="179"/>
        </w:trPr>
        <w:tc>
          <w:tcPr>
            <w:tcW w:w="2320" w:type="dxa"/>
            <w:vAlign w:val="bottom"/>
          </w:tcPr>
          <w:p>
            <w:pPr>
              <w:spacing w:after="0"/>
              <w:rPr>
                <w:sz w:val="15"/>
                <w:szCs w:val="15"/>
                <w:color w:val="auto"/>
              </w:rPr>
            </w:pPr>
          </w:p>
        </w:tc>
        <w:tc>
          <w:tcPr>
            <w:tcW w:w="512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w w:val="96"/>
              </w:rPr>
              <w:t>research, investment banking, securities brokerage and</w:t>
            </w:r>
          </w:p>
        </w:tc>
      </w:tr>
      <w:tr>
        <w:trPr>
          <w:trHeight w:val="179"/>
        </w:trPr>
        <w:tc>
          <w:tcPr>
            <w:tcW w:w="2320" w:type="dxa"/>
            <w:vAlign w:val="bottom"/>
          </w:tcPr>
          <w:p>
            <w:pPr>
              <w:spacing w:after="0"/>
              <w:rPr>
                <w:sz w:val="15"/>
                <w:szCs w:val="15"/>
                <w:color w:val="auto"/>
              </w:rPr>
            </w:pPr>
          </w:p>
        </w:tc>
        <w:tc>
          <w:tcPr>
            <w:tcW w:w="5120" w:type="dxa"/>
            <w:vAlign w:val="bottom"/>
            <w:gridSpan w:val="13"/>
          </w:tcPr>
          <w:p>
            <w:pPr>
              <w:ind w:left="100"/>
              <w:spacing w:after="0" w:line="179" w:lineRule="exact"/>
              <w:rPr>
                <w:sz w:val="20"/>
                <w:szCs w:val="20"/>
                <w:color w:val="auto"/>
              </w:rPr>
            </w:pPr>
            <w:r>
              <w:rPr>
                <w:rFonts w:ascii="Courier New" w:cs="Courier New" w:eastAsia="Courier New" w:hAnsi="Courier New"/>
                <w:sz w:val="16"/>
                <w:szCs w:val="16"/>
                <w:color w:val="auto"/>
              </w:rPr>
              <w:t>trading services through its principal subsidiaries.</w:t>
            </w:r>
          </w:p>
        </w:tc>
      </w:tr>
    </w:tbl>
    <w:p>
      <w:pPr>
        <w:sectPr>
          <w:pgSz w:w="11900" w:h="16838" w:orient="portrait"/>
          <w:cols w:equalWidth="0" w:num="1">
            <w:col w:w="10219"/>
          </w:cols>
          <w:pgMar w:left="240" w:top="1191"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40" w:type="dxa"/>
            <w:vAlign w:val="bottom"/>
          </w:tcPr>
          <w:p>
            <w:pPr>
              <w:spacing w:after="0"/>
              <w:rPr>
                <w:sz w:val="20"/>
                <w:szCs w:val="20"/>
                <w:color w:val="auto"/>
              </w:rPr>
            </w:pPr>
            <w:r>
              <w:rPr>
                <w:rFonts w:ascii="Courier New" w:cs="Courier New" w:eastAsia="Courier New" w:hAnsi="Courier New"/>
                <w:sz w:val="16"/>
                <w:szCs w:val="16"/>
                <w:color w:val="auto"/>
              </w:rPr>
              <w:t>Deborah M. Rhem-</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Mrs.</w:t>
            </w:r>
          </w:p>
        </w:tc>
        <w:tc>
          <w:tcPr>
            <w:tcW w:w="4560" w:type="dxa"/>
            <w:vAlign w:val="bottom"/>
            <w:gridSpan w:val="12"/>
          </w:tcPr>
          <w:p>
            <w:pPr>
              <w:jc w:val="right"/>
              <w:spacing w:after="0"/>
              <w:rPr>
                <w:sz w:val="20"/>
                <w:szCs w:val="20"/>
                <w:color w:val="auto"/>
              </w:rPr>
            </w:pPr>
            <w:r>
              <w:rPr>
                <w:rFonts w:ascii="Courier New" w:cs="Courier New" w:eastAsia="Courier New" w:hAnsi="Courier New"/>
                <w:sz w:val="16"/>
                <w:szCs w:val="16"/>
                <w:color w:val="auto"/>
                <w:w w:val="98"/>
              </w:rPr>
              <w:t>Rhem-Jackson has, in the last five years, been a</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Jackson, 41</w:t>
            </w: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part-time</w:t>
            </w:r>
          </w:p>
        </w:tc>
        <w:tc>
          <w:tcPr>
            <w:tcW w:w="4000" w:type="dxa"/>
            <w:vAlign w:val="bottom"/>
            <w:gridSpan w:val="11"/>
          </w:tcPr>
          <w:p>
            <w:pPr>
              <w:jc w:val="right"/>
              <w:spacing w:after="0" w:line="179" w:lineRule="exact"/>
              <w:rPr>
                <w:sz w:val="20"/>
                <w:szCs w:val="20"/>
                <w:color w:val="auto"/>
              </w:rPr>
            </w:pPr>
            <w:r>
              <w:rPr>
                <w:rFonts w:ascii="Courier New" w:cs="Courier New" w:eastAsia="Courier New" w:hAnsi="Courier New"/>
                <w:sz w:val="16"/>
                <w:szCs w:val="16"/>
                <w:color w:val="auto"/>
                <w:w w:val="96"/>
              </w:rPr>
              <w:t>accounting professor at SUNY College at Old</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190 Delhi Road</w:t>
            </w:r>
          </w:p>
        </w:tc>
        <w:tc>
          <w:tcPr>
            <w:tcW w:w="5300" w:type="dxa"/>
            <w:vAlign w:val="bottom"/>
            <w:gridSpan w:val="13"/>
          </w:tcPr>
          <w:p>
            <w:pPr>
              <w:ind w:left="280"/>
              <w:spacing w:after="0" w:line="179" w:lineRule="exact"/>
              <w:rPr>
                <w:sz w:val="20"/>
                <w:szCs w:val="20"/>
                <w:color w:val="auto"/>
              </w:rPr>
            </w:pPr>
            <w:r>
              <w:rPr>
                <w:rFonts w:ascii="Courier New" w:cs="Courier New" w:eastAsia="Courier New" w:hAnsi="Courier New"/>
                <w:sz w:val="16"/>
                <w:szCs w:val="16"/>
                <w:color w:val="auto"/>
                <w:w w:val="96"/>
              </w:rPr>
              <w:t>Westbury and Monroe College in New Rochelle, New York.</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Scarsdale, NY 10583</w:t>
            </w:r>
          </w:p>
        </w:tc>
        <w:tc>
          <w:tcPr>
            <w:tcW w:w="1580" w:type="dxa"/>
            <w:vAlign w:val="bottom"/>
            <w:gridSpan w:val="3"/>
          </w:tcPr>
          <w:p>
            <w:pPr>
              <w:ind w:left="280"/>
              <w:spacing w:after="0" w:line="179" w:lineRule="exact"/>
              <w:rPr>
                <w:sz w:val="20"/>
                <w:szCs w:val="20"/>
                <w:color w:val="auto"/>
              </w:rPr>
            </w:pPr>
            <w:r>
              <w:rPr>
                <w:rFonts w:ascii="Courier New" w:cs="Courier New" w:eastAsia="Courier New" w:hAnsi="Courier New"/>
                <w:sz w:val="16"/>
                <w:szCs w:val="16"/>
                <w:color w:val="auto"/>
              </w:rPr>
              <w:t>Prior to her</w:t>
            </w:r>
          </w:p>
        </w:tc>
        <w:tc>
          <w:tcPr>
            <w:tcW w:w="5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1"/>
              </w:rPr>
              <w:t>years</w:t>
            </w:r>
          </w:p>
        </w:tc>
        <w:tc>
          <w:tcPr>
            <w:tcW w:w="46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in</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academia,</w:t>
            </w:r>
          </w:p>
        </w:tc>
        <w:tc>
          <w:tcPr>
            <w:tcW w:w="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Mrs.</w:t>
            </w:r>
          </w:p>
        </w:tc>
        <w:tc>
          <w:tcPr>
            <w:tcW w:w="140" w:type="dxa"/>
            <w:vAlign w:val="bottom"/>
          </w:tcPr>
          <w:p>
            <w:pPr>
              <w:spacing w:after="0"/>
              <w:rPr>
                <w:sz w:val="15"/>
                <w:szCs w:val="15"/>
                <w:color w:val="auto"/>
              </w:rPr>
            </w:pPr>
          </w:p>
        </w:tc>
        <w:tc>
          <w:tcPr>
            <w:tcW w:w="11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Rhem-Jackson</w:t>
            </w:r>
          </w:p>
        </w:tc>
      </w:tr>
      <w:tr>
        <w:trPr>
          <w:trHeight w:val="179"/>
        </w:trPr>
        <w:tc>
          <w:tcPr>
            <w:tcW w:w="2140" w:type="dxa"/>
            <w:vAlign w:val="bottom"/>
          </w:tcPr>
          <w:p>
            <w:pPr>
              <w:spacing w:after="0"/>
              <w:rPr>
                <w:sz w:val="15"/>
                <w:szCs w:val="15"/>
                <w:color w:val="auto"/>
              </w:rPr>
            </w:pP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1"/>
              </w:rPr>
              <w:t>spent</w:t>
            </w:r>
          </w:p>
        </w:tc>
        <w:tc>
          <w:tcPr>
            <w:tcW w:w="8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seven</w:t>
            </w:r>
          </w:p>
        </w:tc>
        <w:tc>
          <w:tcPr>
            <w:tcW w:w="5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years</w:t>
            </w:r>
          </w:p>
        </w:tc>
        <w:tc>
          <w:tcPr>
            <w:tcW w:w="180" w:type="dxa"/>
            <w:vAlign w:val="bottom"/>
          </w:tcPr>
          <w:p>
            <w:pPr>
              <w:spacing w:after="0"/>
              <w:rPr>
                <w:sz w:val="15"/>
                <w:szCs w:val="15"/>
                <w:color w:val="auto"/>
              </w:rPr>
            </w:pP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83"/>
              </w:rPr>
              <w:t>at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Chemical</w:t>
            </w:r>
          </w:p>
        </w:tc>
        <w:tc>
          <w:tcPr>
            <w:tcW w:w="62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Bank</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3"/>
              </w:rPr>
              <w:t>in</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various</w:t>
            </w:r>
          </w:p>
        </w:tc>
      </w:tr>
      <w:tr>
        <w:trPr>
          <w:trHeight w:val="179"/>
        </w:trPr>
        <w:tc>
          <w:tcPr>
            <w:tcW w:w="214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4"/>
              </w:rPr>
              <w:t>capacities,</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having</w:t>
            </w:r>
          </w:p>
        </w:tc>
        <w:tc>
          <w:tcPr>
            <w:tcW w:w="46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3"/>
              </w:rPr>
              <w:t>most</w:t>
            </w:r>
          </w:p>
        </w:tc>
        <w:tc>
          <w:tcPr>
            <w:tcW w:w="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recently</w:t>
            </w:r>
          </w:p>
        </w:tc>
        <w:tc>
          <w:tcPr>
            <w:tcW w:w="940" w:type="dxa"/>
            <w:vAlign w:val="bottom"/>
            <w:gridSpan w:val="3"/>
          </w:tcPr>
          <w:p>
            <w:pPr>
              <w:ind w:left="200"/>
              <w:spacing w:after="0" w:line="179" w:lineRule="exact"/>
              <w:rPr>
                <w:sz w:val="20"/>
                <w:szCs w:val="20"/>
                <w:color w:val="auto"/>
              </w:rPr>
            </w:pPr>
            <w:r>
              <w:rPr>
                <w:rFonts w:ascii="Courier New" w:cs="Courier New" w:eastAsia="Courier New" w:hAnsi="Courier New"/>
                <w:sz w:val="16"/>
                <w:szCs w:val="16"/>
                <w:color w:val="auto"/>
              </w:rPr>
              <w:t>served</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as a Vice</w:t>
            </w:r>
          </w:p>
        </w:tc>
      </w:tr>
      <w:tr>
        <w:trPr>
          <w:trHeight w:val="179"/>
        </w:trPr>
        <w:tc>
          <w:tcPr>
            <w:tcW w:w="214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President</w:t>
            </w:r>
          </w:p>
        </w:tc>
        <w:tc>
          <w:tcPr>
            <w:tcW w:w="280" w:type="dxa"/>
            <w:vAlign w:val="bottom"/>
          </w:tcPr>
          <w:p>
            <w:pPr>
              <w:spacing w:after="0" w:line="179" w:lineRule="exact"/>
              <w:rPr>
                <w:sz w:val="20"/>
                <w:szCs w:val="20"/>
                <w:color w:val="auto"/>
              </w:rPr>
            </w:pPr>
            <w:r>
              <w:rPr>
                <w:rFonts w:ascii="Courier New" w:cs="Courier New" w:eastAsia="Courier New" w:hAnsi="Courier New"/>
                <w:sz w:val="16"/>
                <w:szCs w:val="16"/>
                <w:color w:val="auto"/>
                <w:w w:val="90"/>
              </w:rPr>
              <w:t>and</w:t>
            </w:r>
          </w:p>
        </w:tc>
        <w:tc>
          <w:tcPr>
            <w:tcW w:w="1300" w:type="dxa"/>
            <w:vAlign w:val="bottom"/>
            <w:gridSpan w:val="4"/>
          </w:tcPr>
          <w:p>
            <w:pPr>
              <w:ind w:left="180"/>
              <w:spacing w:after="0" w:line="179" w:lineRule="exact"/>
              <w:rPr>
                <w:sz w:val="20"/>
                <w:szCs w:val="20"/>
                <w:color w:val="auto"/>
              </w:rPr>
            </w:pPr>
            <w:r>
              <w:rPr>
                <w:rFonts w:ascii="Courier New" w:cs="Courier New" w:eastAsia="Courier New" w:hAnsi="Courier New"/>
                <w:sz w:val="16"/>
                <w:szCs w:val="16"/>
                <w:color w:val="auto"/>
              </w:rPr>
              <w:t>Curriculum</w:t>
            </w:r>
          </w:p>
        </w:tc>
        <w:tc>
          <w:tcPr>
            <w:tcW w:w="242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6"/>
              </w:rPr>
              <w:t>Manager from 1988 to 1990.</w:t>
            </w:r>
          </w:p>
        </w:tc>
      </w:tr>
      <w:tr>
        <w:trPr>
          <w:trHeight w:val="179"/>
        </w:trPr>
        <w:tc>
          <w:tcPr>
            <w:tcW w:w="2140" w:type="dxa"/>
            <w:vAlign w:val="bottom"/>
          </w:tcPr>
          <w:p>
            <w:pPr>
              <w:spacing w:after="0"/>
              <w:rPr>
                <w:sz w:val="15"/>
                <w:szCs w:val="15"/>
                <w:color w:val="auto"/>
              </w:rPr>
            </w:pPr>
          </w:p>
        </w:tc>
        <w:tc>
          <w:tcPr>
            <w:tcW w:w="2140" w:type="dxa"/>
            <w:vAlign w:val="bottom"/>
            <w:gridSpan w:val="4"/>
          </w:tcPr>
          <w:p>
            <w:pPr>
              <w:ind w:left="280"/>
              <w:spacing w:after="0" w:line="179" w:lineRule="exact"/>
              <w:rPr>
                <w:sz w:val="20"/>
                <w:szCs w:val="20"/>
                <w:color w:val="auto"/>
              </w:rPr>
            </w:pPr>
            <w:r>
              <w:rPr>
                <w:rFonts w:ascii="Courier New" w:cs="Courier New" w:eastAsia="Courier New" w:hAnsi="Courier New"/>
                <w:sz w:val="16"/>
                <w:szCs w:val="16"/>
                <w:color w:val="auto"/>
              </w:rPr>
              <w:t>She has previously</w:t>
            </w:r>
          </w:p>
        </w:tc>
        <w:tc>
          <w:tcPr>
            <w:tcW w:w="2000" w:type="dxa"/>
            <w:vAlign w:val="bottom"/>
            <w:gridSpan w:val="6"/>
          </w:tcPr>
          <w:p>
            <w:pPr>
              <w:spacing w:after="0" w:line="179" w:lineRule="exact"/>
              <w:rPr>
                <w:sz w:val="20"/>
                <w:szCs w:val="20"/>
                <w:color w:val="auto"/>
              </w:rPr>
            </w:pPr>
            <w:r>
              <w:rPr>
                <w:rFonts w:ascii="Courier New" w:cs="Courier New" w:eastAsia="Courier New" w:hAnsi="Courier New"/>
                <w:sz w:val="16"/>
                <w:szCs w:val="16"/>
                <w:color w:val="auto"/>
                <w:w w:val="98"/>
              </w:rPr>
              <w:t>worked as a financial</w:t>
            </w:r>
          </w:p>
        </w:tc>
        <w:tc>
          <w:tcPr>
            <w:tcW w:w="11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analyst for</w:t>
            </w:r>
          </w:p>
        </w:tc>
      </w:tr>
      <w:tr>
        <w:trPr>
          <w:trHeight w:val="179"/>
        </w:trPr>
        <w:tc>
          <w:tcPr>
            <w:tcW w:w="2140" w:type="dxa"/>
            <w:vAlign w:val="bottom"/>
          </w:tcPr>
          <w:p>
            <w:pPr>
              <w:spacing w:after="0"/>
              <w:rPr>
                <w:sz w:val="15"/>
                <w:szCs w:val="15"/>
                <w:color w:val="auto"/>
              </w:rPr>
            </w:pP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W.R.</w:t>
            </w:r>
          </w:p>
        </w:tc>
        <w:tc>
          <w:tcPr>
            <w:tcW w:w="1580" w:type="dxa"/>
            <w:vAlign w:val="bottom"/>
            <w:gridSpan w:val="4"/>
          </w:tcPr>
          <w:p>
            <w:pPr>
              <w:ind w:left="100"/>
              <w:spacing w:after="0" w:line="179" w:lineRule="exact"/>
              <w:rPr>
                <w:sz w:val="20"/>
                <w:szCs w:val="20"/>
                <w:color w:val="auto"/>
              </w:rPr>
            </w:pPr>
            <w:r>
              <w:rPr>
                <w:rFonts w:ascii="Courier New" w:cs="Courier New" w:eastAsia="Courier New" w:hAnsi="Courier New"/>
                <w:sz w:val="16"/>
                <w:szCs w:val="16"/>
                <w:color w:val="auto"/>
              </w:rPr>
              <w:t>Grace &amp; Company</w:t>
            </w:r>
          </w:p>
        </w:tc>
        <w:tc>
          <w:tcPr>
            <w:tcW w:w="2700" w:type="dxa"/>
            <w:vAlign w:val="bottom"/>
            <w:gridSpan w:val="7"/>
          </w:tcPr>
          <w:p>
            <w:pPr>
              <w:jc w:val="right"/>
              <w:ind w:right="102"/>
              <w:spacing w:after="0" w:line="179" w:lineRule="exact"/>
              <w:rPr>
                <w:sz w:val="20"/>
                <w:szCs w:val="20"/>
                <w:color w:val="auto"/>
              </w:rPr>
            </w:pPr>
            <w:r>
              <w:rPr>
                <w:rFonts w:ascii="Courier New" w:cs="Courier New" w:eastAsia="Courier New" w:hAnsi="Courier New"/>
                <w:sz w:val="16"/>
                <w:szCs w:val="16"/>
                <w:color w:val="auto"/>
              </w:rPr>
              <w:t>and as a staff  accountant</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0"/>
              </w:rPr>
              <w:t>for</w:t>
            </w:r>
          </w:p>
        </w:tc>
      </w:tr>
      <w:tr>
        <w:trPr>
          <w:trHeight w:val="179"/>
        </w:trPr>
        <w:tc>
          <w:tcPr>
            <w:tcW w:w="2140" w:type="dxa"/>
            <w:vAlign w:val="bottom"/>
          </w:tcPr>
          <w:p>
            <w:pPr>
              <w:spacing w:after="0"/>
              <w:rPr>
                <w:sz w:val="15"/>
                <w:szCs w:val="15"/>
                <w:color w:val="auto"/>
              </w:rPr>
            </w:pP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1"/>
              </w:rPr>
              <w:t>Price</w:t>
            </w:r>
          </w:p>
        </w:tc>
        <w:tc>
          <w:tcPr>
            <w:tcW w:w="140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rPr>
              <w:t>Waterhouse.</w:t>
            </w:r>
          </w:p>
        </w:tc>
        <w:tc>
          <w:tcPr>
            <w:tcW w:w="46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3"/>
              </w:rPr>
              <w:t>Mrs.</w:t>
            </w:r>
          </w:p>
        </w:tc>
        <w:tc>
          <w:tcPr>
            <w:tcW w:w="280" w:type="dxa"/>
            <w:vAlign w:val="bottom"/>
          </w:tcPr>
          <w:p>
            <w:pPr>
              <w:spacing w:after="0"/>
              <w:rPr>
                <w:sz w:val="15"/>
                <w:szCs w:val="15"/>
                <w:color w:val="auto"/>
              </w:rPr>
            </w:pP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Rhem-Jackson</w:t>
            </w:r>
          </w:p>
        </w:tc>
        <w:tc>
          <w:tcPr>
            <w:tcW w:w="140" w:type="dxa"/>
            <w:vAlign w:val="bottom"/>
          </w:tcPr>
          <w:p>
            <w:pPr>
              <w:spacing w:after="0"/>
              <w:rPr>
                <w:sz w:val="15"/>
                <w:szCs w:val="15"/>
                <w:color w:val="auto"/>
              </w:rPr>
            </w:pP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received</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w:t>
            </w:r>
          </w:p>
        </w:tc>
      </w:tr>
      <w:tr>
        <w:trPr>
          <w:trHeight w:val="179"/>
        </w:trPr>
        <w:tc>
          <w:tcPr>
            <w:tcW w:w="214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4"/>
              </w:rPr>
              <w:t>Bachelor of</w:t>
            </w:r>
          </w:p>
        </w:tc>
        <w:tc>
          <w:tcPr>
            <w:tcW w:w="4000" w:type="dxa"/>
            <w:vAlign w:val="bottom"/>
            <w:gridSpan w:val="11"/>
          </w:tcPr>
          <w:p>
            <w:pPr>
              <w:jc w:val="right"/>
              <w:spacing w:after="0" w:line="179" w:lineRule="exact"/>
              <w:rPr>
                <w:sz w:val="20"/>
                <w:szCs w:val="20"/>
                <w:color w:val="auto"/>
              </w:rPr>
            </w:pPr>
            <w:r>
              <w:rPr>
                <w:rFonts w:ascii="Courier New" w:cs="Courier New" w:eastAsia="Courier New" w:hAnsi="Courier New"/>
                <w:sz w:val="16"/>
                <w:szCs w:val="16"/>
                <w:color w:val="auto"/>
                <w:w w:val="98"/>
              </w:rPr>
              <w:t>Science from Syracuse University School of</w:t>
            </w:r>
          </w:p>
        </w:tc>
      </w:tr>
      <w:tr>
        <w:trPr>
          <w:trHeight w:val="179"/>
        </w:trPr>
        <w:tc>
          <w:tcPr>
            <w:tcW w:w="214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Management</w:t>
            </w:r>
          </w:p>
        </w:tc>
        <w:tc>
          <w:tcPr>
            <w:tcW w:w="130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rPr>
              <w:t>and a Master</w:t>
            </w:r>
          </w:p>
        </w:tc>
        <w:tc>
          <w:tcPr>
            <w:tcW w:w="2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3"/>
              </w:rPr>
              <w:t>of</w:t>
            </w:r>
          </w:p>
        </w:tc>
        <w:tc>
          <w:tcPr>
            <w:tcW w:w="1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Business</w:t>
            </w:r>
          </w:p>
        </w:tc>
        <w:tc>
          <w:tcPr>
            <w:tcW w:w="13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5"/>
              </w:rPr>
              <w:t>Administration</w:t>
            </w:r>
          </w:p>
        </w:tc>
      </w:tr>
      <w:tr>
        <w:trPr>
          <w:trHeight w:val="179"/>
        </w:trPr>
        <w:tc>
          <w:tcPr>
            <w:tcW w:w="2140" w:type="dxa"/>
            <w:vAlign w:val="bottom"/>
          </w:tcPr>
          <w:p>
            <w:pPr>
              <w:spacing w:after="0"/>
              <w:rPr>
                <w:sz w:val="15"/>
                <w:szCs w:val="15"/>
                <w:color w:val="auto"/>
              </w:rPr>
            </w:pP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from</w:t>
            </w:r>
          </w:p>
        </w:tc>
        <w:tc>
          <w:tcPr>
            <w:tcW w:w="8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3"/>
              </w:rPr>
              <w:t>Columbia</w:t>
            </w:r>
          </w:p>
        </w:tc>
        <w:tc>
          <w:tcPr>
            <w:tcW w:w="1300" w:type="dxa"/>
            <w:vAlign w:val="bottom"/>
            <w:gridSpan w:val="4"/>
          </w:tcPr>
          <w:p>
            <w:pPr>
              <w:ind w:left="180"/>
              <w:spacing w:after="0" w:line="179" w:lineRule="exact"/>
              <w:rPr>
                <w:sz w:val="20"/>
                <w:szCs w:val="20"/>
                <w:color w:val="auto"/>
              </w:rPr>
            </w:pPr>
            <w:r>
              <w:rPr>
                <w:rFonts w:ascii="Courier New" w:cs="Courier New" w:eastAsia="Courier New" w:hAnsi="Courier New"/>
                <w:sz w:val="16"/>
                <w:szCs w:val="16"/>
                <w:color w:val="auto"/>
              </w:rPr>
              <w:t>University.</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Mrs.</w:t>
            </w:r>
          </w:p>
        </w:tc>
        <w:tc>
          <w:tcPr>
            <w:tcW w:w="15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6"/>
              </w:rPr>
              <w:t>Rhem-Jackson  is</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w:t>
            </w:r>
          </w:p>
        </w:tc>
      </w:tr>
      <w:tr>
        <w:trPr>
          <w:trHeight w:val="179"/>
        </w:trPr>
        <w:tc>
          <w:tcPr>
            <w:tcW w:w="2140" w:type="dxa"/>
            <w:vAlign w:val="bottom"/>
          </w:tcPr>
          <w:p>
            <w:pPr>
              <w:spacing w:after="0"/>
              <w:rPr>
                <w:sz w:val="15"/>
                <w:szCs w:val="15"/>
                <w:color w:val="auto"/>
              </w:rPr>
            </w:pPr>
          </w:p>
        </w:tc>
        <w:tc>
          <w:tcPr>
            <w:tcW w:w="2880" w:type="dxa"/>
            <w:vAlign w:val="bottom"/>
            <w:gridSpan w:val="7"/>
          </w:tcPr>
          <w:p>
            <w:pPr>
              <w:ind w:left="280"/>
              <w:spacing w:after="0" w:line="179" w:lineRule="exact"/>
              <w:rPr>
                <w:sz w:val="20"/>
                <w:szCs w:val="20"/>
                <w:color w:val="auto"/>
              </w:rPr>
            </w:pPr>
            <w:r>
              <w:rPr>
                <w:rFonts w:ascii="Courier New" w:cs="Courier New" w:eastAsia="Courier New" w:hAnsi="Courier New"/>
                <w:sz w:val="16"/>
                <w:szCs w:val="16"/>
                <w:color w:val="auto"/>
                <w:w w:val="95"/>
              </w:rPr>
              <w:t>Certified Public Accountant.</w:t>
            </w: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58"/>
        </w:trPr>
        <w:tc>
          <w:tcPr>
            <w:tcW w:w="2140" w:type="dxa"/>
            <w:vAlign w:val="bottom"/>
          </w:tcPr>
          <w:p>
            <w:pPr>
              <w:spacing w:after="0"/>
              <w:rPr>
                <w:sz w:val="20"/>
                <w:szCs w:val="20"/>
                <w:color w:val="auto"/>
              </w:rPr>
            </w:pPr>
            <w:r>
              <w:rPr>
                <w:rFonts w:ascii="Courier New" w:cs="Courier New" w:eastAsia="Courier New" w:hAnsi="Courier New"/>
                <w:sz w:val="16"/>
                <w:szCs w:val="16"/>
                <w:color w:val="auto"/>
              </w:rPr>
              <w:t>Steve R. Tomasi, 32</w:t>
            </w:r>
          </w:p>
        </w:tc>
        <w:tc>
          <w:tcPr>
            <w:tcW w:w="2600" w:type="dxa"/>
            <w:vAlign w:val="bottom"/>
            <w:gridSpan w:val="6"/>
          </w:tcPr>
          <w:p>
            <w:pPr>
              <w:ind w:left="280"/>
              <w:spacing w:after="0"/>
              <w:rPr>
                <w:sz w:val="20"/>
                <w:szCs w:val="20"/>
                <w:color w:val="auto"/>
              </w:rPr>
            </w:pPr>
            <w:r>
              <w:rPr>
                <w:rFonts w:ascii="Courier New" w:cs="Courier New" w:eastAsia="Courier New" w:hAnsi="Courier New"/>
                <w:sz w:val="16"/>
                <w:szCs w:val="16"/>
                <w:color w:val="auto"/>
                <w:w w:val="95"/>
              </w:rPr>
              <w:t>Mr. Tomasi is a Certified</w:t>
            </w:r>
          </w:p>
        </w:tc>
        <w:tc>
          <w:tcPr>
            <w:tcW w:w="9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Public</w:t>
            </w:r>
          </w:p>
        </w:tc>
        <w:tc>
          <w:tcPr>
            <w:tcW w:w="178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6"/>
              </w:rPr>
              <w:t>Accountant and is a</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433 Plaza Road</w:t>
            </w: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full-time</w:t>
            </w:r>
          </w:p>
        </w:tc>
        <w:tc>
          <w:tcPr>
            <w:tcW w:w="8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4"/>
              </w:rPr>
              <w:t>portfolio</w:t>
            </w:r>
          </w:p>
        </w:tc>
        <w:tc>
          <w:tcPr>
            <w:tcW w:w="180" w:type="dxa"/>
            <w:vAlign w:val="bottom"/>
          </w:tcPr>
          <w:p>
            <w:pPr>
              <w:spacing w:after="0"/>
              <w:rPr>
                <w:sz w:val="15"/>
                <w:szCs w:val="15"/>
                <w:color w:val="auto"/>
              </w:rPr>
            </w:pPr>
          </w:p>
        </w:tc>
        <w:tc>
          <w:tcPr>
            <w:tcW w:w="2140" w:type="dxa"/>
            <w:vAlign w:val="bottom"/>
            <w:gridSpan w:val="6"/>
          </w:tcPr>
          <w:p>
            <w:pPr>
              <w:spacing w:after="0" w:line="179" w:lineRule="exact"/>
              <w:rPr>
                <w:sz w:val="20"/>
                <w:szCs w:val="20"/>
                <w:color w:val="auto"/>
              </w:rPr>
            </w:pPr>
            <w:r>
              <w:rPr>
                <w:rFonts w:ascii="Courier New" w:cs="Courier New" w:eastAsia="Courier New" w:hAnsi="Courier New"/>
                <w:sz w:val="16"/>
                <w:szCs w:val="16"/>
                <w:color w:val="auto"/>
              </w:rPr>
              <w:t>management  consultant</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for JMI.</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Suite 365</w:t>
            </w: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From March</w:t>
            </w:r>
          </w:p>
        </w:tc>
        <w:tc>
          <w:tcPr>
            <w:tcW w:w="4000" w:type="dxa"/>
            <w:vAlign w:val="bottom"/>
            <w:gridSpan w:val="11"/>
          </w:tcPr>
          <w:p>
            <w:pPr>
              <w:jc w:val="right"/>
              <w:spacing w:after="0" w:line="179" w:lineRule="exact"/>
              <w:rPr>
                <w:sz w:val="20"/>
                <w:szCs w:val="20"/>
                <w:color w:val="auto"/>
              </w:rPr>
            </w:pPr>
            <w:r>
              <w:rPr>
                <w:rFonts w:ascii="Courier New" w:cs="Courier New" w:eastAsia="Courier New" w:hAnsi="Courier New"/>
                <w:sz w:val="16"/>
                <w:szCs w:val="16"/>
                <w:color w:val="auto"/>
                <w:w w:val="96"/>
              </w:rPr>
              <w:t>1996 to November 1998, Mr. Tomasi served as</w:t>
            </w:r>
          </w:p>
        </w:tc>
      </w:tr>
      <w:tr>
        <w:trPr>
          <w:trHeight w:val="179"/>
        </w:trPr>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Boca Raton, FL 33932</w:t>
            </w: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the</w:t>
            </w:r>
          </w:p>
        </w:tc>
        <w:tc>
          <w:tcPr>
            <w:tcW w:w="8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Director</w:t>
            </w:r>
          </w:p>
        </w:tc>
        <w:tc>
          <w:tcPr>
            <w:tcW w:w="7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5"/>
              </w:rPr>
              <w:t>of Bank</w:t>
            </w:r>
          </w:p>
        </w:tc>
        <w:tc>
          <w:tcPr>
            <w:tcW w:w="5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and</w:t>
            </w: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Thrift</w:t>
            </w:r>
          </w:p>
        </w:tc>
        <w:tc>
          <w:tcPr>
            <w:tcW w:w="940" w:type="dxa"/>
            <w:vAlign w:val="bottom"/>
            <w:gridSpan w:val="3"/>
          </w:tcPr>
          <w:p>
            <w:pPr>
              <w:ind w:left="200"/>
              <w:spacing w:after="0" w:line="179" w:lineRule="exact"/>
              <w:rPr>
                <w:sz w:val="20"/>
                <w:szCs w:val="20"/>
                <w:color w:val="auto"/>
              </w:rPr>
            </w:pPr>
            <w:r>
              <w:rPr>
                <w:rFonts w:ascii="Courier New" w:cs="Courier New" w:eastAsia="Courier New" w:hAnsi="Courier New"/>
                <w:sz w:val="16"/>
                <w:szCs w:val="16"/>
                <w:color w:val="auto"/>
                <w:w w:val="93"/>
              </w:rPr>
              <w:t>Research</w:t>
            </w:r>
          </w:p>
        </w:tc>
        <w:tc>
          <w:tcPr>
            <w:tcW w:w="8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for SNL</w:t>
            </w:r>
          </w:p>
        </w:tc>
      </w:tr>
      <w:tr>
        <w:trPr>
          <w:trHeight w:val="179"/>
        </w:trPr>
        <w:tc>
          <w:tcPr>
            <w:tcW w:w="214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w w:val="94"/>
              </w:rPr>
              <w:t>Securities,</w:t>
            </w:r>
          </w:p>
        </w:tc>
        <w:tc>
          <w:tcPr>
            <w:tcW w:w="4000" w:type="dxa"/>
            <w:vAlign w:val="bottom"/>
            <w:gridSpan w:val="11"/>
          </w:tcPr>
          <w:p>
            <w:pPr>
              <w:jc w:val="right"/>
              <w:spacing w:after="0" w:line="179" w:lineRule="exact"/>
              <w:rPr>
                <w:sz w:val="20"/>
                <w:szCs w:val="20"/>
                <w:color w:val="auto"/>
              </w:rPr>
            </w:pPr>
            <w:r>
              <w:rPr>
                <w:rFonts w:ascii="Courier New" w:cs="Courier New" w:eastAsia="Courier New" w:hAnsi="Courier New"/>
                <w:sz w:val="16"/>
                <w:szCs w:val="16"/>
                <w:color w:val="auto"/>
              </w:rPr>
              <w:t>LC. He was an Assistant Vice President of</w:t>
            </w:r>
          </w:p>
        </w:tc>
      </w:tr>
      <w:tr>
        <w:trPr>
          <w:trHeight w:val="179"/>
        </w:trPr>
        <w:tc>
          <w:tcPr>
            <w:tcW w:w="2140" w:type="dxa"/>
            <w:vAlign w:val="bottom"/>
          </w:tcPr>
          <w:p>
            <w:pPr>
              <w:spacing w:after="0"/>
              <w:rPr>
                <w:sz w:val="15"/>
                <w:szCs w:val="15"/>
                <w:color w:val="auto"/>
              </w:rPr>
            </w:pPr>
          </w:p>
        </w:tc>
        <w:tc>
          <w:tcPr>
            <w:tcW w:w="1580" w:type="dxa"/>
            <w:vAlign w:val="bottom"/>
            <w:gridSpan w:val="3"/>
          </w:tcPr>
          <w:p>
            <w:pPr>
              <w:ind w:left="280"/>
              <w:spacing w:after="0" w:line="179" w:lineRule="exact"/>
              <w:rPr>
                <w:sz w:val="20"/>
                <w:szCs w:val="20"/>
                <w:color w:val="auto"/>
              </w:rPr>
            </w:pPr>
            <w:r>
              <w:rPr>
                <w:rFonts w:ascii="Courier New" w:cs="Courier New" w:eastAsia="Courier New" w:hAnsi="Courier New"/>
                <w:sz w:val="16"/>
                <w:szCs w:val="16"/>
                <w:color w:val="auto"/>
                <w:w w:val="95"/>
              </w:rPr>
              <w:t>Balance  Sheet</w:t>
            </w:r>
          </w:p>
        </w:tc>
        <w:tc>
          <w:tcPr>
            <w:tcW w:w="1300" w:type="dxa"/>
            <w:vAlign w:val="bottom"/>
            <w:gridSpan w:val="4"/>
          </w:tcPr>
          <w:p>
            <w:pPr>
              <w:ind w:left="180"/>
              <w:spacing w:after="0" w:line="179" w:lineRule="exact"/>
              <w:rPr>
                <w:sz w:val="20"/>
                <w:szCs w:val="20"/>
                <w:color w:val="auto"/>
              </w:rPr>
            </w:pPr>
            <w:r>
              <w:rPr>
                <w:rFonts w:ascii="Courier New" w:cs="Courier New" w:eastAsia="Courier New" w:hAnsi="Courier New"/>
                <w:sz w:val="16"/>
                <w:szCs w:val="16"/>
                <w:color w:val="auto"/>
              </w:rPr>
              <w:t>Management</w:t>
            </w:r>
          </w:p>
        </w:tc>
        <w:tc>
          <w:tcPr>
            <w:tcW w:w="1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at Crestar</w:t>
            </w:r>
          </w:p>
        </w:tc>
        <w:tc>
          <w:tcPr>
            <w:tcW w:w="13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5"/>
              </w:rPr>
              <w:t>Bank from June</w:t>
            </w:r>
          </w:p>
        </w:tc>
      </w:tr>
      <w:tr>
        <w:trPr>
          <w:trHeight w:val="179"/>
        </w:trPr>
        <w:tc>
          <w:tcPr>
            <w:tcW w:w="2140" w:type="dxa"/>
            <w:vAlign w:val="bottom"/>
          </w:tcPr>
          <w:p>
            <w:pPr>
              <w:spacing w:after="0"/>
              <w:rPr>
                <w:sz w:val="15"/>
                <w:szCs w:val="15"/>
                <w:color w:val="auto"/>
              </w:rPr>
            </w:pPr>
          </w:p>
        </w:tc>
        <w:tc>
          <w:tcPr>
            <w:tcW w:w="2880" w:type="dxa"/>
            <w:vAlign w:val="bottom"/>
            <w:gridSpan w:val="7"/>
          </w:tcPr>
          <w:p>
            <w:pPr>
              <w:ind w:left="280"/>
              <w:spacing w:after="0" w:line="179" w:lineRule="exact"/>
              <w:rPr>
                <w:sz w:val="20"/>
                <w:szCs w:val="20"/>
                <w:color w:val="auto"/>
              </w:rPr>
            </w:pPr>
            <w:r>
              <w:rPr>
                <w:rFonts w:ascii="Courier New" w:cs="Courier New" w:eastAsia="Courier New" w:hAnsi="Courier New"/>
                <w:sz w:val="16"/>
                <w:szCs w:val="16"/>
                <w:color w:val="auto"/>
              </w:rPr>
              <w:t>1993 to  March  1996.  Mr.</w:t>
            </w:r>
          </w:p>
        </w:tc>
        <w:tc>
          <w:tcPr>
            <w:tcW w:w="242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6"/>
              </w:rPr>
              <w:t>Tomasi  has  served  as an</w:t>
            </w:r>
          </w:p>
        </w:tc>
      </w:tr>
      <w:tr>
        <w:trPr>
          <w:trHeight w:val="179"/>
        </w:trPr>
        <w:tc>
          <w:tcPr>
            <w:tcW w:w="2140" w:type="dxa"/>
            <w:vAlign w:val="bottom"/>
          </w:tcPr>
          <w:p>
            <w:pPr>
              <w:spacing w:after="0"/>
              <w:rPr>
                <w:sz w:val="15"/>
                <w:szCs w:val="15"/>
                <w:color w:val="auto"/>
              </w:rPr>
            </w:pPr>
          </w:p>
        </w:tc>
        <w:tc>
          <w:tcPr>
            <w:tcW w:w="130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in-charge</w:t>
            </w:r>
          </w:p>
        </w:tc>
        <w:tc>
          <w:tcPr>
            <w:tcW w:w="158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w w:val="95"/>
              </w:rPr>
              <w:t>auditor for Price</w:t>
            </w:r>
          </w:p>
        </w:tc>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Waterhouse</w:t>
            </w:r>
          </w:p>
        </w:tc>
        <w:tc>
          <w:tcPr>
            <w:tcW w:w="140" w:type="dxa"/>
            <w:vAlign w:val="bottom"/>
          </w:tcPr>
          <w:p>
            <w:pPr>
              <w:spacing w:after="0"/>
              <w:rPr>
                <w:sz w:val="15"/>
                <w:szCs w:val="15"/>
                <w:color w:val="auto"/>
              </w:rPr>
            </w:pPr>
          </w:p>
        </w:tc>
        <w:tc>
          <w:tcPr>
            <w:tcW w:w="11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from 1988 to</w:t>
            </w:r>
          </w:p>
        </w:tc>
      </w:tr>
      <w:tr>
        <w:trPr>
          <w:trHeight w:val="179"/>
        </w:trPr>
        <w:tc>
          <w:tcPr>
            <w:tcW w:w="2140" w:type="dxa"/>
            <w:vAlign w:val="bottom"/>
          </w:tcPr>
          <w:p>
            <w:pPr>
              <w:spacing w:after="0"/>
              <w:rPr>
                <w:sz w:val="15"/>
                <w:szCs w:val="15"/>
                <w:color w:val="auto"/>
              </w:rPr>
            </w:pPr>
          </w:p>
        </w:tc>
        <w:tc>
          <w:tcPr>
            <w:tcW w:w="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1"/>
              </w:rPr>
              <w:t>1990.</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jc w:val="both"/>
        <w:ind w:right="2779" w:firstLine="1209"/>
        <w:spacing w:after="0" w:line="235" w:lineRule="auto"/>
        <w:rPr>
          <w:sz w:val="20"/>
          <w:szCs w:val="20"/>
          <w:color w:val="auto"/>
        </w:rPr>
      </w:pPr>
      <w:r>
        <w:rPr>
          <w:rFonts w:ascii="Courier New" w:cs="Courier New" w:eastAsia="Courier New" w:hAnsi="Courier New"/>
          <w:sz w:val="16"/>
          <w:szCs w:val="16"/>
          <w:color w:val="auto"/>
        </w:rPr>
        <w:t>Except as set forth in this Consent Statement or in the Annexes hereto, to the best knowledge of JMI, none of the Nominees is employed by JMI or Seymour Holtzman. All of the Nominees are citizens of the United States. Mr. McMullin is also a citizen of Canada.</w:t>
      </w:r>
    </w:p>
    <w:p>
      <w:pPr>
        <w:spacing w:after="0" w:line="185" w:lineRule="exact"/>
        <w:rPr>
          <w:sz w:val="20"/>
          <w:szCs w:val="20"/>
          <w:color w:val="auto"/>
        </w:rPr>
      </w:pPr>
    </w:p>
    <w:p>
      <w:pPr>
        <w:jc w:val="both"/>
        <w:ind w:right="2779" w:firstLine="1674"/>
        <w:spacing w:after="0" w:line="275" w:lineRule="auto"/>
        <w:rPr>
          <w:sz w:val="20"/>
          <w:szCs w:val="20"/>
          <w:color w:val="auto"/>
        </w:rPr>
      </w:pPr>
      <w:r>
        <w:rPr>
          <w:rFonts w:ascii="Courier New" w:cs="Courier New" w:eastAsia="Courier New" w:hAnsi="Courier New"/>
          <w:sz w:val="14"/>
          <w:szCs w:val="14"/>
          <w:color w:val="auto"/>
        </w:rPr>
        <w:t>Except as set forth in this Consent Statement or in the Annexes hereto, to the best knowledge of JMI, none of JMI, any of the persons participating in this solicitation on behalf of JMI, the JMI Nominees and, with respect to items (i), (vii) and (viii) of this paragraph, any associate (within the meaning of Rule 14a-1 of the Securities Exchange Act of 1934, as amended (the "Exchange Act")) of the foregoing persons (i) owns beneficially, directly</w:t>
      </w:r>
    </w:p>
    <w:p>
      <w:pPr>
        <w:sectPr>
          <w:pgSz w:w="11900" w:h="16838" w:orient="portrait"/>
          <w:cols w:equalWidth="0" w:num="1">
            <w:col w:w="10219"/>
          </w:cols>
          <w:pgMar w:left="240" w:top="648" w:right="1440" w:bottom="1440" w:gutter="0" w:footer="0" w:header="0"/>
        </w:sectPr>
      </w:pPr>
    </w:p>
    <w:bookmarkStart w:id="11" w:name="page12"/>
    <w:bookmarkEnd w:id="11"/>
    <w:p>
      <w:pPr>
        <w:jc w:val="both"/>
        <w:ind w:left="5" w:right="2779"/>
        <w:spacing w:after="0" w:line="270" w:lineRule="auto"/>
        <w:rPr>
          <w:sz w:val="20"/>
          <w:szCs w:val="20"/>
          <w:color w:val="auto"/>
        </w:rPr>
      </w:pPr>
      <w:r>
        <w:rPr>
          <w:rFonts w:ascii="Courier New" w:cs="Courier New" w:eastAsia="Courier New" w:hAnsi="Courier New"/>
          <w:sz w:val="14"/>
          <w:szCs w:val="14"/>
          <w:color w:val="auto"/>
        </w:rPr>
        <w:t>or indirectly any securities of the Company, (ii) owns beneficially, directly or indirectly any securities of any parent or subsidiary of the Company, (iii) owns any securities of the Company of record but not beneficially, (iv) has purchased or sold any securities of the Company within the past two years, (v) has incurred indebtedness for the purpose of acquiring or holding securities of the Company, (vi) is or has within the past year been a party to any contract, arrangement or understanding with respect to any securities of the Company,</w:t>
      </w:r>
    </w:p>
    <w:p>
      <w:pPr>
        <w:spacing w:after="0" w:line="3" w:lineRule="exact"/>
        <w:rPr>
          <w:sz w:val="20"/>
          <w:szCs w:val="20"/>
          <w:color w:val="auto"/>
        </w:rPr>
      </w:pPr>
    </w:p>
    <w:p>
      <w:pPr>
        <w:jc w:val="both"/>
        <w:ind w:left="5" w:right="2779" w:hanging="5"/>
        <w:spacing w:after="0" w:line="273" w:lineRule="auto"/>
        <w:tabs>
          <w:tab w:leader="none" w:pos="563"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beginning of the Company's last fiscal year has been indebted to the Company or any of its subsidiaries in excess of $60,000 or (viii) has any arrangement or understanding with respect to future employment by the Company or with respect to any future transactions to which the Company or any of its affiliates will or may be a party. In addition, except as set forth in this Consent Statement or in the Annexes hereto, to the best knowledge of JMI, none of JMI, any of the persons participating in this solicitation on behalf of JMI, the JMI Nominees and any associates of the foregoing persons, has had or is to have a direct or indirect material interest in any transaction or proposed transaction with the Company in which the amount involved exceeds $60,000, since the beginning of the Company's last fiscal year.</w:t>
      </w:r>
    </w:p>
    <w:p>
      <w:pPr>
        <w:spacing w:after="0" w:line="343" w:lineRule="exact"/>
        <w:rPr>
          <w:sz w:val="20"/>
          <w:szCs w:val="20"/>
          <w:color w:val="auto"/>
        </w:rPr>
      </w:pPr>
    </w:p>
    <w:p>
      <w:pPr>
        <w:jc w:val="both"/>
        <w:ind w:left="5" w:right="2779" w:firstLine="1674"/>
        <w:spacing w:after="0" w:line="236" w:lineRule="auto"/>
        <w:rPr>
          <w:sz w:val="20"/>
          <w:szCs w:val="20"/>
          <w:color w:val="auto"/>
        </w:rPr>
      </w:pPr>
      <w:r>
        <w:rPr>
          <w:rFonts w:ascii="Courier New" w:cs="Courier New" w:eastAsia="Courier New" w:hAnsi="Courier New"/>
          <w:sz w:val="16"/>
          <w:szCs w:val="16"/>
          <w:color w:val="auto"/>
        </w:rPr>
        <w:t>Except as set forth in this Consent Statement or in the Annexes hereto, to the best knowledge of JMI, none of the Nominees, since the beginning of the Company's last fiscal year, has been affiliated with (i) any entity that made or received, or during the Company's current fiscal year proposes to make or receive, payments to or from the Company or its subsidiaries for property or services in excess of five percent of either the Company's or such entity's consolidated gross revenues for its last full fiscal year, or (ii) any entity to which the Company or its subsidiaries was indebted at the end of the Company's last full fiscal year in an aggregate amount exceeding five percent of the Company's total consolidated assets at the end of such year. None of the Nominees is or during the Company's last fiscal year has been affiliated with any law or investment banking firm that has performed or proposes to perform services for the Company.</w:t>
      </w:r>
    </w:p>
    <w:p>
      <w:pPr>
        <w:spacing w:after="0" w:line="188" w:lineRule="exact"/>
        <w:rPr>
          <w:sz w:val="20"/>
          <w:szCs w:val="20"/>
          <w:color w:val="auto"/>
        </w:rPr>
      </w:pPr>
    </w:p>
    <w:p>
      <w:pPr>
        <w:jc w:val="both"/>
        <w:ind w:left="5" w:right="2779" w:firstLine="1674"/>
        <w:spacing w:after="0" w:line="236" w:lineRule="auto"/>
        <w:rPr>
          <w:sz w:val="20"/>
          <w:szCs w:val="20"/>
          <w:color w:val="auto"/>
        </w:rPr>
      </w:pPr>
      <w:r>
        <w:rPr>
          <w:rFonts w:ascii="Courier New" w:cs="Courier New" w:eastAsia="Courier New" w:hAnsi="Courier New"/>
          <w:sz w:val="16"/>
          <w:szCs w:val="16"/>
          <w:color w:val="auto"/>
        </w:rPr>
        <w:t>To the best knowledge of JMI, none of the corporations or organizations in which the JMI Nominees have conducted their principal occupation or employment was a parent, subsidiary or other affiliate of the Company, and the Nominees do not hold any position or office with the Company or have any family relationship with any executive officer or director of the Company or have been involved in any proceedings, legal or otherwise, of the type required to be disclosed by the rules governing this solicitation.</w:t>
      </w:r>
    </w:p>
    <w:p>
      <w:pPr>
        <w:spacing w:after="0" w:line="184" w:lineRule="exact"/>
        <w:rPr>
          <w:sz w:val="20"/>
          <w:szCs w:val="20"/>
          <w:color w:val="auto"/>
        </w:r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JMI has agreed to indemnify each of the Nominees against certain liabilities, including liabilities under the federal securities laws, in connection with this consent solicitation and such person's involvement in the operation of the Company and to reimburse such Nominee for his or her out-of-pocket expenses.</w:t>
      </w:r>
    </w:p>
    <w:p>
      <w:pPr>
        <w:spacing w:after="0" w:line="186" w:lineRule="exact"/>
        <w:rPr>
          <w:sz w:val="20"/>
          <w:szCs w:val="20"/>
          <w:color w:val="auto"/>
        </w:rPr>
      </w:pPr>
    </w:p>
    <w:p>
      <w:pPr>
        <w:jc w:val="both"/>
        <w:ind w:left="5" w:right="2779" w:firstLine="1674"/>
        <w:spacing w:after="0" w:line="235" w:lineRule="auto"/>
        <w:rPr>
          <w:sz w:val="20"/>
          <w:szCs w:val="20"/>
          <w:color w:val="auto"/>
        </w:rPr>
      </w:pPr>
      <w:r>
        <w:rPr>
          <w:rFonts w:ascii="Courier New" w:cs="Courier New" w:eastAsia="Courier New" w:hAnsi="Courier New"/>
          <w:sz w:val="16"/>
          <w:szCs w:val="16"/>
          <w:color w:val="auto"/>
        </w:rPr>
        <w:t>Certain additional information about the employees of JMI, its affiliates and other persons who are not Nominees and who may assist in soliciting consents is set forth in Annex A.</w:t>
      </w:r>
    </w:p>
    <w:p>
      <w:pPr>
        <w:sectPr>
          <w:pgSz w:w="11900" w:h="16838" w:orient="portrait"/>
          <w:cols w:equalWidth="0" w:num="1">
            <w:col w:w="10224"/>
          </w:cols>
          <w:pgMar w:left="235" w:top="1191" w:right="1440" w:bottom="1440" w:gutter="0" w:footer="0" w:header="0"/>
        </w:sectPr>
      </w:pPr>
    </w:p>
    <w:bookmarkStart w:id="12" w:name="page13"/>
    <w:bookmarkEnd w:id="12"/>
    <w:p>
      <w:pPr>
        <w:ind w:left="2225"/>
        <w:spacing w:after="0"/>
        <w:rPr>
          <w:sz w:val="20"/>
          <w:szCs w:val="20"/>
          <w:color w:val="auto"/>
        </w:rPr>
      </w:pPr>
      <w:r>
        <w:rPr>
          <w:rFonts w:ascii="Courier New" w:cs="Courier New" w:eastAsia="Courier New" w:hAnsi="Courier New"/>
          <w:sz w:val="16"/>
          <w:szCs w:val="16"/>
          <w:color w:val="auto"/>
        </w:rPr>
        <w:t>CERTAIN EFFECTS OF THE PROPOSALS</w:t>
      </w:r>
    </w:p>
    <w:p>
      <w:pPr>
        <w:spacing w:after="0" w:line="183" w:lineRule="exact"/>
        <w:rPr>
          <w:sz w:val="20"/>
          <w:szCs w:val="20"/>
          <w:color w:val="auto"/>
        </w:rPr>
      </w:pPr>
    </w:p>
    <w:p>
      <w:pPr>
        <w:jc w:val="both"/>
        <w:ind w:left="5" w:right="2779" w:firstLine="1674"/>
        <w:spacing w:after="0" w:line="236" w:lineRule="auto"/>
        <w:rPr>
          <w:sz w:val="20"/>
          <w:szCs w:val="20"/>
          <w:color w:val="auto"/>
        </w:rPr>
      </w:pPr>
      <w:r>
        <w:rPr>
          <w:rFonts w:ascii="Courier New" w:cs="Courier New" w:eastAsia="Courier New" w:hAnsi="Courier New"/>
          <w:sz w:val="16"/>
          <w:szCs w:val="16"/>
          <w:color w:val="auto"/>
        </w:rPr>
        <w:t>Set forth below is a description of certain provisions of certain agreements to which the Company is a party which may be implicated as a result of the adoption of certain of the Proposals. This description is qualified in its entirety by reference to such agreements which have been filed by the Company with the Commission. Other documents or arrangements applicable to the Company not available to or not reviewed by JMI may affect the matters described below or may be affected by the matters contemplated by the Consent Statement.</w:t>
      </w:r>
    </w:p>
    <w:p>
      <w:pPr>
        <w:spacing w:after="0" w:line="184" w:lineRule="exact"/>
        <w:rPr>
          <w:sz w:val="20"/>
          <w:szCs w:val="20"/>
          <w:color w:val="auto"/>
        </w:rPr>
      </w:pPr>
    </w:p>
    <w:p>
      <w:pPr>
        <w:jc w:val="both"/>
        <w:ind w:left="5" w:right="2779" w:firstLine="1767"/>
        <w:spacing w:after="0" w:line="235" w:lineRule="auto"/>
        <w:rPr>
          <w:sz w:val="20"/>
          <w:szCs w:val="20"/>
          <w:color w:val="auto"/>
        </w:rPr>
      </w:pPr>
      <w:r>
        <w:rPr>
          <w:rFonts w:ascii="Courier New" w:cs="Courier New" w:eastAsia="Courier New" w:hAnsi="Courier New"/>
          <w:sz w:val="16"/>
          <w:szCs w:val="16"/>
          <w:color w:val="auto"/>
        </w:rPr>
        <w:t>The Director Removal Proposal and the Director Election Proposal, if adopted, may trigger "change of control" provisions in certain agreements to which the Company is a party.</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Credit Agreement</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jc w:val="both"/>
        <w:ind w:left="5" w:right="2779" w:firstLine="1674"/>
        <w:spacing w:after="0" w:line="270" w:lineRule="auto"/>
        <w:rPr>
          <w:sz w:val="20"/>
          <w:szCs w:val="20"/>
          <w:color w:val="auto"/>
        </w:rPr>
      </w:pPr>
      <w:r>
        <w:rPr>
          <w:rFonts w:ascii="Courier New" w:cs="Courier New" w:eastAsia="Courier New" w:hAnsi="Courier New"/>
          <w:sz w:val="14"/>
          <w:szCs w:val="14"/>
          <w:color w:val="auto"/>
        </w:rPr>
        <w:t>On June 4, 1998 the Company entered into a $50 million credit agreement (the "Credit Agreement") with BankBoston Retail Finance, Inc. ("BankBoston"). The Credit Agreement provides that the removal and replacement of a majority of the Board of Directors as contemplated by the Director Removal Proposal would constitute an "event of default." Upon the occurrence of an "event of default" any and all "Liabilities" shall either (i) become due and payable without any further act on the part of BankBoston or any other lender or</w:t>
      </w:r>
    </w:p>
    <w:p>
      <w:pPr>
        <w:spacing w:after="0" w:line="3" w:lineRule="exact"/>
        <w:rPr>
          <w:sz w:val="20"/>
          <w:szCs w:val="20"/>
          <w:color w:val="auto"/>
        </w:rPr>
      </w:pPr>
    </w:p>
    <w:p>
      <w:pPr>
        <w:jc w:val="both"/>
        <w:ind w:left="5" w:right="2779" w:hanging="5"/>
        <w:spacing w:after="0" w:line="236" w:lineRule="auto"/>
        <w:tabs>
          <w:tab w:leader="none" w:pos="47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become immediately due and payable, at the option of BankBoston without notice or demand. Liabilities include, among other things, the obligation to pay any loan or advance and any interest thereon. JMI expects to seek to either (i) assist the Company in making alternative financing arrangements to replace the Credit Agreement or (ii) have the Company seek from BankBoston confirmation that no "change of control" has occurred or waive the effects of any such "change of control." There can be no assurance that either of the foregoing can be implemented or agreed, or if implemented or agreed, the terms on which such implementation or agreement may be reached.</w:t>
      </w:r>
    </w:p>
    <w:p>
      <w:pPr>
        <w:spacing w:after="0" w:line="17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Employment Agreements</w:t>
      </w:r>
    </w:p>
    <w:p>
      <w:pPr>
        <w:ind w:left="5"/>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jc w:val="both"/>
        <w:ind w:left="5" w:right="2779" w:firstLine="1674"/>
        <w:spacing w:after="0" w:line="236" w:lineRule="auto"/>
        <w:rPr>
          <w:sz w:val="20"/>
          <w:szCs w:val="20"/>
          <w:color w:val="auto"/>
        </w:rPr>
      </w:pPr>
      <w:r>
        <w:rPr>
          <w:rFonts w:ascii="Courier New" w:cs="Courier New" w:eastAsia="Courier New" w:hAnsi="Courier New"/>
          <w:sz w:val="16"/>
          <w:szCs w:val="16"/>
          <w:color w:val="auto"/>
        </w:rPr>
        <w:t>The Company has entered into employment agreements (each an "Employment Agreement" and collectively, the "Employment Agreements") with each of Joel H. Reichman, the President and Chief Executive Officer, Scott N. Semel, Senior Vice President, General Counsel and Secretary, and Carolyn Faulkner, Vice President and Chief Financial Officer (each an "Executive" and collectively, the "Executives"). The Employment Agreements provide that removal and replacement of a majority of the Board of Directors as contemplated by the Director Removal Proposal and the Director Election Proposal would constitute a "change of control."</w:t>
      </w:r>
    </w:p>
    <w:p>
      <w:pPr>
        <w:spacing w:after="0" w:line="364" w:lineRule="exact"/>
        <w:rPr>
          <w:sz w:val="20"/>
          <w:szCs w:val="20"/>
          <w:color w:val="auto"/>
        </w:rPr>
      </w:pPr>
    </w:p>
    <w:p>
      <w:pPr>
        <w:jc w:val="both"/>
        <w:ind w:left="5" w:right="2779" w:firstLine="1674"/>
        <w:spacing w:after="0" w:line="275" w:lineRule="auto"/>
        <w:rPr>
          <w:sz w:val="20"/>
          <w:szCs w:val="20"/>
          <w:color w:val="auto"/>
        </w:rPr>
      </w:pPr>
      <w:r>
        <w:rPr>
          <w:rFonts w:ascii="Courier New" w:cs="Courier New" w:eastAsia="Courier New" w:hAnsi="Courier New"/>
          <w:sz w:val="14"/>
          <w:szCs w:val="14"/>
          <w:color w:val="auto"/>
        </w:rPr>
        <w:t>If, among other things, any of the Executives is terminated without justifiable cause or if the Company shall fail to renew such Executive's Employment Agreement within two years of a "change of control," the Company shall upon such termination, immediately pay such Executive, the greater of (i) two times the then annual salary of such Executive or (ii) 1/12 of such Executive's then annual salary multiplied by the number of months remaining in</w:t>
      </w:r>
    </w:p>
    <w:p>
      <w:pPr>
        <w:sectPr>
          <w:pgSz w:w="11900" w:h="16838" w:orient="portrait"/>
          <w:cols w:equalWidth="0" w:num="1">
            <w:col w:w="10224"/>
          </w:cols>
          <w:pgMar w:left="235" w:top="827" w:right="1440" w:bottom="1440" w:gutter="0" w:footer="0" w:header="0"/>
        </w:sectPr>
      </w:pPr>
    </w:p>
    <w:bookmarkStart w:id="13" w:name="page14"/>
    <w:bookmarkEnd w:id="13"/>
    <w:p>
      <w:pPr>
        <w:jc w:val="both"/>
        <w:ind w:right="3620"/>
        <w:spacing w:after="0" w:line="236" w:lineRule="auto"/>
        <w:rPr>
          <w:sz w:val="20"/>
          <w:szCs w:val="20"/>
          <w:color w:val="auto"/>
        </w:rPr>
      </w:pPr>
      <w:r>
        <w:rPr>
          <w:rFonts w:ascii="Courier New" w:cs="Courier New" w:eastAsia="Courier New" w:hAnsi="Courier New"/>
          <w:sz w:val="16"/>
          <w:szCs w:val="16"/>
          <w:color w:val="auto"/>
        </w:rPr>
        <w:t>the term (the "Severance Period"). In addition, the Company shall continue to allow such Executive to participate, at the Company's expense, in the Company's health insurance and disability insurance programs, to the extent permitted under such programs, during the Severance Period and shall pay such Executive additional compensation to enable such Executive to pay any tax that may be imposed by Section 280G of the Internal Revenue Code of 1986, as amended. Based on publicly available filings, the current annual salaries of each of Mr. Reichman, Mr. Semel and Ms. Faulkner are $375,000, $290,000 and $210,000, respectively.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jc w:val="both"/>
        <w:ind w:right="3620" w:firstLine="1674"/>
        <w:spacing w:after="0" w:line="273" w:lineRule="auto"/>
        <w:rPr>
          <w:sz w:val="20"/>
          <w:szCs w:val="20"/>
          <w:color w:val="auto"/>
        </w:rPr>
      </w:pPr>
      <w:r>
        <w:rPr>
          <w:rFonts w:ascii="Courier New" w:cs="Courier New" w:eastAsia="Courier New" w:hAnsi="Courier New"/>
          <w:sz w:val="14"/>
          <w:szCs w:val="14"/>
          <w:color w:val="auto"/>
        </w:rPr>
        <w:t>Pursuant to the Company's 1992 Stock Incentive Plan, as amended (the "1992 Stock Incentive Plan"), incentive and non-incentive stock options, unrestricted and restricted stock awards and performance share awards may be granted to full or part time officers and other selected employees of the Company and its subsidiaries. In addition, the 1992 Stock Incentive Plan provides that each non-employee director of the Company that is elected by the stockholders initially will be granted, upon such election, a stock option to purchase, up to 10,000 shares of the Company's Common Stock at the then fair market value of the Common Stock. The 1992 Stock Incentive Plan also provides that each non-employee director of the Company that is re-elected to the Board is granted, upon such re-election, a stock option to purchase up to 3,000 shares of Common Stock at the then fair market value of the Common Stock.</w:t>
      </w:r>
    </w:p>
    <w:p>
      <w:pPr>
        <w:spacing w:after="0" w:line="341" w:lineRule="exact"/>
        <w:rPr>
          <w:sz w:val="20"/>
          <w:szCs w:val="20"/>
          <w:color w:val="auto"/>
        </w:rPr>
      </w:pPr>
    </w:p>
    <w:p>
      <w:pPr>
        <w:jc w:val="both"/>
        <w:ind w:right="3620" w:firstLine="1674"/>
        <w:spacing w:after="0" w:line="236" w:lineRule="auto"/>
        <w:rPr>
          <w:sz w:val="20"/>
          <w:szCs w:val="20"/>
          <w:color w:val="auto"/>
        </w:rPr>
      </w:pPr>
      <w:r>
        <w:rPr>
          <w:rFonts w:ascii="Courier New" w:cs="Courier New" w:eastAsia="Courier New" w:hAnsi="Courier New"/>
          <w:sz w:val="16"/>
          <w:szCs w:val="16"/>
          <w:color w:val="auto"/>
        </w:rPr>
        <w:t>Each stock option granted under the 1992 Stock Incentive Plan will automatically become fully exercisable upon a "change of control." For purposes of the 1992 Stock Incentive Plan, the Director Removal Proposal would constitute a "change of control." In addition, upon a "change of control" all restrictions on restricted stock are automatically deemed waived and the recipients of such restricted stock awards shall become entitled to receipt of the stock subject to such awards.</w:t>
      </w:r>
    </w:p>
    <w:p>
      <w:pPr>
        <w:spacing w:after="0" w:line="184" w:lineRule="exact"/>
        <w:rPr>
          <w:sz w:val="20"/>
          <w:szCs w:val="20"/>
          <w:color w:val="auto"/>
        </w:rPr>
      </w:pPr>
    </w:p>
    <w:p>
      <w:pPr>
        <w:jc w:val="both"/>
        <w:ind w:right="3620" w:firstLine="1674"/>
        <w:spacing w:after="0" w:line="235" w:lineRule="auto"/>
        <w:rPr>
          <w:sz w:val="20"/>
          <w:szCs w:val="20"/>
          <w:color w:val="auto"/>
        </w:rPr>
      </w:pPr>
      <w:r>
        <w:rPr>
          <w:rFonts w:ascii="Courier New" w:cs="Courier New" w:eastAsia="Courier New" w:hAnsi="Courier New"/>
          <w:sz w:val="16"/>
          <w:szCs w:val="16"/>
          <w:color w:val="auto"/>
        </w:rPr>
        <w:t>The following, which is based on the Company's proxy statements for the annual meetings of stockholders for each of 1996, 1997 and 1998 and qualified in its entirety by reference thereto, sets forth the number of options and the exercise price of such options for the Executives listed above for each of 1995, 1996 and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00" w:type="dxa"/>
            <w:vAlign w:val="bottom"/>
          </w:tcPr>
          <w:p>
            <w:pPr>
              <w:ind w:left="1200"/>
              <w:spacing w:after="0"/>
              <w:rPr>
                <w:sz w:val="20"/>
                <w:szCs w:val="20"/>
                <w:color w:val="auto"/>
              </w:rPr>
            </w:pPr>
            <w:r>
              <w:rPr>
                <w:rFonts w:ascii="Courier New" w:cs="Courier New" w:eastAsia="Courier New" w:hAnsi="Courier New"/>
                <w:sz w:val="16"/>
                <w:szCs w:val="16"/>
                <w:color w:val="auto"/>
              </w:rPr>
              <w:t>NAME</w:t>
            </w:r>
          </w:p>
        </w:tc>
        <w:tc>
          <w:tcPr>
            <w:tcW w:w="3100" w:type="dxa"/>
            <w:vAlign w:val="bottom"/>
            <w:gridSpan w:val="2"/>
          </w:tcPr>
          <w:p>
            <w:pPr>
              <w:ind w:left="1200"/>
              <w:spacing w:after="0"/>
              <w:rPr>
                <w:sz w:val="20"/>
                <w:szCs w:val="20"/>
                <w:color w:val="auto"/>
              </w:rPr>
            </w:pPr>
            <w:r>
              <w:rPr>
                <w:rFonts w:ascii="Courier New" w:cs="Courier New" w:eastAsia="Courier New" w:hAnsi="Courier New"/>
                <w:sz w:val="16"/>
                <w:szCs w:val="16"/>
                <w:color w:val="auto"/>
              </w:rPr>
              <w:t>1995 GRANT</w:t>
            </w:r>
          </w:p>
        </w:tc>
        <w:tc>
          <w:tcPr>
            <w:tcW w:w="294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1996 GRANT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GRANT</w:t>
            </w:r>
          </w:p>
        </w:tc>
      </w:tr>
      <w:tr>
        <w:trPr>
          <w:trHeight w:val="179"/>
        </w:trPr>
        <w:tc>
          <w:tcPr>
            <w:tcW w:w="270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w:t>
            </w:r>
          </w:p>
        </w:tc>
        <w:tc>
          <w:tcPr>
            <w:tcW w:w="3100" w:type="dxa"/>
            <w:vAlign w:val="bottom"/>
            <w:gridSpan w:val="2"/>
          </w:tcPr>
          <w:p>
            <w:pPr>
              <w:jc w:val="right"/>
              <w:ind w:right="882"/>
              <w:spacing w:after="0" w:line="179" w:lineRule="exact"/>
              <w:rPr>
                <w:sz w:val="20"/>
                <w:szCs w:val="20"/>
                <w:color w:val="auto"/>
              </w:rPr>
            </w:pPr>
            <w:r>
              <w:rPr>
                <w:rFonts w:ascii="Courier New" w:cs="Courier New" w:eastAsia="Courier New" w:hAnsi="Courier New"/>
                <w:sz w:val="16"/>
                <w:szCs w:val="16"/>
                <w:color w:val="auto"/>
              </w:rPr>
              <w:t>----------</w:t>
            </w:r>
          </w:p>
        </w:tc>
        <w:tc>
          <w:tcPr>
            <w:tcW w:w="2940" w:type="dxa"/>
            <w:vAlign w:val="bottom"/>
            <w:gridSpan w:val="2"/>
          </w:tcPr>
          <w:p>
            <w:pPr>
              <w:ind w:left="980"/>
              <w:spacing w:after="0" w:line="179" w:lineRule="exact"/>
              <w:rPr>
                <w:sz w:val="20"/>
                <w:szCs w:val="20"/>
                <w:color w:val="auto"/>
              </w:rPr>
            </w:pPr>
            <w:r>
              <w:rPr>
                <w:rFonts w:ascii="Courier New" w:cs="Courier New" w:eastAsia="Courier New" w:hAnsi="Courier New"/>
                <w:sz w:val="16"/>
                <w:szCs w:val="16"/>
                <w:color w:val="auto"/>
              </w:rPr>
              <w:t>----------</w:t>
            </w:r>
          </w:p>
        </w:tc>
        <w:tc>
          <w:tcPr>
            <w:tcW w:w="2320" w:type="dxa"/>
            <w:vAlign w:val="bottom"/>
            <w:gridSpan w:val="3"/>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700" w:type="dxa"/>
            <w:vAlign w:val="bottom"/>
          </w:tcPr>
          <w:p>
            <w:pPr>
              <w:spacing w:after="0"/>
              <w:rPr>
                <w:sz w:val="20"/>
                <w:szCs w:val="20"/>
                <w:color w:val="auto"/>
              </w:rPr>
            </w:pPr>
            <w:r>
              <w:rPr>
                <w:rFonts w:ascii="Courier New" w:cs="Courier New" w:eastAsia="Courier New" w:hAnsi="Courier New"/>
                <w:sz w:val="16"/>
                <w:szCs w:val="16"/>
                <w:color w:val="auto"/>
              </w:rPr>
              <w:t>Joel H. Reichman</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c>
          <w:tcPr>
            <w:tcW w:w="1620" w:type="dxa"/>
            <w:vAlign w:val="bottom"/>
          </w:tcPr>
          <w:p>
            <w:pPr>
              <w:ind w:left="100"/>
              <w:spacing w:after="0"/>
              <w:rPr>
                <w:sz w:val="20"/>
                <w:szCs w:val="20"/>
                <w:color w:val="auto"/>
              </w:rPr>
            </w:pPr>
            <w:r>
              <w:rPr>
                <w:rFonts w:ascii="Courier New" w:cs="Courier New" w:eastAsia="Courier New" w:hAnsi="Courier New"/>
                <w:sz w:val="16"/>
                <w:szCs w:val="16"/>
                <w:color w:val="auto"/>
              </w:rPr>
              <w:t>at $10.50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40,000</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at $6.875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270,000</w:t>
            </w:r>
          </w:p>
        </w:tc>
        <w:tc>
          <w:tcPr>
            <w:tcW w:w="8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4"/>
              </w:rPr>
              <w:t>at $12.00</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Scott N. Semel</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50,000</w:t>
            </w:r>
          </w:p>
        </w:tc>
        <w:tc>
          <w:tcPr>
            <w:tcW w:w="16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at $10.50</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w:t>
            </w:r>
          </w:p>
        </w:tc>
        <w:tc>
          <w:tcPr>
            <w:tcW w:w="1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at $6.875</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150,000</w:t>
            </w:r>
          </w:p>
        </w:tc>
        <w:tc>
          <w:tcPr>
            <w:tcW w:w="2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$12.00</w:t>
            </w:r>
          </w:p>
        </w:tc>
      </w:tr>
      <w:tr>
        <w:trPr>
          <w:trHeight w:val="179"/>
        </w:trPr>
        <w:tc>
          <w:tcPr>
            <w:tcW w:w="2700" w:type="dxa"/>
            <w:vAlign w:val="bottom"/>
          </w:tcPr>
          <w:p>
            <w:pPr>
              <w:spacing w:after="0" w:line="179" w:lineRule="exact"/>
              <w:rPr>
                <w:sz w:val="20"/>
                <w:szCs w:val="20"/>
                <w:color w:val="auto"/>
              </w:rPr>
            </w:pPr>
            <w:r>
              <w:rPr>
                <w:rFonts w:ascii="Courier New" w:cs="Courier New" w:eastAsia="Courier New" w:hAnsi="Courier New"/>
                <w:sz w:val="16"/>
                <w:szCs w:val="16"/>
                <w:color w:val="auto"/>
              </w:rPr>
              <w:t>Carolyn R. Faulkner</w:t>
            </w:r>
          </w:p>
        </w:tc>
        <w:tc>
          <w:tcPr>
            <w:tcW w:w="1480" w:type="dxa"/>
            <w:vAlign w:val="bottom"/>
          </w:tcPr>
          <w:p>
            <w:pPr>
              <w:spacing w:after="0"/>
              <w:rPr>
                <w:sz w:val="15"/>
                <w:szCs w:val="15"/>
                <w:color w:val="auto"/>
              </w:rPr>
            </w:pPr>
          </w:p>
        </w:tc>
        <w:tc>
          <w:tcPr>
            <w:tcW w:w="1620" w:type="dxa"/>
            <w:vAlign w:val="bottom"/>
          </w:tcPr>
          <w:p>
            <w:pPr>
              <w:jc w:val="right"/>
              <w:ind w:right="1162"/>
              <w:spacing w:after="0" w:line="179" w:lineRule="exact"/>
              <w:rPr>
                <w:sz w:val="20"/>
                <w:szCs w:val="20"/>
                <w:color w:val="auto"/>
              </w:rPr>
            </w:pPr>
            <w:r>
              <w:rPr>
                <w:rFonts w:ascii="Courier New" w:cs="Courier New" w:eastAsia="Courier New" w:hAnsi="Courier New"/>
                <w:sz w:val="16"/>
                <w:szCs w:val="16"/>
                <w:color w:val="auto"/>
                <w:w w:val="93"/>
              </w:rPr>
              <w:t>----</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20,000</w:t>
            </w:r>
          </w:p>
        </w:tc>
        <w:tc>
          <w:tcPr>
            <w:tcW w:w="16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at $6.125</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80,000</w:t>
            </w:r>
          </w:p>
        </w:tc>
        <w:tc>
          <w:tcPr>
            <w:tcW w:w="2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at</w:t>
            </w:r>
          </w:p>
        </w:tc>
        <w:tc>
          <w:tcPr>
            <w:tcW w:w="6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$12.00</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Trademark and License Agreement</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77" w:lineRule="exact"/>
        <w:rPr>
          <w:sz w:val="20"/>
          <w:szCs w:val="20"/>
          <w:color w:val="auto"/>
        </w:rPr>
      </w:pPr>
    </w:p>
    <w:p>
      <w:pPr>
        <w:jc w:val="right"/>
        <w:ind w:right="3620"/>
        <w:spacing w:after="0"/>
        <w:tabs>
          <w:tab w:leader="none" w:pos="8900" w:val="left"/>
          <w:tab w:leader="none" w:pos="5380" w:val="left"/>
          <w:tab w:leader="none" w:pos="4440" w:val="left"/>
        </w:tabs>
        <w:rPr>
          <w:sz w:val="20"/>
          <w:szCs w:val="20"/>
          <w:color w:val="auto"/>
        </w:rPr>
      </w:pPr>
      <w:r>
        <w:rPr>
          <w:rFonts w:ascii="Courier New" w:cs="Courier New" w:eastAsia="Courier New" w:hAnsi="Courier New"/>
          <w:sz w:val="16"/>
          <w:szCs w:val="16"/>
          <w:color w:val="auto"/>
        </w:rPr>
        <w:t>The</w:t>
        <w:tab/>
        <w:t>Company is a party to an Amended and</w:t>
        <w:tab/>
        <w:t>Restated</w:t>
      </w:r>
      <w:r>
        <w:rPr>
          <w:sz w:val="20"/>
          <w:szCs w:val="20"/>
          <w:color w:val="auto"/>
        </w:rPr>
        <w:tab/>
      </w:r>
      <w:r>
        <w:rPr>
          <w:rFonts w:ascii="Courier New" w:cs="Courier New" w:eastAsia="Courier New" w:hAnsi="Courier New"/>
          <w:sz w:val="14"/>
          <w:szCs w:val="14"/>
          <w:color w:val="auto"/>
        </w:rPr>
        <w:t>Trademark</w:t>
      </w:r>
    </w:p>
    <w:p>
      <w:pPr>
        <w:spacing w:after="0"/>
        <w:tabs>
          <w:tab w:leader="none" w:pos="820" w:val="left"/>
          <w:tab w:leader="none" w:pos="1840" w:val="left"/>
          <w:tab w:leader="none" w:pos="2400" w:val="left"/>
          <w:tab w:leader="none" w:pos="3320" w:val="left"/>
          <w:tab w:leader="none" w:pos="4540" w:val="left"/>
          <w:tab w:leader="none" w:pos="6860" w:val="left"/>
        </w:tabs>
        <w:rPr>
          <w:sz w:val="20"/>
          <w:szCs w:val="20"/>
          <w:color w:val="auto"/>
        </w:rPr>
      </w:pPr>
      <w:r>
        <w:rPr>
          <w:rFonts w:ascii="Courier New" w:cs="Courier New" w:eastAsia="Courier New" w:hAnsi="Courier New"/>
          <w:sz w:val="16"/>
          <w:szCs w:val="16"/>
          <w:color w:val="auto"/>
        </w:rPr>
        <w:t>License</w:t>
        <w:tab/>
        <w:t>Agreement</w:t>
        <w:tab/>
        <w:t>(the</w:t>
        <w:tab/>
        <w:t>"License</w:t>
        <w:tab/>
        <w:t>Agreement")</w:t>
        <w:tab/>
        <w:t>with Levi Strauss &amp; Co.</w:t>
      </w:r>
      <w:r>
        <w:rPr>
          <w:sz w:val="20"/>
          <w:szCs w:val="20"/>
          <w:color w:val="auto"/>
        </w:rPr>
        <w:tab/>
      </w:r>
      <w:r>
        <w:rPr>
          <w:rFonts w:ascii="Courier New" w:cs="Courier New" w:eastAsia="Courier New" w:hAnsi="Courier New"/>
          <w:sz w:val="14"/>
          <w:szCs w:val="14"/>
          <w:color w:val="auto"/>
        </w:rPr>
        <w:t>("Levi</w:t>
      </w:r>
    </w:p>
    <w:p>
      <w:pPr>
        <w:sectPr>
          <w:pgSz w:w="11900" w:h="16838" w:orient="portrait"/>
          <w:cols w:equalWidth="0" w:num="1">
            <w:col w:w="11060"/>
          </w:cols>
          <w:pgMar w:left="240" w:top="1012" w:right="599" w:bottom="1440" w:gutter="0" w:footer="0" w:header="0"/>
        </w:sectPr>
      </w:pPr>
    </w:p>
    <w:bookmarkStart w:id="14" w:name="page15"/>
    <w:bookmarkEnd w:id="14"/>
    <w:p>
      <w:pPr>
        <w:jc w:val="both"/>
        <w:ind w:right="2779"/>
        <w:spacing w:after="0" w:line="236" w:lineRule="auto"/>
        <w:rPr>
          <w:sz w:val="20"/>
          <w:szCs w:val="20"/>
          <w:color w:val="auto"/>
        </w:rPr>
      </w:pPr>
      <w:r>
        <w:rPr>
          <w:rFonts w:ascii="Courier New" w:cs="Courier New" w:eastAsia="Courier New" w:hAnsi="Courier New"/>
          <w:sz w:val="16"/>
          <w:szCs w:val="16"/>
          <w:color w:val="auto"/>
        </w:rPr>
        <w:t>Strauss") pursuant to which, among other things, Levi Strauss has granted certain rights to use certain Levi Strauss trademarks in connection with the Company's business. The License Agreement purports to restrict assignments, sublicenses or other transfers (a "transfer") by the Company of its rights or obligations under the License Agreement without the prior written approval of Levi Strauss, and to further provide that a "transfer" shall include any direct or indirect transfer of control of the Company. The License Agreement further provides that any attempt to "transfer" without the prior written consent of Levi Strauss shall be void and deemed a material breach of the License Agreement, which would purport to permit Levi Strauss to, among other remedies available under law, terminate the License Agreement 120 days after written notice is given to the Company, unless the breach is cured.</w:t>
      </w:r>
    </w:p>
    <w:p>
      <w:pPr>
        <w:spacing w:after="0" w:line="187"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While JMI does not believe that a change in the Board of Directors pursuant to a validly authorized shareholder action constitutes a "transfer" under the License Agreement, in the event that Levi Strauss were to take the position that election of the JMI Nominees constitutes a "transfer" or other material breach under the License Agreement, JMI would seek to have Levi Strauss confirm that no "transfer" or breach has occurred. There can be no assurance that Levi Strauss would so agree and, if (i) it were ultimately determined that a "transfer" and breach had occurred, (ii) such breach were not cured within the requisite time period and (iii) Levi Strauss were to ultimately terminate the License Agreement, the Company's business could be materially adversely effected.</w:t>
      </w:r>
    </w:p>
    <w:p>
      <w:pPr>
        <w:spacing w:after="0" w:line="180"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THE CONSENT PROCEDURE</w:t>
      </w:r>
    </w:p>
    <w:p>
      <w:pPr>
        <w:spacing w:after="0" w:line="183" w:lineRule="exact"/>
        <w:rPr>
          <w:sz w:val="20"/>
          <w:szCs w:val="20"/>
          <w:color w:val="auto"/>
        </w:rPr>
      </w:pPr>
    </w:p>
    <w:p>
      <w:pPr>
        <w:jc w:val="both"/>
        <w:ind w:right="2779" w:firstLine="1674"/>
        <w:spacing w:after="0" w:line="272" w:lineRule="auto"/>
        <w:rPr>
          <w:sz w:val="20"/>
          <w:szCs w:val="20"/>
          <w:color w:val="auto"/>
        </w:rPr>
      </w:pPr>
      <w:r>
        <w:rPr>
          <w:rFonts w:ascii="Courier New" w:cs="Courier New" w:eastAsia="Courier New" w:hAnsi="Courier New"/>
          <w:sz w:val="14"/>
          <w:szCs w:val="14"/>
          <w:color w:val="auto"/>
        </w:rPr>
        <w:t>Section 228 of the DGCL states that, unless otherwise provided in a corporation's certificate of incorporation, any action that may be taken at any annual or special meeting of stockholders may be taken without a meeting, without prior notice and without a vote, if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those consents are delivered to the corporation by delivery to its registered office in Delaware, its principal place of business or an officer or agent of the corporation having custody of the book in which proceedings of meetings of stockholders are recorded. In the case of this consent solicitation, written, unrevoked consents of the holders of a majority of the outstanding shares of Common Stock as of the Record Date must be delivered to the Company as described above to effect the actions as to which consents are being solicited hereunder. Section 228 of the DGCL further provides that no written consent shall be effective to take the corporate action referred to therein unless, within 60 days of the earliest dated consent delivered in the manner required by Section 228, written consents signed by a sufficient number of holders to take such action are delivered to the corporation in the manner required by Section 228.</w:t>
      </w:r>
    </w:p>
    <w:p>
      <w:pPr>
        <w:spacing w:after="0" w:line="200" w:lineRule="exact"/>
        <w:rPr>
          <w:sz w:val="20"/>
          <w:szCs w:val="20"/>
          <w:color w:val="auto"/>
        </w:rPr>
      </w:pPr>
    </w:p>
    <w:p>
      <w:pPr>
        <w:spacing w:after="0" w:line="321" w:lineRule="exact"/>
        <w:rPr>
          <w:sz w:val="20"/>
          <w:szCs w:val="20"/>
          <w:color w:val="auto"/>
        </w:rPr>
      </w:pPr>
    </w:p>
    <w:p>
      <w:pPr>
        <w:jc w:val="both"/>
        <w:ind w:right="2779"/>
        <w:spacing w:after="0" w:line="279" w:lineRule="auto"/>
        <w:rPr>
          <w:sz w:val="20"/>
          <w:szCs w:val="20"/>
          <w:color w:val="auto"/>
        </w:rPr>
      </w:pPr>
      <w:r>
        <w:rPr>
          <w:rFonts w:ascii="Courier New" w:cs="Courier New" w:eastAsia="Courier New" w:hAnsi="Courier New"/>
          <w:sz w:val="14"/>
          <w:szCs w:val="14"/>
          <w:color w:val="auto"/>
        </w:rPr>
        <w:t>IT IS CURRENTLY THE INTENTION OF JMI TO CEASE THE SOLICITATION OF CONSENTS ONCE IT HAS DETERMINED THAT VALID AND UNREVOKED CONSENTS REPRESENTING A MAJORITY OF THE ISSUED AND OUTSTANDING SHARES OF COMMON STOCK AS OF THE RECORD DATE HAVE BEEN OBTAINED AND TO DELIVER SUCH CONSENTS TO THE COMPANY IN THE MANNER REQUIRED</w:t>
      </w:r>
    </w:p>
    <w:p>
      <w:pPr>
        <w:sectPr>
          <w:pgSz w:w="11900" w:h="16838" w:orient="portrait"/>
          <w:cols w:equalWidth="0" w:num="1">
            <w:col w:w="10219"/>
          </w:cols>
          <w:pgMar w:left="240" w:top="1012" w:right="1440" w:bottom="1440" w:gutter="0" w:footer="0" w:header="0"/>
        </w:sectPr>
      </w:pPr>
    </w:p>
    <w:bookmarkStart w:id="15" w:name="page16"/>
    <w:bookmarkEnd w:id="15"/>
    <w:p>
      <w:pPr>
        <w:jc w:val="both"/>
        <w:ind w:right="2779"/>
        <w:spacing w:after="0" w:line="235" w:lineRule="auto"/>
        <w:rPr>
          <w:sz w:val="20"/>
          <w:szCs w:val="20"/>
          <w:color w:val="auto"/>
        </w:rPr>
      </w:pPr>
      <w:r>
        <w:rPr>
          <w:rFonts w:ascii="Courier New" w:cs="Courier New" w:eastAsia="Courier New" w:hAnsi="Courier New"/>
          <w:sz w:val="16"/>
          <w:szCs w:val="16"/>
          <w:color w:val="auto"/>
        </w:rPr>
        <w:t>BY SECTION 228 OF THE DGCL AS SOON AS PRACTICABLE THEREAFTER. WHEN THE PROPOSALS FOR WHICH CONSENTS ARE GIVEN BECOME EFFECTIVE, A STOCKHOLDER WILL BE UNABLE TO REVOKE HIS OR HER CONSENT.</w:t>
      </w:r>
    </w:p>
    <w:p>
      <w:pPr>
        <w:spacing w:after="0" w:line="183" w:lineRule="exact"/>
        <w:rPr>
          <w:sz w:val="20"/>
          <w:szCs w:val="20"/>
          <w:color w:val="auto"/>
        </w:rPr>
      </w:pPr>
    </w:p>
    <w:p>
      <w:pPr>
        <w:jc w:val="both"/>
        <w:ind w:right="2779" w:firstLine="1674"/>
        <w:spacing w:after="0" w:line="235" w:lineRule="auto"/>
        <w:rPr>
          <w:sz w:val="20"/>
          <w:szCs w:val="20"/>
          <w:color w:val="auto"/>
        </w:rPr>
      </w:pPr>
      <w:r>
        <w:rPr>
          <w:rFonts w:ascii="Courier New" w:cs="Courier New" w:eastAsia="Courier New" w:hAnsi="Courier New"/>
          <w:sz w:val="16"/>
          <w:szCs w:val="16"/>
          <w:color w:val="auto"/>
        </w:rPr>
        <w:t>If the actions described herein are taken, the Company will promptly notify the stockholders who have not consented to the actions taken as required by the DGCL.</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Consents may only be executed by stockholders of record at the close of business on the Record Date. The Company reported that, as of December 7, 1998, it had outstanding 15,878,233 shares of Common Stock. Based on its review of publicly available information, JMI is not aware of any change since December 7, 1998 in the number of outstanding shares of Common Stock. Based upon these numbers, the number of votes necessary to effect the Proposals is 7,939,117 shares.</w:t>
      </w:r>
    </w:p>
    <w:p>
      <w:pPr>
        <w:spacing w:after="0" w:line="184" w:lineRule="exact"/>
        <w:rPr>
          <w:sz w:val="20"/>
          <w:szCs w:val="20"/>
          <w:color w:val="auto"/>
        </w:rPr>
      </w:pPr>
    </w:p>
    <w:p>
      <w:pPr>
        <w:jc w:val="both"/>
        <w:ind w:right="2779" w:firstLine="1674"/>
        <w:spacing w:after="0" w:line="279" w:lineRule="auto"/>
        <w:rPr>
          <w:sz w:val="20"/>
          <w:szCs w:val="20"/>
          <w:color w:val="auto"/>
        </w:rPr>
      </w:pPr>
      <w:r>
        <w:rPr>
          <w:rFonts w:ascii="Courier New" w:cs="Courier New" w:eastAsia="Courier New" w:hAnsi="Courier New"/>
          <w:sz w:val="14"/>
          <w:szCs w:val="14"/>
          <w:color w:val="auto"/>
        </w:rPr>
        <w:t>Since JMI must receive consents from a majority of the Company's outstanding shares in order for the Proposals to be adopted, a broker non-vote or direction to withhold authority to vote on the WHITE consent card will have the same effect as a "no" vote with respect to JMI's solicitation.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Card Special Instructions</w:t>
      </w:r>
    </w:p>
    <w:p>
      <w:pPr>
        <w:spacing w:after="0" w:line="236" w:lineRule="auto"/>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If you were a record holder as of the close of business on the Record Date, you may elect to consent to, withhold consent or abstain with respect to each Proposal by marking the "CONSENT," "WITHHOLD CONSENT" or "ABSTAIN" box, as applicable, underneath EACH such Proposal on the accompanying WHITE consent card and signing, dating and returning it promptly in the enclosed postage-paid envelope.</w:t>
      </w:r>
    </w:p>
    <w:p>
      <w:pPr>
        <w:spacing w:after="0" w:line="183"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The accompanying WHITE consent card will be voted in accordance with the stockholder's instruction on such WHITE consent card. As to the Proposals set forth herein, stockholders may consent to an individual Proposal or may withhold their consent by marking the proper box in the WHITE consent card. If the enclosed WHITE consent card is signed and returned and no direction is given, it will be voted in favor of all of the Proposals and if the WHITE consent card is signed and returned and not dated, it will be dated on or about the date it is received.</w:t>
      </w:r>
    </w:p>
    <w:p>
      <w:pPr>
        <w:spacing w:after="0" w:line="184"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IF THE STOCKHOLDER WHO HAS EXECUTED AND RETURNED THE CONSENT CARD HAS FAILED TO CHECK A BOX MARKED "CONSENT," "WITHHOLD CONSENT," OR "ABSTAIN" FOR ANY OR ALL OF THE PROPOSALS, SUCH STOCKHOLDER CONSENT CARD WILL BE VOTED IN FAVOR OF SUCH PROPOSAL OR PROPOSALS.</w:t>
      </w:r>
    </w:p>
    <w:p>
      <w:pPr>
        <w:spacing w:after="0" w:line="185" w:lineRule="exact"/>
        <w:rPr>
          <w:sz w:val="20"/>
          <w:szCs w:val="20"/>
          <w:color w:val="auto"/>
        </w:rPr>
      </w:pPr>
    </w:p>
    <w:p>
      <w:pPr>
        <w:jc w:val="both"/>
        <w:ind w:right="2779"/>
        <w:spacing w:after="0" w:line="279" w:lineRule="auto"/>
        <w:rPr>
          <w:sz w:val="20"/>
          <w:szCs w:val="20"/>
          <w:color w:val="auto"/>
        </w:rPr>
      </w:pPr>
      <w:r>
        <w:rPr>
          <w:rFonts w:ascii="Courier New" w:cs="Courier New" w:eastAsia="Courier New" w:hAnsi="Courier New"/>
          <w:sz w:val="14"/>
          <w:szCs w:val="14"/>
          <w:color w:val="auto"/>
        </w:rPr>
        <w:t>JMI RECOMMENDS THAT YOU CONSENT TO EACH OF THE PROPOSALS. YOUR CONSENT IS IMPORTANT. PLEASE MARK, SIGN AND DATE THE ENCLOSED WHITE CONSENT CARD AND RETURN IT IN THE ENCLOSED POSTAGE-PAID ENVELOPE PROMPTLY. FAILURE TO RETURN YOUR CONSENT WILL HAVE THE SAME EFFECT AS WITHHOLDING CONSENT TO THE PROPOSALS.</w:t>
      </w:r>
    </w:p>
    <w:p>
      <w:pPr>
        <w:sectPr>
          <w:pgSz w:w="11900" w:h="16838" w:orient="portrait"/>
          <w:cols w:equalWidth="0" w:num="1">
            <w:col w:w="10219"/>
          </w:cols>
          <w:pgMar w:left="240" w:top="1012" w:right="1440" w:bottom="1440" w:gutter="0" w:footer="0" w:header="0"/>
        </w:sectPr>
      </w:pPr>
    </w:p>
    <w:bookmarkStart w:id="16" w:name="page17"/>
    <w:bookmarkEnd w:id="16"/>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If your shares are held in the name of a brokerage firm, bank nominee or other institution, you should contact the person responsible for your account and give instructions for the WHITE consent card representing your shares to be marked, dated, signed and mailed. Only that institution can execute a WHITE consent card with respect to your shares held in the name of the institution and only upon receipt of specific instructions from you. JMI urges you to confirm in writing your instructions to the person responsible for your account and to provide a copy of those instructions to JMI in care of DF King at the address set forth herein under "Summary of Consent Procedure" so that JMI will be aware of all instructions given and can attempt to ensure that such instructions are followed.</w:t>
      </w:r>
    </w:p>
    <w:p>
      <w:pPr>
        <w:spacing w:after="0" w:line="186"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BROKER NON-VOTES, ABSTENTIONS OR FAILURE TO RETURN A SIGNED CONSENT WILL HAVE THE SAME EFFECT AS WITHHOLDING CONSENT TO THE PROPOSALS. JMI URGES EACH STOCKHOLDER TO ENSURE THAT THE RECORD HOLDER OF HIS OR HER SHARES MARKS, SIGNS, DATES AND RETURNS THE ENCLOSED CONSENT AS SOON AS POSSIBLE.</w:t>
      </w:r>
    </w:p>
    <w:p>
      <w:pPr>
        <w:spacing w:after="0" w:line="17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CERTAIN OTHER INFORMATION REGARDING THE COMPANY;</w:t>
      </w:r>
    </w:p>
    <w:p>
      <w:pPr>
        <w:jc w:val="center"/>
        <w:ind w:right="2699"/>
        <w:spacing w:after="0" w:line="236" w:lineRule="auto"/>
        <w:rPr>
          <w:sz w:val="20"/>
          <w:szCs w:val="20"/>
          <w:color w:val="auto"/>
        </w:rPr>
      </w:pPr>
      <w:r>
        <w:rPr>
          <w:rFonts w:ascii="Courier New" w:cs="Courier New" w:eastAsia="Courier New" w:hAnsi="Courier New"/>
          <w:sz w:val="16"/>
          <w:szCs w:val="16"/>
          <w:color w:val="auto"/>
        </w:rPr>
        <w:t>STOCKHOLDER PROPOSALS</w:t>
      </w:r>
    </w:p>
    <w:p>
      <w:pPr>
        <w:spacing w:after="0" w:line="183" w:lineRule="exact"/>
        <w:rPr>
          <w:sz w:val="20"/>
          <w:szCs w:val="20"/>
          <w:color w:val="auto"/>
        </w:rPr>
      </w:pPr>
    </w:p>
    <w:p>
      <w:pPr>
        <w:jc w:val="both"/>
        <w:ind w:right="2779" w:firstLine="1674"/>
        <w:spacing w:after="0" w:line="273" w:lineRule="auto"/>
        <w:rPr>
          <w:sz w:val="20"/>
          <w:szCs w:val="20"/>
          <w:color w:val="auto"/>
        </w:rPr>
      </w:pPr>
      <w:r>
        <w:rPr>
          <w:rFonts w:ascii="Courier New" w:cs="Courier New" w:eastAsia="Courier New" w:hAnsi="Courier New"/>
          <w:sz w:val="14"/>
          <w:szCs w:val="14"/>
          <w:color w:val="auto"/>
        </w:rPr>
        <w:t>Stockholders are referred to the Company's Preliminary Consent Revocation Statement with respect to the compensation and remuneration paid and payable and other information related to the Company's officers and directors and to the beneficial ownership of the Company's securities. Certain information regarding beneficial ownership of the Common Stock, as reported by the Company in such statement, is set forth in Annex C attached hereto. The Preliminary Consent Revocation Statement stated that the deadline for stockholders to submit proposals for inclusion in the Company's proxy statement for next year's Annual Meeting of Stockholders is January 5, 1999.</w:t>
      </w:r>
    </w:p>
    <w:p>
      <w:pPr>
        <w:spacing w:after="0" w:line="159"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APPRAISAL RIGHTS</w:t>
      </w:r>
    </w:p>
    <w:p>
      <w:pPr>
        <w:spacing w:after="0" w:line="183" w:lineRule="exact"/>
        <w:rPr>
          <w:sz w:val="20"/>
          <w:szCs w:val="20"/>
          <w:color w:val="auto"/>
        </w:rPr>
      </w:pPr>
    </w:p>
    <w:p>
      <w:pPr>
        <w:jc w:val="both"/>
        <w:ind w:right="2779" w:firstLine="1674"/>
        <w:spacing w:after="0" w:line="234" w:lineRule="auto"/>
        <w:rPr>
          <w:sz w:val="20"/>
          <w:szCs w:val="20"/>
          <w:color w:val="auto"/>
        </w:rPr>
      </w:pPr>
      <w:r>
        <w:rPr>
          <w:rFonts w:ascii="Courier New" w:cs="Courier New" w:eastAsia="Courier New" w:hAnsi="Courier New"/>
          <w:sz w:val="16"/>
          <w:szCs w:val="16"/>
          <w:color w:val="auto"/>
        </w:rPr>
        <w:t>Stockholders of the Company are not entitled to appraisal rights in connection with the adoption of the Proposals.</w:t>
      </w:r>
    </w:p>
    <w:p>
      <w:pPr>
        <w:spacing w:after="0" w:line="17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VOTING; REVOCATION; COSTS OF CONSENT SOLICITATION</w:t>
      </w:r>
    </w:p>
    <w:p>
      <w:pPr>
        <w:spacing w:after="0" w:line="183" w:lineRule="exact"/>
        <w:rPr>
          <w:sz w:val="20"/>
          <w:szCs w:val="20"/>
          <w:color w:val="auto"/>
        </w:rPr>
      </w:pPr>
    </w:p>
    <w:p>
      <w:pPr>
        <w:jc w:val="both"/>
        <w:ind w:right="2779" w:firstLine="1674"/>
        <w:spacing w:after="0" w:line="276" w:lineRule="auto"/>
        <w:rPr>
          <w:sz w:val="20"/>
          <w:szCs w:val="20"/>
          <w:color w:val="auto"/>
        </w:rPr>
      </w:pPr>
      <w:r>
        <w:rPr>
          <w:rFonts w:ascii="Courier New" w:cs="Courier New" w:eastAsia="Courier New" w:hAnsi="Courier New"/>
          <w:sz w:val="14"/>
          <w:szCs w:val="14"/>
          <w:color w:val="auto"/>
        </w:rPr>
        <w:t>Written consents may be solicited by mail, advertisement, telephone, facsimile or in person. Solicitations may be made by officers of JMI; however, no person will receive additional compensation for such solicitation other than DF King. If your shares are registered in your own name, you may mail or fax your consent to JMI in care of DF King at the address listed below.</w:t>
      </w:r>
    </w:p>
    <w:p>
      <w:pPr>
        <w:spacing w:after="0" w:line="161" w:lineRule="exact"/>
        <w:rPr>
          <w:sz w:val="20"/>
          <w:szCs w:val="20"/>
          <w:color w:val="auto"/>
        </w:rPr>
      </w:pPr>
    </w:p>
    <w:p>
      <w:pPr>
        <w:jc w:val="both"/>
        <w:ind w:right="2779" w:firstLine="1674"/>
        <w:spacing w:after="0" w:line="270" w:lineRule="auto"/>
        <w:rPr>
          <w:sz w:val="20"/>
          <w:szCs w:val="20"/>
          <w:color w:val="auto"/>
        </w:rPr>
      </w:pPr>
      <w:r>
        <w:rPr>
          <w:rFonts w:ascii="Courier New" w:cs="Courier New" w:eastAsia="Courier New" w:hAnsi="Courier New"/>
          <w:sz w:val="14"/>
          <w:szCs w:val="14"/>
          <w:color w:val="auto"/>
        </w:rPr>
        <w:t>If your shares are held in "street name" (held by your brokerage firm or bank), immediately instruct your broker or bank representative</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 ---- ------ -- ---- --------------</w:t>
      </w:r>
    </w:p>
    <w:p>
      <w:pPr>
        <w:spacing w:after="0" w:line="20" w:lineRule="exact"/>
        <w:rPr>
          <w:sz w:val="20"/>
          <w:szCs w:val="20"/>
          <w:color w:val="auto"/>
        </w:rPr>
      </w:pPr>
    </w:p>
    <w:p>
      <w:pPr>
        <w:jc w:val="both"/>
        <w:ind w:right="2779"/>
        <w:spacing w:after="0" w:line="235" w:lineRule="auto"/>
        <w:rPr>
          <w:sz w:val="20"/>
          <w:szCs w:val="20"/>
          <w:color w:val="auto"/>
        </w:rPr>
      </w:pPr>
      <w:r>
        <w:rPr>
          <w:rFonts w:ascii="Courier New" w:cs="Courier New" w:eastAsia="Courier New" w:hAnsi="Courier New"/>
          <w:sz w:val="16"/>
          <w:szCs w:val="16"/>
          <w:color w:val="auto"/>
        </w:rPr>
        <w:t>to sign the WHITE consent card and mail it to JMI in care of DF King, who will promptly deliver it. Please be certain to include the name of your brokerage firm or bank. If you have additional questions, please call:</w:t>
      </w:r>
    </w:p>
    <w:p>
      <w:pPr>
        <w:sectPr>
          <w:pgSz w:w="11900" w:h="16838" w:orient="portrait"/>
          <w:cols w:equalWidth="0" w:num="1">
            <w:col w:w="10219"/>
          </w:cols>
          <w:pgMar w:left="240" w:top="833" w:right="1440" w:bottom="1440" w:gutter="0" w:footer="0" w:header="0"/>
        </w:sectPr>
      </w:pPr>
    </w:p>
    <w:bookmarkStart w:id="17" w:name="page18"/>
    <w:bookmarkEnd w:id="17"/>
    <w:p>
      <w:pPr>
        <w:ind w:left="2780"/>
        <w:spacing w:after="0"/>
        <w:rPr>
          <w:sz w:val="20"/>
          <w:szCs w:val="20"/>
          <w:color w:val="auto"/>
        </w:rPr>
      </w:pPr>
      <w:r>
        <w:rPr>
          <w:rFonts w:ascii="Courier New" w:cs="Courier New" w:eastAsia="Courier New" w:hAnsi="Courier New"/>
          <w:sz w:val="16"/>
          <w:szCs w:val="16"/>
          <w:color w:val="auto"/>
        </w:rPr>
        <w:t>D.F. KING &amp; CO., INC.</w:t>
      </w:r>
    </w:p>
    <w:p>
      <w:pPr>
        <w:ind w:left="2500"/>
        <w:spacing w:after="0" w:line="236" w:lineRule="auto"/>
        <w:rPr>
          <w:sz w:val="20"/>
          <w:szCs w:val="20"/>
          <w:color w:val="auto"/>
        </w:rPr>
      </w:pPr>
      <w:r>
        <w:rPr>
          <w:rFonts w:ascii="Courier New" w:cs="Courier New" w:eastAsia="Courier New" w:hAnsi="Courier New"/>
          <w:sz w:val="16"/>
          <w:szCs w:val="16"/>
          <w:color w:val="auto"/>
        </w:rPr>
        <w:t>77 Water Street, 20th Floor</w:t>
      </w:r>
    </w:p>
    <w:p>
      <w:pPr>
        <w:ind w:left="2880"/>
        <w:spacing w:after="0" w:line="237" w:lineRule="auto"/>
        <w:rPr>
          <w:sz w:val="20"/>
          <w:szCs w:val="20"/>
          <w:color w:val="auto"/>
        </w:rPr>
      </w:pPr>
      <w:r>
        <w:rPr>
          <w:rFonts w:ascii="Courier New" w:cs="Courier New" w:eastAsia="Courier New" w:hAnsi="Courier New"/>
          <w:sz w:val="16"/>
          <w:szCs w:val="16"/>
          <w:color w:val="auto"/>
        </w:rPr>
        <w:t>New York, NY 10005</w:t>
      </w:r>
    </w:p>
    <w:p>
      <w:pPr>
        <w:ind w:left="2320"/>
        <w:spacing w:after="0" w:line="237" w:lineRule="auto"/>
        <w:rPr>
          <w:sz w:val="20"/>
          <w:szCs w:val="20"/>
          <w:color w:val="auto"/>
        </w:rPr>
      </w:pPr>
      <w:r>
        <w:rPr>
          <w:rFonts w:ascii="Courier New" w:cs="Courier New" w:eastAsia="Courier New" w:hAnsi="Courier New"/>
          <w:sz w:val="16"/>
          <w:szCs w:val="16"/>
          <w:color w:val="auto"/>
        </w:rPr>
        <w:t>Call Toll-Free: (800) 431-9643</w:t>
      </w:r>
    </w:p>
    <w:p>
      <w:pPr>
        <w:ind w:left="1580"/>
        <w:spacing w:after="0" w:line="237" w:lineRule="auto"/>
        <w:rPr>
          <w:sz w:val="20"/>
          <w:szCs w:val="20"/>
          <w:color w:val="auto"/>
        </w:rPr>
      </w:pPr>
      <w:r>
        <w:rPr>
          <w:rFonts w:ascii="Courier New" w:cs="Courier New" w:eastAsia="Courier New" w:hAnsi="Courier New"/>
          <w:sz w:val="16"/>
          <w:szCs w:val="16"/>
          <w:color w:val="auto"/>
        </w:rPr>
        <w:t>Banks and Brokers call collect: (212) 269-5550</w:t>
      </w:r>
    </w:p>
    <w:p>
      <w:pPr>
        <w:spacing w:after="0" w:line="183" w:lineRule="exact"/>
        <w:rPr>
          <w:sz w:val="20"/>
          <w:szCs w:val="20"/>
          <w:color w:val="auto"/>
        </w:rPr>
      </w:pPr>
    </w:p>
    <w:p>
      <w:pPr>
        <w:jc w:val="both"/>
        <w:ind w:right="2779" w:firstLine="1674"/>
        <w:spacing w:after="0" w:line="272" w:lineRule="auto"/>
        <w:rPr>
          <w:sz w:val="20"/>
          <w:szCs w:val="20"/>
          <w:color w:val="auto"/>
        </w:rPr>
      </w:pPr>
      <w:r>
        <w:rPr>
          <w:rFonts w:ascii="Courier New" w:cs="Courier New" w:eastAsia="Courier New" w:hAnsi="Courier New"/>
          <w:sz w:val="14"/>
          <w:szCs w:val="14"/>
          <w:color w:val="auto"/>
        </w:rPr>
        <w:t>A consent executed by a stockholder may be revoked at any time before its exercise by submitting (i) a written, dated revocation of such consent or (ii) a later dated consent covering the same shares. A revocation may be in any written form validly signed by the record holder as long as it clearly states that the consent previously given is no longer effective and must be executed and delivered prior to the time that the action authorized by the executed consent is taken. The revocation may be delivered to Jewelcor Management, Inc., c/o D.F. King &amp; Co., Inc., 77 Water Street, 20th Floor, New York, NY 10005, Attn.: Thomas Long. Although a revocation or later dated consent delivered only to the Company will be effective to revoke a previously executed consent, JMI requests that if a revocation or later dated consent is delivered to the Company, a photocopy of the revocation or later dated consent also be delivered to JMI in care of DF King, at the address set forth above, so that JMI will be aware of such revocation.</w:t>
      </w:r>
    </w:p>
    <w:p>
      <w:pPr>
        <w:spacing w:after="0" w:line="347" w:lineRule="exact"/>
        <w:rPr>
          <w:sz w:val="20"/>
          <w:szCs w:val="20"/>
          <w:color w:val="auto"/>
        </w:rPr>
      </w:pPr>
    </w:p>
    <w:p>
      <w:pPr>
        <w:jc w:val="both"/>
        <w:ind w:right="2779" w:firstLine="1674"/>
        <w:spacing w:after="0" w:line="236" w:lineRule="auto"/>
        <w:rPr>
          <w:sz w:val="20"/>
          <w:szCs w:val="20"/>
          <w:color w:val="auto"/>
        </w:rPr>
      </w:pPr>
      <w:r>
        <w:rPr>
          <w:rFonts w:ascii="Courier New" w:cs="Courier New" w:eastAsia="Courier New" w:hAnsi="Courier New"/>
          <w:sz w:val="16"/>
          <w:szCs w:val="16"/>
          <w:color w:val="auto"/>
        </w:rPr>
        <w:t>JMI has retained DF King to act as an advisor in connection with this consent solicitation. Approximately 25 employees of DF King will engage in the solicitation. JMI has agreed to pay DF King a fee of up to $30,000 plus reasonable out-of-pocket expenses. In connection with its retention by JMI, DF King agreed to provide consulting and analytic services and provide solicitation services with respect to banks, brokers, institutional investors and individual stockholders. JMI has agreed to indemnify DF King against certain liabilities and expenses, including liabilities and expenses under the federal securities laws.</w:t>
      </w:r>
    </w:p>
    <w:p>
      <w:pPr>
        <w:spacing w:after="0" w:line="185" w:lineRule="exact"/>
        <w:rPr>
          <w:sz w:val="20"/>
          <w:szCs w:val="20"/>
          <w:color w:val="auto"/>
        </w:rPr>
      </w:pPr>
    </w:p>
    <w:p>
      <w:pPr>
        <w:jc w:val="both"/>
        <w:ind w:right="2779" w:firstLine="1674"/>
        <w:spacing w:after="0" w:line="273" w:lineRule="auto"/>
        <w:rPr>
          <w:sz w:val="20"/>
          <w:szCs w:val="20"/>
          <w:color w:val="auto"/>
        </w:rPr>
      </w:pPr>
      <w:r>
        <w:rPr>
          <w:rFonts w:ascii="Courier New" w:cs="Courier New" w:eastAsia="Courier New" w:hAnsi="Courier New"/>
          <w:sz w:val="14"/>
          <w:szCs w:val="14"/>
          <w:color w:val="auto"/>
        </w:rPr>
        <w:t>The purpose of the Proposals being made by JMI in this Consent Statement is to advance the interests of all of the Company's stockholders. Therefore, JMI believes that its expenses in connection with the consent solicitation should be reimbursed by the Company. The cost of the solicitation of consents to the Proposals will be initially borne by JMI. JMI intends to seek reimbursement of its expenses from the Company if the JMI Nominees are elected to the Board of Directors. This request will not be submitted to a stockholder vote. Costs related to the solicitation of consents to the Proposals include expenditures for attorneys, consent solicitors, printing, postage, and filing fees and are expected to aggregate approximately $200,000. The actual costs and expenses could be materially different than the estimate set for above, and, in particular, could be substantially higher if for any reason litigation is instituted in connection with the matters related to this Consent Statement.</w:t>
      </w:r>
    </w:p>
    <w:p>
      <w:pPr>
        <w:spacing w:after="0" w:line="340" w:lineRule="exact"/>
        <w:rPr>
          <w:sz w:val="20"/>
          <w:szCs w:val="20"/>
          <w:color w:val="auto"/>
        </w:rPr>
      </w:pPr>
    </w:p>
    <w:p>
      <w:pPr>
        <w:jc w:val="both"/>
        <w:ind w:right="2779"/>
        <w:spacing w:after="0" w:line="275" w:lineRule="auto"/>
        <w:rPr>
          <w:sz w:val="20"/>
          <w:szCs w:val="20"/>
          <w:color w:val="auto"/>
        </w:rPr>
      </w:pPr>
      <w:r>
        <w:rPr>
          <w:rFonts w:ascii="Courier New" w:cs="Courier New" w:eastAsia="Courier New" w:hAnsi="Courier New"/>
          <w:sz w:val="14"/>
          <w:szCs w:val="14"/>
          <w:color w:val="auto"/>
        </w:rPr>
        <w:t>YOUR CONSENT IS IMPORTANT. NO MATTER HOW MANY OR HOW FEW SHARES YOU OWN, PLEASE CONSENT TO THE REMOVAL OF THE CURRENT BOARD OF DIRECTORS (OTHER THAN THE REMAINING DIRECTOR), THE AMENDMENT OF THE BY-LAWS TO SET THE NUMBER OF DIRECTORS AND TO CLARIFY THAT THE ADVANCE NOTIFICATION PROVISIONS DO NOT APPLY, THE ELECTION OF THE JMI NOMINEES AND THE REPEAL OF ANY BY-LAWS ADOPTED SINCE DECEMBER 11, 1995 (OTHER THAN THE BY-LAWS ADOPTED BY THIS CONSENT) BY MARKING,</w:t>
      </w:r>
    </w:p>
    <w:p>
      <w:pPr>
        <w:sectPr>
          <w:pgSz w:w="11900" w:h="16838" w:orient="portrait"/>
          <w:cols w:equalWidth="0" w:num="1">
            <w:col w:w="10219"/>
          </w:cols>
          <w:pgMar w:left="240" w:top="827" w:right="1440" w:bottom="1440" w:gutter="0" w:footer="0" w:header="0"/>
        </w:sectPr>
      </w:pPr>
    </w:p>
    <w:bookmarkStart w:id="18" w:name="page19"/>
    <w:bookmarkEnd w:id="18"/>
    <w:p>
      <w:pPr>
        <w:ind w:right="2779"/>
        <w:spacing w:after="0" w:line="234" w:lineRule="auto"/>
        <w:rPr>
          <w:sz w:val="20"/>
          <w:szCs w:val="20"/>
          <w:color w:val="auto"/>
        </w:rPr>
      </w:pPr>
      <w:r>
        <w:rPr>
          <w:rFonts w:ascii="Courier New" w:cs="Courier New" w:eastAsia="Courier New" w:hAnsi="Courier New"/>
          <w:sz w:val="16"/>
          <w:szCs w:val="16"/>
          <w:color w:val="auto"/>
        </w:rPr>
        <w:t>SIGNING, DATING AND MAILING THE ENCLOSED WHITE CONSENT CARD PROMPTLY. ONLY YOUR LATEST DATED CONSENT COUNTS.</w:t>
      </w:r>
    </w:p>
    <w:p>
      <w:pPr>
        <w:spacing w:after="0" w:line="177"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JEWELCOR MANAGEMENT, INC.</w:t>
      </w:r>
    </w:p>
    <w:p>
      <w:pPr>
        <w:spacing w:after="0" w:line="177"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December 21, 1998</w:t>
      </w:r>
    </w:p>
    <w:p>
      <w:pPr>
        <w:sectPr>
          <w:pgSz w:w="11900" w:h="16838" w:orient="portrait"/>
          <w:cols w:equalWidth="0" w:num="1">
            <w:col w:w="10219"/>
          </w:cols>
          <w:pgMar w:left="240" w:top="1012" w:right="1440" w:bottom="1440" w:gutter="0" w:footer="0" w:header="0"/>
        </w:sectPr>
      </w:pPr>
    </w:p>
    <w:bookmarkStart w:id="19" w:name="page20"/>
    <w:bookmarkEnd w:id="19"/>
    <w:p>
      <w:pPr>
        <w:jc w:val="right"/>
        <w:spacing w:after="0"/>
        <w:rPr>
          <w:sz w:val="20"/>
          <w:szCs w:val="20"/>
          <w:color w:val="auto"/>
        </w:rPr>
      </w:pPr>
      <w:r>
        <w:rPr>
          <w:rFonts w:ascii="Courier New" w:cs="Courier New" w:eastAsia="Courier New" w:hAnsi="Courier New"/>
          <w:sz w:val="16"/>
          <w:szCs w:val="16"/>
          <w:color w:val="auto"/>
        </w:rPr>
        <w:t>ANNEX A</w:t>
      </w:r>
    </w:p>
    <w:p>
      <w:pPr>
        <w:ind w:left="1020"/>
        <w:spacing w:after="0" w:line="236" w:lineRule="auto"/>
        <w:rPr>
          <w:sz w:val="20"/>
          <w:szCs w:val="20"/>
          <w:color w:val="auto"/>
        </w:rPr>
      </w:pPr>
      <w:r>
        <w:rPr>
          <w:rFonts w:ascii="Courier New" w:cs="Courier New" w:eastAsia="Courier New" w:hAnsi="Courier New"/>
          <w:sz w:val="16"/>
          <w:szCs w:val="16"/>
          <w:color w:val="auto"/>
        </w:rPr>
        <w:t>INFORMATION CONCERNING EMPLOYEES OF JMI, ITS AFFILIATES AND</w:t>
      </w:r>
    </w:p>
    <w:p>
      <w:pPr>
        <w:jc w:val="center"/>
        <w:ind w:right="2700"/>
        <w:spacing w:after="0" w:line="237" w:lineRule="auto"/>
        <w:rPr>
          <w:sz w:val="20"/>
          <w:szCs w:val="20"/>
          <w:color w:val="auto"/>
        </w:rPr>
      </w:pPr>
      <w:r>
        <w:rPr>
          <w:rFonts w:ascii="Courier New" w:cs="Courier New" w:eastAsia="Courier New" w:hAnsi="Courier New"/>
          <w:sz w:val="16"/>
          <w:szCs w:val="16"/>
          <w:color w:val="auto"/>
        </w:rPr>
        <w:t>OTHER PERSONS WHO ARE NOT NOMINEES AND WHO MAY SOLICIT</w:t>
      </w:r>
    </w:p>
    <w:p>
      <w:pPr>
        <w:jc w:val="center"/>
        <w:ind w:right="2880"/>
        <w:spacing w:after="0" w:line="237" w:lineRule="auto"/>
        <w:rPr>
          <w:sz w:val="20"/>
          <w:szCs w:val="20"/>
          <w:color w:val="auto"/>
        </w:rPr>
      </w:pPr>
      <w:r>
        <w:rPr>
          <w:rFonts w:ascii="Courier New" w:cs="Courier New" w:eastAsia="Courier New" w:hAnsi="Courier New"/>
          <w:sz w:val="16"/>
          <w:szCs w:val="16"/>
          <w:color w:val="auto"/>
        </w:rPr>
        <w:t>CONSENTS</w:t>
      </w:r>
    </w:p>
    <w:p>
      <w:pPr>
        <w:spacing w:after="0" w:line="183" w:lineRule="exact"/>
        <w:rPr>
          <w:sz w:val="20"/>
          <w:szCs w:val="20"/>
          <w:color w:val="auto"/>
        </w:rPr>
      </w:pPr>
    </w:p>
    <w:p>
      <w:pPr>
        <w:jc w:val="both"/>
        <w:ind w:right="2880" w:firstLine="1116"/>
        <w:spacing w:after="0" w:line="236" w:lineRule="auto"/>
        <w:rPr>
          <w:sz w:val="20"/>
          <w:szCs w:val="20"/>
          <w:color w:val="auto"/>
        </w:rPr>
      </w:pPr>
      <w:r>
        <w:rPr>
          <w:rFonts w:ascii="Courier New" w:cs="Courier New" w:eastAsia="Courier New" w:hAnsi="Courier New"/>
          <w:sz w:val="16"/>
          <w:szCs w:val="16"/>
          <w:color w:val="auto"/>
        </w:rPr>
        <w:t>The following table sets forth the name and the present principal occupation or employment, of each employee of JMI, its affiliates and other persons who is not a Nominee and who may assist in soliciting consents. Information regarding Nominees is set forth in "The Proposals" in this Consent Statement. The principal business address of each person listed below is 100 North Wilkes-Barre Boulevard, Wilkes-Barre, PA 18702.</w:t>
      </w:r>
    </w:p>
    <w:p>
      <w:pPr>
        <w:sectPr>
          <w:pgSz w:w="11900" w:h="16838" w:orient="portrait"/>
          <w:cols w:equalWidth="0" w:num="1">
            <w:col w:w="10320"/>
          </w:cols>
          <w:pgMar w:left="240" w:top="1185" w:right="1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right="1600"/>
        <w:spacing w:after="0" w:line="295" w:lineRule="auto"/>
        <w:rPr>
          <w:sz w:val="20"/>
          <w:szCs w:val="20"/>
          <w:color w:val="auto"/>
        </w:rPr>
      </w:pPr>
      <w:r>
        <w:rPr>
          <w:rFonts w:ascii="Courier New" w:cs="Courier New" w:eastAsia="Courier New" w:hAnsi="Courier New"/>
          <w:sz w:val="14"/>
          <w:szCs w:val="14"/>
          <w:color w:val="auto"/>
        </w:rPr>
        <w:t>Name and Principal Business Address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 Principal Occupation or Employment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5040" w:space="720"/>
            <w:col w:w="4560"/>
          </w:cols>
          <w:pgMar w:left="240" w:top="1185" w:right="13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James R. Verano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 Finance</w:t>
      </w:r>
    </w:p>
    <w:p>
      <w:pPr>
        <w:spacing w:after="0" w:line="199" w:lineRule="exact"/>
        <w:rPr>
          <w:sz w:val="20"/>
          <w:szCs w:val="20"/>
          <w:color w:val="auto"/>
        </w:rPr>
      </w:pPr>
    </w:p>
    <w:p>
      <w:pPr>
        <w:sectPr>
          <w:pgSz w:w="11900" w:h="16838" w:orient="portrait"/>
          <w:cols w:equalWidth="0" w:num="2">
            <w:col w:w="5040" w:space="720"/>
            <w:col w:w="4560"/>
          </w:cols>
          <w:pgMar w:left="240" w:top="1185" w:right="13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Richard L. Huffsmith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 General Counsel</w:t>
      </w:r>
    </w:p>
    <w:p>
      <w:pPr>
        <w:spacing w:after="0" w:line="199" w:lineRule="exact"/>
        <w:rPr>
          <w:sz w:val="20"/>
          <w:szCs w:val="20"/>
          <w:color w:val="auto"/>
        </w:rPr>
      </w:pPr>
    </w:p>
    <w:p>
      <w:pPr>
        <w:sectPr>
          <w:pgSz w:w="11900" w:h="16838" w:orient="portrait"/>
          <w:cols w:equalWidth="0" w:num="2">
            <w:col w:w="5040" w:space="720"/>
            <w:col w:w="4560"/>
          </w:cols>
          <w:pgMar w:left="240" w:top="1185" w:right="13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Brian Bufalino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Attorney at Law</w:t>
      </w:r>
    </w:p>
    <w:p>
      <w:pPr>
        <w:spacing w:after="0" w:line="199" w:lineRule="exact"/>
        <w:rPr>
          <w:sz w:val="20"/>
          <w:szCs w:val="20"/>
          <w:color w:val="auto"/>
        </w:rPr>
      </w:pPr>
    </w:p>
    <w:p>
      <w:pPr>
        <w:sectPr>
          <w:pgSz w:w="11900" w:h="16838" w:orient="portrait"/>
          <w:cols w:equalWidth="0" w:num="2">
            <w:col w:w="5040" w:space="720"/>
            <w:col w:w="4560"/>
          </w:cols>
          <w:pgMar w:left="240" w:top="1185" w:right="13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Jacqueline Quigley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Administrative Assistant to Seymour Holtzman,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2">
            <w:col w:w="5040" w:space="720"/>
            <w:col w:w="4560"/>
          </w:cols>
          <w:pgMar w:left="240" w:top="1185" w:right="1339" w:bottom="1440" w:gutter="0" w:footer="0" w:header="0"/>
          <w:type w:val="continuous"/>
        </w:sectPr>
      </w:pPr>
    </w:p>
    <w:bookmarkStart w:id="20" w:name="page21"/>
    <w:bookmarkEnd w:id="20"/>
    <w:p>
      <w:pPr>
        <w:ind w:left="8460"/>
        <w:spacing w:after="0"/>
        <w:rPr>
          <w:sz w:val="20"/>
          <w:szCs w:val="20"/>
          <w:color w:val="auto"/>
        </w:rPr>
      </w:pPr>
      <w:r>
        <w:rPr>
          <w:rFonts w:ascii="Courier New" w:cs="Courier New" w:eastAsia="Courier New" w:hAnsi="Courier New"/>
          <w:sz w:val="16"/>
          <w:szCs w:val="16"/>
          <w:color w:val="auto"/>
        </w:rPr>
        <w:t>ANNEX B</w:t>
      </w:r>
    </w:p>
    <w:p>
      <w:pPr>
        <w:ind w:left="1580"/>
        <w:spacing w:after="0" w:line="236" w:lineRule="auto"/>
        <w:rPr>
          <w:sz w:val="20"/>
          <w:szCs w:val="20"/>
          <w:color w:val="auto"/>
        </w:rPr>
      </w:pPr>
      <w:r>
        <w:rPr>
          <w:rFonts w:ascii="Courier New" w:cs="Courier New" w:eastAsia="Courier New" w:hAnsi="Courier New"/>
          <w:sz w:val="16"/>
          <w:szCs w:val="16"/>
          <w:color w:val="auto"/>
        </w:rPr>
        <w:t>JMI TRANSACTIONS IN DESIGNS, INC. COMMON STOCK</w:t>
      </w:r>
    </w:p>
    <w:p>
      <w:pPr>
        <w:spacing w:after="0" w:line="183" w:lineRule="exact"/>
        <w:rPr>
          <w:sz w:val="20"/>
          <w:szCs w:val="20"/>
          <w:color w:val="auto"/>
        </w:rPr>
      </w:pPr>
    </w:p>
    <w:p>
      <w:pPr>
        <w:jc w:val="both"/>
        <w:ind w:right="2780" w:firstLine="1674"/>
        <w:spacing w:after="0" w:line="235" w:lineRule="auto"/>
        <w:rPr>
          <w:sz w:val="20"/>
          <w:szCs w:val="20"/>
          <w:color w:val="auto"/>
        </w:rPr>
      </w:pPr>
      <w:r>
        <w:rPr>
          <w:rFonts w:ascii="Courier New" w:cs="Courier New" w:eastAsia="Courier New" w:hAnsi="Courier New"/>
          <w:sz w:val="16"/>
          <w:szCs w:val="16"/>
          <w:color w:val="auto"/>
        </w:rPr>
        <w:t>The following table sets forth information with respect to all purchases of Common Stock of the Company by JMI during the past two years. Except as set forth below, to the knowledge of JMI, no participant in this solicitation or JMI Nominee has purchased or sold securities of the Company within the past two years.</w:t>
      </w:r>
    </w:p>
    <w:p>
      <w:pPr>
        <w:spacing w:after="0" w:line="359" w:lineRule="exact"/>
        <w:rPr>
          <w:sz w:val="20"/>
          <w:szCs w:val="20"/>
          <w:color w:val="auto"/>
        </w:rPr>
      </w:pPr>
    </w:p>
    <w:tbl>
      <w:tblPr>
        <w:tblLayout w:type="fixed"/>
        <w:tblInd w:w="1200" w:type="dxa"/>
        <w:tblCellMar>
          <w:top w:w="0" w:type="dxa"/>
          <w:left w:w="0" w:type="dxa"/>
          <w:bottom w:w="0" w:type="dxa"/>
          <w:right w:w="0" w:type="dxa"/>
        </w:tblCellMar>
      </w:tblPr>
      <w:tr>
        <w:trPr>
          <w:trHeight w:val="181"/>
        </w:trPr>
        <w:tc>
          <w:tcPr>
            <w:tcW w:w="2200" w:type="dxa"/>
            <w:vAlign w:val="bottom"/>
          </w:tcPr>
          <w:p>
            <w:pPr>
              <w:spacing w:after="0"/>
              <w:rPr>
                <w:sz w:val="20"/>
                <w:szCs w:val="20"/>
                <w:color w:val="auto"/>
              </w:rPr>
            </w:pPr>
            <w:r>
              <w:rPr>
                <w:rFonts w:ascii="Courier New" w:cs="Courier New" w:eastAsia="Courier New" w:hAnsi="Courier New"/>
                <w:sz w:val="16"/>
                <w:szCs w:val="16"/>
                <w:color w:val="auto"/>
              </w:rPr>
              <w:t>Trade Date</w:t>
            </w:r>
          </w:p>
        </w:tc>
        <w:tc>
          <w:tcPr>
            <w:tcW w:w="4740" w:type="dxa"/>
            <w:vAlign w:val="bottom"/>
          </w:tcPr>
          <w:p>
            <w:pPr>
              <w:jc w:val="right"/>
              <w:ind w:right="1002"/>
              <w:spacing w:after="0"/>
              <w:rPr>
                <w:sz w:val="20"/>
                <w:szCs w:val="20"/>
                <w:color w:val="auto"/>
              </w:rPr>
            </w:pPr>
            <w:r>
              <w:rPr>
                <w:rFonts w:ascii="Courier New" w:cs="Courier New" w:eastAsia="Courier New" w:hAnsi="Courier New"/>
                <w:sz w:val="16"/>
                <w:szCs w:val="16"/>
                <w:color w:val="auto"/>
              </w:rPr>
              <w:t>Number of Shares Purchased</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Total Costs</w:t>
            </w:r>
          </w:p>
        </w:tc>
      </w:tr>
      <w:tr>
        <w:trPr>
          <w:trHeight w:val="179"/>
        </w:trPr>
        <w:tc>
          <w:tcPr>
            <w:tcW w:w="220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4740" w:type="dxa"/>
            <w:vAlign w:val="bottom"/>
          </w:tcPr>
          <w:p>
            <w:pPr>
              <w:jc w:val="right"/>
              <w:ind w:right="1002"/>
              <w:spacing w:after="0" w:line="179" w:lineRule="exact"/>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10/26/98</w:t>
            </w:r>
          </w:p>
        </w:tc>
        <w:tc>
          <w:tcPr>
            <w:tcW w:w="4740" w:type="dxa"/>
            <w:vAlign w:val="bottom"/>
          </w:tcPr>
          <w:p>
            <w:pPr>
              <w:jc w:val="right"/>
              <w:ind w:right="1922"/>
              <w:spacing w:after="0"/>
              <w:rPr>
                <w:sz w:val="20"/>
                <w:szCs w:val="20"/>
                <w:color w:val="auto"/>
              </w:rPr>
            </w:pPr>
            <w:r>
              <w:rPr>
                <w:rFonts w:ascii="Courier New" w:cs="Courier New" w:eastAsia="Courier New" w:hAnsi="Courier New"/>
                <w:sz w:val="16"/>
                <w:szCs w:val="16"/>
                <w:color w:val="auto"/>
              </w:rPr>
              <w:t>50,000</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$36,765.00</w:t>
            </w:r>
          </w:p>
        </w:tc>
      </w:tr>
      <w:tr>
        <w:trPr>
          <w:trHeight w:val="179"/>
        </w:trPr>
        <w:tc>
          <w:tcPr>
            <w:tcW w:w="2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11/9/98</w:t>
            </w:r>
          </w:p>
        </w:tc>
        <w:tc>
          <w:tcPr>
            <w:tcW w:w="4740" w:type="dxa"/>
            <w:vAlign w:val="bottom"/>
          </w:tcPr>
          <w:p>
            <w:pPr>
              <w:jc w:val="right"/>
              <w:ind w:right="1922"/>
              <w:spacing w:after="0" w:line="179" w:lineRule="exact"/>
              <w:rPr>
                <w:sz w:val="20"/>
                <w:szCs w:val="20"/>
                <w:color w:val="auto"/>
              </w:rPr>
            </w:pPr>
            <w:r>
              <w:rPr>
                <w:rFonts w:ascii="Courier New" w:cs="Courier New" w:eastAsia="Courier New" w:hAnsi="Courier New"/>
                <w:sz w:val="16"/>
                <w:szCs w:val="16"/>
                <w:color w:val="auto"/>
              </w:rPr>
              <w:t>225,000</w:t>
            </w:r>
          </w:p>
        </w:tc>
        <w:tc>
          <w:tcPr>
            <w:tcW w:w="2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$164,265.00</w:t>
            </w:r>
          </w:p>
        </w:tc>
      </w:tr>
      <w:tr>
        <w:trPr>
          <w:trHeight w:val="179"/>
        </w:trPr>
        <w:tc>
          <w:tcPr>
            <w:tcW w:w="2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11/10/98</w:t>
            </w:r>
          </w:p>
        </w:tc>
        <w:tc>
          <w:tcPr>
            <w:tcW w:w="4740" w:type="dxa"/>
            <w:vAlign w:val="bottom"/>
          </w:tcPr>
          <w:p>
            <w:pPr>
              <w:jc w:val="right"/>
              <w:ind w:right="1922"/>
              <w:spacing w:after="0" w:line="179" w:lineRule="exact"/>
              <w:rPr>
                <w:sz w:val="20"/>
                <w:szCs w:val="20"/>
                <w:color w:val="auto"/>
              </w:rPr>
            </w:pPr>
            <w:r>
              <w:rPr>
                <w:rFonts w:ascii="Courier New" w:cs="Courier New" w:eastAsia="Courier New" w:hAnsi="Courier New"/>
                <w:sz w:val="16"/>
                <w:szCs w:val="16"/>
                <w:color w:val="auto"/>
              </w:rPr>
              <w:t>166,700</w:t>
            </w:r>
          </w:p>
        </w:tc>
        <w:tc>
          <w:tcPr>
            <w:tcW w:w="2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$105,036.00</w:t>
            </w:r>
          </w:p>
        </w:tc>
      </w:tr>
      <w:tr>
        <w:trPr>
          <w:trHeight w:val="179"/>
        </w:trPr>
        <w:tc>
          <w:tcPr>
            <w:tcW w:w="2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11/17/98</w:t>
            </w:r>
          </w:p>
        </w:tc>
        <w:tc>
          <w:tcPr>
            <w:tcW w:w="4740" w:type="dxa"/>
            <w:vAlign w:val="bottom"/>
          </w:tcPr>
          <w:p>
            <w:pPr>
              <w:jc w:val="right"/>
              <w:ind w:right="1922"/>
              <w:spacing w:after="0" w:line="179" w:lineRule="exact"/>
              <w:rPr>
                <w:sz w:val="20"/>
                <w:szCs w:val="20"/>
                <w:color w:val="auto"/>
              </w:rPr>
            </w:pPr>
            <w:r>
              <w:rPr>
                <w:rFonts w:ascii="Courier New" w:cs="Courier New" w:eastAsia="Courier New" w:hAnsi="Courier New"/>
                <w:sz w:val="16"/>
                <w:szCs w:val="16"/>
                <w:color w:val="auto"/>
              </w:rPr>
              <w:t>600,000</w:t>
            </w:r>
          </w:p>
        </w:tc>
        <w:tc>
          <w:tcPr>
            <w:tcW w:w="2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$330,015.00</w:t>
            </w:r>
          </w:p>
        </w:tc>
      </w:tr>
      <w:tr>
        <w:trPr>
          <w:trHeight w:val="179"/>
        </w:trPr>
        <w:tc>
          <w:tcPr>
            <w:tcW w:w="2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11/30/98</w:t>
            </w:r>
          </w:p>
        </w:tc>
        <w:tc>
          <w:tcPr>
            <w:tcW w:w="4740" w:type="dxa"/>
            <w:vAlign w:val="bottom"/>
          </w:tcPr>
          <w:p>
            <w:pPr>
              <w:jc w:val="right"/>
              <w:ind w:right="1922"/>
              <w:spacing w:after="0" w:line="179" w:lineRule="exact"/>
              <w:rPr>
                <w:sz w:val="20"/>
                <w:szCs w:val="20"/>
                <w:color w:val="auto"/>
              </w:rPr>
            </w:pPr>
            <w:r>
              <w:rPr>
                <w:rFonts w:ascii="Courier New" w:cs="Courier New" w:eastAsia="Courier New" w:hAnsi="Courier New"/>
                <w:sz w:val="16"/>
                <w:szCs w:val="16"/>
                <w:color w:val="auto"/>
              </w:rPr>
              <w:t>528,500</w:t>
            </w:r>
          </w:p>
        </w:tc>
        <w:tc>
          <w:tcPr>
            <w:tcW w:w="2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$340,897.50</w:t>
            </w:r>
          </w:p>
        </w:tc>
      </w:tr>
    </w:tbl>
    <w:p>
      <w:pPr>
        <w:spacing w:after="0" w:line="200" w:lineRule="exact"/>
        <w:rPr>
          <w:sz w:val="20"/>
          <w:szCs w:val="20"/>
          <w:color w:val="auto"/>
        </w:rPr>
      </w:pPr>
    </w:p>
    <w:p>
      <w:pPr>
        <w:spacing w:after="0" w:line="334" w:lineRule="exact"/>
        <w:rPr>
          <w:sz w:val="20"/>
          <w:szCs w:val="20"/>
          <w:color w:val="auto"/>
        </w:rPr>
      </w:pPr>
    </w:p>
    <w:p>
      <w:pPr>
        <w:ind w:left="1660"/>
        <w:spacing w:after="0"/>
        <w:tabs>
          <w:tab w:leader="none" w:pos="4540" w:val="left"/>
        </w:tabs>
        <w:rPr>
          <w:sz w:val="20"/>
          <w:szCs w:val="20"/>
          <w:color w:val="auto"/>
        </w:rPr>
      </w:pPr>
      <w:r>
        <w:rPr>
          <w:rFonts w:ascii="Courier New" w:cs="Courier New" w:eastAsia="Courier New" w:hAnsi="Courier New"/>
          <w:sz w:val="16"/>
          <w:szCs w:val="16"/>
          <w:color w:val="auto"/>
        </w:rPr>
        <w:t>Please see the section titled</w:t>
      </w:r>
      <w:r>
        <w:rPr>
          <w:sz w:val="20"/>
          <w:szCs w:val="20"/>
          <w:color w:val="auto"/>
        </w:rPr>
        <w:tab/>
      </w:r>
      <w:r>
        <w:rPr>
          <w:rFonts w:ascii="Courier New" w:cs="Courier New" w:eastAsia="Courier New" w:hAnsi="Courier New"/>
          <w:sz w:val="14"/>
          <w:szCs w:val="14"/>
          <w:color w:val="auto"/>
        </w:rPr>
        <w:t>"Information about JMI" in this</w:t>
      </w:r>
    </w:p>
    <w:p>
      <w:pPr>
        <w:spacing w:after="0"/>
        <w:tabs>
          <w:tab w:leader="none" w:pos="820" w:val="left"/>
          <w:tab w:leader="none" w:pos="3320" w:val="left"/>
          <w:tab w:leader="none" w:pos="5920" w:val="left"/>
        </w:tabs>
        <w:rPr>
          <w:sz w:val="20"/>
          <w:szCs w:val="20"/>
          <w:color w:val="auto"/>
        </w:rPr>
      </w:pPr>
      <w:r>
        <w:rPr>
          <w:rFonts w:ascii="Courier New" w:cs="Courier New" w:eastAsia="Courier New" w:hAnsi="Courier New"/>
          <w:sz w:val="16"/>
          <w:szCs w:val="16"/>
          <w:color w:val="auto"/>
        </w:rPr>
        <w:t>Consent</w:t>
        <w:tab/>
        <w:t>Statement for information</w:t>
        <w:tab/>
        <w:t>regarding the relationship</w:t>
      </w:r>
      <w:r>
        <w:rPr>
          <w:sz w:val="20"/>
          <w:szCs w:val="20"/>
          <w:color w:val="auto"/>
        </w:rPr>
        <w:tab/>
      </w:r>
      <w:r>
        <w:rPr>
          <w:rFonts w:ascii="Courier New" w:cs="Courier New" w:eastAsia="Courier New" w:hAnsi="Courier New"/>
          <w:sz w:val="14"/>
          <w:szCs w:val="14"/>
          <w:color w:val="auto"/>
        </w:rPr>
        <w:t>between JMI, Mr.</w:t>
      </w:r>
    </w:p>
    <w:p>
      <w:pPr>
        <w:spacing w:after="0" w:line="237" w:lineRule="auto"/>
        <w:rPr>
          <w:sz w:val="20"/>
          <w:szCs w:val="20"/>
          <w:color w:val="auto"/>
        </w:rPr>
      </w:pPr>
      <w:r>
        <w:rPr>
          <w:rFonts w:ascii="Courier New" w:cs="Courier New" w:eastAsia="Courier New" w:hAnsi="Courier New"/>
          <w:sz w:val="16"/>
          <w:szCs w:val="16"/>
          <w:color w:val="auto"/>
        </w:rPr>
        <w:t>Seymour Holtzman and certain other persons.</w:t>
      </w:r>
    </w:p>
    <w:p>
      <w:pPr>
        <w:sectPr>
          <w:pgSz w:w="11900" w:h="16838" w:orient="portrait"/>
          <w:cols w:equalWidth="0" w:num="1">
            <w:col w:w="10220"/>
          </w:cols>
          <w:pgMar w:left="240" w:top="1185" w:right="1439" w:bottom="1440" w:gutter="0" w:footer="0" w:header="0"/>
        </w:sectPr>
      </w:pPr>
    </w:p>
    <w:bookmarkStart w:id="21" w:name="page22"/>
    <w:bookmarkEnd w:id="21"/>
    <w:p>
      <w:pPr>
        <w:ind w:left="8920"/>
        <w:spacing w:after="0"/>
        <w:rPr>
          <w:sz w:val="20"/>
          <w:szCs w:val="20"/>
          <w:color w:val="auto"/>
        </w:rPr>
      </w:pPr>
      <w:r>
        <w:rPr>
          <w:rFonts w:ascii="Courier New" w:cs="Courier New" w:eastAsia="Courier New" w:hAnsi="Courier New"/>
          <w:sz w:val="16"/>
          <w:szCs w:val="16"/>
          <w:color w:val="auto"/>
        </w:rPr>
        <w:t>ANNEX C</w:t>
      </w:r>
    </w:p>
    <w:p>
      <w:pPr>
        <w:jc w:val="center"/>
        <w:spacing w:after="0" w:line="236" w:lineRule="auto"/>
        <w:rPr>
          <w:sz w:val="20"/>
          <w:szCs w:val="20"/>
          <w:color w:val="auto"/>
        </w:rPr>
      </w:pPr>
      <w:r>
        <w:rPr>
          <w:rFonts w:ascii="Courier New" w:cs="Courier New" w:eastAsia="Courier New" w:hAnsi="Courier New"/>
          <w:sz w:val="16"/>
          <w:szCs w:val="16"/>
          <w:color w:val="auto"/>
        </w:rPr>
        <w:t>SHARE OWNERSHIP OF DESIGNS, INC.</w:t>
      </w:r>
    </w:p>
    <w:p>
      <w:pPr>
        <w:jc w:val="center"/>
        <w:ind w:right="-99"/>
        <w:spacing w:after="0" w:line="237" w:lineRule="auto"/>
        <w:rPr>
          <w:sz w:val="20"/>
          <w:szCs w:val="20"/>
          <w:color w:val="auto"/>
        </w:rPr>
      </w:pPr>
      <w:r>
        <w:rPr>
          <w:rFonts w:ascii="Courier New" w:cs="Courier New" w:eastAsia="Courier New" w:hAnsi="Courier New"/>
          <w:sz w:val="16"/>
          <w:szCs w:val="16"/>
          <w:color w:val="auto"/>
        </w:rPr>
        <w:t>AS REPORTED IN THE PRELIMINARY CONSENT REVOCATION STATEMENT</w:t>
      </w:r>
    </w:p>
    <w:p>
      <w:pPr>
        <w:jc w:val="center"/>
        <w:ind w:right="-99"/>
        <w:spacing w:after="0" w:line="237" w:lineRule="auto"/>
        <w:rPr>
          <w:sz w:val="20"/>
          <w:szCs w:val="20"/>
          <w:color w:val="auto"/>
        </w:rPr>
      </w:pPr>
      <w:r>
        <w:rPr>
          <w:rFonts w:ascii="Courier New" w:cs="Courier New" w:eastAsia="Courier New" w:hAnsi="Courier New"/>
          <w:sz w:val="16"/>
          <w:szCs w:val="16"/>
          <w:color w:val="auto"/>
        </w:rPr>
        <w:t>DATED DECEMBER 11, 1998</w:t>
      </w:r>
    </w:p>
    <w:p>
      <w:pPr>
        <w:spacing w:after="0" w:line="362" w:lineRule="exact"/>
        <w:rPr>
          <w:sz w:val="20"/>
          <w:szCs w:val="20"/>
          <w:color w:val="auto"/>
        </w:rPr>
      </w:pPr>
    </w:p>
    <w:p>
      <w:pPr>
        <w:jc w:val="both"/>
        <w:ind w:firstLine="1767"/>
        <w:spacing w:after="0" w:line="279" w:lineRule="auto"/>
        <w:rPr>
          <w:sz w:val="20"/>
          <w:szCs w:val="20"/>
          <w:color w:val="auto"/>
        </w:rPr>
      </w:pPr>
      <w:r>
        <w:rPr>
          <w:rFonts w:ascii="Courier New" w:cs="Courier New" w:eastAsia="Courier New" w:hAnsi="Courier New"/>
          <w:sz w:val="14"/>
          <w:szCs w:val="14"/>
          <w:color w:val="auto"/>
        </w:rPr>
        <w:t>The following table sets forth certain information with respect to the beneficial ownership of the Company's Common Stock by (a) all persons who were reported to be beneficial owners of five percent or more of the Company's Common Stock (other than JMI), (b) directors and certain executive officers of the Company and (c) all directors and executive officers as a group as of December 7, 1998, as reported in the Preliminary Consent Revocation Statement.</w:t>
      </w:r>
    </w:p>
    <w:p>
      <w:pPr>
        <w:spacing w:after="0" w:line="157" w:lineRule="exact"/>
        <w:rPr>
          <w:sz w:val="20"/>
          <w:szCs w:val="20"/>
          <w:color w:val="auto"/>
        </w:rPr>
      </w:pPr>
    </w:p>
    <w:p>
      <w:pPr>
        <w:jc w:val="both"/>
        <w:ind w:firstLine="1767"/>
        <w:spacing w:after="0" w:line="235" w:lineRule="auto"/>
        <w:rPr>
          <w:sz w:val="20"/>
          <w:szCs w:val="20"/>
          <w:color w:val="auto"/>
        </w:rPr>
      </w:pPr>
      <w:r>
        <w:rPr>
          <w:rFonts w:ascii="Courier New" w:cs="Courier New" w:eastAsia="Courier New" w:hAnsi="Courier New"/>
          <w:sz w:val="16"/>
          <w:szCs w:val="16"/>
          <w:color w:val="auto"/>
        </w:rPr>
        <w:t>This information is qualified in its entirety by reference to the Preliminary Consent Revocation Statement. JMI makes no representations as to the accuracy of such information. Moreover, because changes in beneficial ownership may have occurred since the effective dates of the filings cited below, such information, even if accurate as of the time of filing, may no longer be valid.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ind w:left="1020"/>
              <w:spacing w:after="0"/>
              <w:rPr>
                <w:sz w:val="20"/>
                <w:szCs w:val="20"/>
                <w:color w:val="auto"/>
              </w:rPr>
            </w:pPr>
            <w:r>
              <w:rPr>
                <w:rFonts w:ascii="Courier New" w:cs="Courier New" w:eastAsia="Courier New" w:hAnsi="Courier New"/>
                <w:sz w:val="16"/>
                <w:szCs w:val="16"/>
                <w:color w:val="auto"/>
              </w:rPr>
              <w:t>NAME AND ADDRESS/TITLE</w:t>
            </w:r>
          </w:p>
        </w:tc>
        <w:tc>
          <w:tcPr>
            <w:tcW w:w="364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6"/>
              </w:rPr>
              <w:t>NUMBER OF SHARES</w:t>
            </w:r>
          </w:p>
        </w:tc>
        <w:tc>
          <w:tcPr>
            <w:tcW w:w="3380" w:type="dxa"/>
            <w:vAlign w:val="bottom"/>
          </w:tcPr>
          <w:p>
            <w:pPr>
              <w:spacing w:after="0"/>
              <w:rPr>
                <w:sz w:val="15"/>
                <w:szCs w:val="15"/>
                <w:color w:val="auto"/>
              </w:rPr>
            </w:pPr>
          </w:p>
        </w:tc>
      </w:tr>
      <w:tr>
        <w:trPr>
          <w:trHeight w:val="179"/>
        </w:trPr>
        <w:tc>
          <w:tcPr>
            <w:tcW w:w="450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OF BENEFICIAL OWNER</w:t>
            </w:r>
          </w:p>
        </w:tc>
        <w:tc>
          <w:tcPr>
            <w:tcW w:w="3640" w:type="dxa"/>
            <w:vAlign w:val="bottom"/>
          </w:tcPr>
          <w:p>
            <w:pPr>
              <w:jc w:val="center"/>
              <w:ind w:right="482"/>
              <w:spacing w:after="0" w:line="179" w:lineRule="exact"/>
              <w:rPr>
                <w:sz w:val="20"/>
                <w:szCs w:val="20"/>
                <w:color w:val="auto"/>
              </w:rPr>
            </w:pPr>
            <w:r>
              <w:rPr>
                <w:rFonts w:ascii="Courier New" w:cs="Courier New" w:eastAsia="Courier New" w:hAnsi="Courier New"/>
                <w:sz w:val="16"/>
                <w:szCs w:val="16"/>
                <w:color w:val="auto"/>
                <w:w w:val="97"/>
              </w:rPr>
              <w:t>BENEFICIALLY OWNED</w:t>
            </w:r>
          </w:p>
        </w:tc>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PERCENTAGE OF CLASS (1)</w:t>
            </w:r>
          </w:p>
        </w:tc>
      </w:tr>
      <w:tr>
        <w:trPr>
          <w:trHeight w:val="179"/>
        </w:trPr>
        <w:tc>
          <w:tcPr>
            <w:tcW w:w="450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w:t>
            </w:r>
          </w:p>
        </w:tc>
        <w:tc>
          <w:tcPr>
            <w:tcW w:w="3640" w:type="dxa"/>
            <w:vAlign w:val="bottom"/>
          </w:tcPr>
          <w:p>
            <w:pPr>
              <w:jc w:val="center"/>
              <w:ind w:right="482"/>
              <w:spacing w:after="0" w:line="179" w:lineRule="exact"/>
              <w:rPr>
                <w:sz w:val="20"/>
                <w:szCs w:val="20"/>
                <w:color w:val="auto"/>
              </w:rPr>
            </w:pPr>
            <w:r>
              <w:rPr>
                <w:rFonts w:ascii="Courier New" w:cs="Courier New" w:eastAsia="Courier New" w:hAnsi="Courier New"/>
                <w:sz w:val="16"/>
                <w:szCs w:val="16"/>
                <w:color w:val="auto"/>
                <w:w w:val="97"/>
              </w:rPr>
              <w:t>------------------</w:t>
            </w:r>
          </w:p>
        </w:tc>
        <w:tc>
          <w:tcPr>
            <w:tcW w:w="3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500" w:type="dxa"/>
            <w:vAlign w:val="bottom"/>
          </w:tcPr>
          <w:p>
            <w:pPr>
              <w:spacing w:after="0"/>
              <w:rPr>
                <w:sz w:val="20"/>
                <w:szCs w:val="20"/>
                <w:color w:val="auto"/>
              </w:rPr>
            </w:pPr>
            <w:r>
              <w:rPr>
                <w:rFonts w:ascii="Courier New" w:cs="Courier New" w:eastAsia="Courier New" w:hAnsi="Courier New"/>
                <w:sz w:val="16"/>
                <w:szCs w:val="16"/>
                <w:color w:val="auto"/>
              </w:rPr>
              <w:t>Heartland Advisors, Inc</w:t>
            </w:r>
          </w:p>
        </w:tc>
        <w:tc>
          <w:tcPr>
            <w:tcW w:w="364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7"/>
              </w:rPr>
              <w:t>1,097,000(2)</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6.9%</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790 North Milwaukee Street Milwaukee,</w:t>
            </w:r>
          </w:p>
        </w:tc>
        <w:tc>
          <w:tcPr>
            <w:tcW w:w="36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Wisconsin 53202</w:t>
            </w:r>
          </w:p>
        </w:tc>
        <w:tc>
          <w:tcPr>
            <w:tcW w:w="36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58"/>
        </w:trPr>
        <w:tc>
          <w:tcPr>
            <w:tcW w:w="4500" w:type="dxa"/>
            <w:vAlign w:val="bottom"/>
          </w:tcPr>
          <w:p>
            <w:pPr>
              <w:spacing w:after="0"/>
              <w:rPr>
                <w:sz w:val="20"/>
                <w:szCs w:val="20"/>
                <w:color w:val="auto"/>
              </w:rPr>
            </w:pPr>
            <w:r>
              <w:rPr>
                <w:rFonts w:ascii="Courier New" w:cs="Courier New" w:eastAsia="Courier New" w:hAnsi="Courier New"/>
                <w:sz w:val="16"/>
                <w:szCs w:val="16"/>
                <w:color w:val="auto"/>
              </w:rPr>
              <w:t>Franklin Resources, Inc</w:t>
            </w:r>
          </w:p>
        </w:tc>
        <w:tc>
          <w:tcPr>
            <w:tcW w:w="364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7"/>
              </w:rPr>
              <w:t>1,900,000(3)</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12.1%</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777 Mariners Island Boulevard</w:t>
            </w:r>
          </w:p>
        </w:tc>
        <w:tc>
          <w:tcPr>
            <w:tcW w:w="36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San Mateo, California 94403</w:t>
            </w:r>
          </w:p>
        </w:tc>
        <w:tc>
          <w:tcPr>
            <w:tcW w:w="36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58"/>
        </w:trPr>
        <w:tc>
          <w:tcPr>
            <w:tcW w:w="4500" w:type="dxa"/>
            <w:vAlign w:val="bottom"/>
          </w:tcPr>
          <w:p>
            <w:pPr>
              <w:spacing w:after="0"/>
              <w:rPr>
                <w:sz w:val="20"/>
                <w:szCs w:val="20"/>
                <w:color w:val="auto"/>
              </w:rPr>
            </w:pPr>
            <w:r>
              <w:rPr>
                <w:rFonts w:ascii="Courier New" w:cs="Courier New" w:eastAsia="Courier New" w:hAnsi="Courier New"/>
                <w:sz w:val="16"/>
                <w:szCs w:val="16"/>
                <w:color w:val="auto"/>
              </w:rPr>
              <w:t>Grace &amp; White, Inc</w:t>
            </w:r>
          </w:p>
        </w:tc>
        <w:tc>
          <w:tcPr>
            <w:tcW w:w="364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7"/>
              </w:rPr>
              <w:t>1,206,250(4)</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7.6%</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515 Madison Avenue</w:t>
            </w:r>
          </w:p>
        </w:tc>
        <w:tc>
          <w:tcPr>
            <w:tcW w:w="36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New York, New York 10022</w:t>
            </w:r>
          </w:p>
        </w:tc>
        <w:tc>
          <w:tcPr>
            <w:tcW w:w="36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58"/>
        </w:trPr>
        <w:tc>
          <w:tcPr>
            <w:tcW w:w="4500" w:type="dxa"/>
            <w:vAlign w:val="bottom"/>
          </w:tcPr>
          <w:p>
            <w:pPr>
              <w:spacing w:after="0"/>
              <w:rPr>
                <w:sz w:val="20"/>
                <w:szCs w:val="20"/>
                <w:color w:val="auto"/>
              </w:rPr>
            </w:pPr>
            <w:r>
              <w:rPr>
                <w:rFonts w:ascii="Courier New" w:cs="Courier New" w:eastAsia="Courier New" w:hAnsi="Courier New"/>
                <w:sz w:val="16"/>
                <w:szCs w:val="16"/>
                <w:color w:val="auto"/>
              </w:rPr>
              <w:t>Dimensional Fund Advisors Inc</w:t>
            </w:r>
          </w:p>
        </w:tc>
        <w:tc>
          <w:tcPr>
            <w:tcW w:w="364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5"/>
              </w:rPr>
              <w:t>910,300(5)</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5.7%</w:t>
            </w: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1299 Ocean Avenue, 11th Floor</w:t>
            </w:r>
          </w:p>
        </w:tc>
        <w:tc>
          <w:tcPr>
            <w:tcW w:w="36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79"/>
        </w:trPr>
        <w:tc>
          <w:tcPr>
            <w:tcW w:w="4500" w:type="dxa"/>
            <w:vAlign w:val="bottom"/>
          </w:tcPr>
          <w:p>
            <w:pPr>
              <w:spacing w:after="0" w:line="179" w:lineRule="exact"/>
              <w:rPr>
                <w:sz w:val="20"/>
                <w:szCs w:val="20"/>
                <w:color w:val="auto"/>
              </w:rPr>
            </w:pPr>
            <w:r>
              <w:rPr>
                <w:rFonts w:ascii="Courier New" w:cs="Courier New" w:eastAsia="Courier New" w:hAnsi="Courier New"/>
                <w:sz w:val="16"/>
                <w:szCs w:val="16"/>
                <w:color w:val="auto"/>
              </w:rPr>
              <w:t>Santa Monica, California 90401</w:t>
            </w:r>
          </w:p>
        </w:tc>
        <w:tc>
          <w:tcPr>
            <w:tcW w:w="36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58"/>
        </w:trPr>
        <w:tc>
          <w:tcPr>
            <w:tcW w:w="4500" w:type="dxa"/>
            <w:vAlign w:val="bottom"/>
          </w:tcPr>
          <w:p>
            <w:pPr>
              <w:spacing w:after="0"/>
              <w:rPr>
                <w:sz w:val="20"/>
                <w:szCs w:val="20"/>
                <w:color w:val="auto"/>
              </w:rPr>
            </w:pPr>
            <w:r>
              <w:rPr>
                <w:rFonts w:ascii="Courier New" w:cs="Courier New" w:eastAsia="Courier New" w:hAnsi="Courier New"/>
                <w:sz w:val="16"/>
                <w:szCs w:val="16"/>
                <w:color w:val="auto"/>
              </w:rPr>
              <w:t>Stanley I. Berger</w:t>
            </w:r>
          </w:p>
        </w:tc>
        <w:tc>
          <w:tcPr>
            <w:tcW w:w="364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7"/>
              </w:rPr>
              <w:t>1,197,106(6)</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7.4%</w:t>
            </w:r>
          </w:p>
        </w:tc>
      </w:tr>
      <w:tr>
        <w:trPr>
          <w:trHeight w:val="179"/>
        </w:trPr>
        <w:tc>
          <w:tcPr>
            <w:tcW w:w="4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Chairman of the Board and Director</w:t>
            </w:r>
          </w:p>
        </w:tc>
        <w:tc>
          <w:tcPr>
            <w:tcW w:w="36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58"/>
        </w:trPr>
        <w:tc>
          <w:tcPr>
            <w:tcW w:w="4500" w:type="dxa"/>
            <w:vAlign w:val="bottom"/>
          </w:tcPr>
          <w:p>
            <w:pPr>
              <w:spacing w:after="0"/>
              <w:rPr>
                <w:sz w:val="20"/>
                <w:szCs w:val="20"/>
                <w:color w:val="auto"/>
              </w:rPr>
            </w:pPr>
            <w:r>
              <w:rPr>
                <w:rFonts w:ascii="Courier New" w:cs="Courier New" w:eastAsia="Courier New" w:hAnsi="Courier New"/>
                <w:sz w:val="16"/>
                <w:szCs w:val="16"/>
                <w:color w:val="auto"/>
              </w:rPr>
              <w:t>Joel H. Reichman</w:t>
            </w:r>
          </w:p>
        </w:tc>
        <w:tc>
          <w:tcPr>
            <w:tcW w:w="3640" w:type="dxa"/>
            <w:vAlign w:val="bottom"/>
          </w:tcPr>
          <w:p>
            <w:pPr>
              <w:jc w:val="center"/>
              <w:ind w:right="482"/>
              <w:spacing w:after="0"/>
              <w:rPr>
                <w:sz w:val="20"/>
                <w:szCs w:val="20"/>
                <w:color w:val="auto"/>
              </w:rPr>
            </w:pPr>
            <w:r>
              <w:rPr>
                <w:rFonts w:ascii="Courier New" w:cs="Courier New" w:eastAsia="Courier New" w:hAnsi="Courier New"/>
                <w:sz w:val="16"/>
                <w:szCs w:val="16"/>
                <w:color w:val="auto"/>
                <w:w w:val="95"/>
              </w:rPr>
              <w:t>349,121(7)</w:t>
            </w:r>
          </w:p>
        </w:tc>
        <w:tc>
          <w:tcPr>
            <w:tcW w:w="3380" w:type="dxa"/>
            <w:vAlign w:val="bottom"/>
          </w:tcPr>
          <w:p>
            <w:pPr>
              <w:jc w:val="right"/>
              <w:ind w:right="742"/>
              <w:spacing w:after="0"/>
              <w:rPr>
                <w:sz w:val="20"/>
                <w:szCs w:val="20"/>
                <w:color w:val="auto"/>
              </w:rPr>
            </w:pPr>
            <w:r>
              <w:rPr>
                <w:rFonts w:ascii="Courier New" w:cs="Courier New" w:eastAsia="Courier New" w:hAnsi="Courier New"/>
                <w:sz w:val="16"/>
                <w:szCs w:val="16"/>
                <w:color w:val="auto"/>
              </w:rPr>
              <w:t>2.2%</w:t>
            </w:r>
          </w:p>
        </w:tc>
      </w:tr>
      <w:tr>
        <w:trPr>
          <w:trHeight w:val="179"/>
        </w:trPr>
        <w:tc>
          <w:tcPr>
            <w:tcW w:w="4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President, Chief Executive Officer and</w:t>
            </w:r>
          </w:p>
        </w:tc>
        <w:tc>
          <w:tcPr>
            <w:tcW w:w="364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79"/>
        </w:trPr>
        <w:tc>
          <w:tcPr>
            <w:tcW w:w="4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c>
          <w:tcPr>
            <w:tcW w:w="3640" w:type="dxa"/>
            <w:vAlign w:val="bottom"/>
          </w:tcPr>
          <w:p>
            <w:pPr>
              <w:spacing w:after="0"/>
              <w:rPr>
                <w:sz w:val="15"/>
                <w:szCs w:val="15"/>
                <w:color w:val="auto"/>
              </w:rPr>
            </w:pPr>
          </w:p>
        </w:tc>
        <w:tc>
          <w:tcPr>
            <w:tcW w:w="3380" w:type="dxa"/>
            <w:vAlign w:val="bottom"/>
          </w:tcPr>
          <w:p>
            <w:pPr>
              <w:spacing w:after="0"/>
              <w:rPr>
                <w:sz w:val="15"/>
                <w:szCs w:val="15"/>
                <w:color w:val="auto"/>
              </w:rPr>
            </w:pPr>
          </w:p>
        </w:tc>
      </w:tr>
    </w:tbl>
    <w:p>
      <w:pPr>
        <w:sectPr>
          <w:pgSz w:w="11900" w:h="16838" w:orient="portrait"/>
          <w:cols w:equalWidth="0" w:num="1">
            <w:col w:w="11520"/>
          </w:cols>
          <w:pgMar w:left="240" w:top="1364" w:right="139" w:bottom="1440" w:gutter="0" w:footer="0" w:header="0"/>
        </w:sectPr>
      </w:pPr>
    </w:p>
    <w:bookmarkStart w:id="22" w:name="page23"/>
    <w:bookmarkEnd w:id="22"/>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640" w:type="dxa"/>
            <w:vAlign w:val="bottom"/>
          </w:tcPr>
          <w:p>
            <w:pPr>
              <w:spacing w:after="0"/>
              <w:rPr>
                <w:sz w:val="20"/>
                <w:szCs w:val="20"/>
                <w:color w:val="auto"/>
              </w:rPr>
            </w:pPr>
            <w:r>
              <w:rPr>
                <w:rFonts w:ascii="Courier New" w:cs="Courier New" w:eastAsia="Courier New" w:hAnsi="Courier New"/>
                <w:sz w:val="16"/>
                <w:szCs w:val="16"/>
                <w:color w:val="auto"/>
              </w:rPr>
              <w:t>Scott N. Semel</w:t>
            </w:r>
          </w:p>
        </w:tc>
        <w:tc>
          <w:tcPr>
            <w:tcW w:w="3720" w:type="dxa"/>
            <w:vAlign w:val="bottom"/>
          </w:tcPr>
          <w:p>
            <w:pPr>
              <w:jc w:val="right"/>
              <w:ind w:right="1782"/>
              <w:spacing w:after="0"/>
              <w:rPr>
                <w:sz w:val="20"/>
                <w:szCs w:val="20"/>
                <w:color w:val="auto"/>
              </w:rPr>
            </w:pPr>
            <w:r>
              <w:rPr>
                <w:rFonts w:ascii="Courier New" w:cs="Courier New" w:eastAsia="Courier New" w:hAnsi="Courier New"/>
                <w:sz w:val="16"/>
                <w:szCs w:val="16"/>
                <w:color w:val="auto"/>
              </w:rPr>
              <w:t>267,203(8)</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Executive Vice President, General</w:t>
            </w:r>
          </w:p>
        </w:tc>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Counsel and Secretary</w:t>
            </w:r>
          </w:p>
        </w:tc>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Carolyn R. Faulkner</w:t>
            </w:r>
          </w:p>
        </w:tc>
        <w:tc>
          <w:tcPr>
            <w:tcW w:w="3720" w:type="dxa"/>
            <w:vAlign w:val="bottom"/>
          </w:tcPr>
          <w:p>
            <w:pPr>
              <w:jc w:val="right"/>
              <w:ind w:right="1782"/>
              <w:spacing w:after="0"/>
              <w:rPr>
                <w:sz w:val="20"/>
                <w:szCs w:val="20"/>
                <w:color w:val="auto"/>
              </w:rPr>
            </w:pPr>
            <w:r>
              <w:rPr>
                <w:rFonts w:ascii="Courier New" w:cs="Courier New" w:eastAsia="Courier New" w:hAnsi="Courier New"/>
                <w:sz w:val="16"/>
                <w:szCs w:val="16"/>
                <w:color w:val="auto"/>
              </w:rPr>
              <w:t>55,333(9)</w:t>
            </w:r>
          </w:p>
        </w:tc>
        <w:tc>
          <w:tcPr>
            <w:tcW w:w="2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Vice President, Chief Financial Officer</w:t>
            </w:r>
          </w:p>
        </w:tc>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and Treasurer</w:t>
            </w:r>
          </w:p>
        </w:tc>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Mark S. Lisnow</w:t>
            </w:r>
          </w:p>
        </w:tc>
        <w:tc>
          <w:tcPr>
            <w:tcW w:w="3720" w:type="dxa"/>
            <w:vAlign w:val="bottom"/>
          </w:tcPr>
          <w:p>
            <w:pPr>
              <w:jc w:val="right"/>
              <w:ind w:right="1862"/>
              <w:spacing w:after="0"/>
              <w:rPr>
                <w:sz w:val="20"/>
                <w:szCs w:val="20"/>
                <w:color w:val="auto"/>
              </w:rPr>
            </w:pPr>
            <w:r>
              <w:rPr>
                <w:rFonts w:ascii="Courier New" w:cs="Courier New" w:eastAsia="Courier New" w:hAnsi="Courier New"/>
                <w:sz w:val="16"/>
                <w:szCs w:val="16"/>
                <w:color w:val="auto"/>
              </w:rPr>
              <w:t>-0-(10)</w:t>
            </w:r>
          </w:p>
        </w:tc>
        <w:tc>
          <w:tcPr>
            <w:tcW w:w="2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Former Senior Vice President,</w:t>
            </w:r>
          </w:p>
        </w:tc>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Merchandising</w:t>
            </w:r>
          </w:p>
        </w:tc>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James G. Groninger</w:t>
            </w:r>
          </w:p>
        </w:tc>
        <w:tc>
          <w:tcPr>
            <w:tcW w:w="3720" w:type="dxa"/>
            <w:vAlign w:val="bottom"/>
          </w:tcPr>
          <w:p>
            <w:pPr>
              <w:jc w:val="right"/>
              <w:ind w:right="1782"/>
              <w:spacing w:after="0"/>
              <w:rPr>
                <w:sz w:val="20"/>
                <w:szCs w:val="20"/>
                <w:color w:val="auto"/>
              </w:rPr>
            </w:pPr>
            <w:r>
              <w:rPr>
                <w:rFonts w:ascii="Courier New" w:cs="Courier New" w:eastAsia="Courier New" w:hAnsi="Courier New"/>
                <w:sz w:val="16"/>
                <w:szCs w:val="16"/>
                <w:color w:val="auto"/>
              </w:rPr>
              <w:t>49,604(11)</w:t>
            </w:r>
          </w:p>
        </w:tc>
        <w:tc>
          <w:tcPr>
            <w:tcW w:w="2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Melvin I. Shapiro</w:t>
            </w:r>
          </w:p>
        </w:tc>
        <w:tc>
          <w:tcPr>
            <w:tcW w:w="3720" w:type="dxa"/>
            <w:vAlign w:val="bottom"/>
          </w:tcPr>
          <w:p>
            <w:pPr>
              <w:jc w:val="right"/>
              <w:ind w:right="1782"/>
              <w:spacing w:after="0"/>
              <w:rPr>
                <w:sz w:val="20"/>
                <w:szCs w:val="20"/>
                <w:color w:val="auto"/>
              </w:rPr>
            </w:pPr>
            <w:r>
              <w:rPr>
                <w:rFonts w:ascii="Courier New" w:cs="Courier New" w:eastAsia="Courier New" w:hAnsi="Courier New"/>
                <w:sz w:val="16"/>
                <w:szCs w:val="16"/>
                <w:color w:val="auto"/>
              </w:rPr>
              <w:t>57,326(12)</w:t>
            </w:r>
          </w:p>
        </w:tc>
        <w:tc>
          <w:tcPr>
            <w:tcW w:w="2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Bernard M. Manuel</w:t>
            </w:r>
          </w:p>
        </w:tc>
        <w:tc>
          <w:tcPr>
            <w:tcW w:w="3720" w:type="dxa"/>
            <w:vAlign w:val="bottom"/>
          </w:tcPr>
          <w:p>
            <w:pPr>
              <w:jc w:val="right"/>
              <w:ind w:right="1782"/>
              <w:spacing w:after="0"/>
              <w:rPr>
                <w:sz w:val="20"/>
                <w:szCs w:val="20"/>
                <w:color w:val="auto"/>
              </w:rPr>
            </w:pPr>
            <w:r>
              <w:rPr>
                <w:rFonts w:ascii="Courier New" w:cs="Courier New" w:eastAsia="Courier New" w:hAnsi="Courier New"/>
                <w:sz w:val="16"/>
                <w:szCs w:val="16"/>
                <w:color w:val="auto"/>
              </w:rPr>
              <w:t>61,706(13)</w:t>
            </w:r>
          </w:p>
        </w:tc>
        <w:tc>
          <w:tcPr>
            <w:tcW w:w="2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Peter L. Thigpen</w:t>
            </w:r>
          </w:p>
        </w:tc>
        <w:tc>
          <w:tcPr>
            <w:tcW w:w="3720" w:type="dxa"/>
            <w:vAlign w:val="bottom"/>
          </w:tcPr>
          <w:p>
            <w:pPr>
              <w:jc w:val="right"/>
              <w:ind w:right="1782"/>
              <w:spacing w:after="0"/>
              <w:rPr>
                <w:sz w:val="20"/>
                <w:szCs w:val="20"/>
                <w:color w:val="auto"/>
              </w:rPr>
            </w:pPr>
            <w:r>
              <w:rPr>
                <w:rFonts w:ascii="Courier New" w:cs="Courier New" w:eastAsia="Courier New" w:hAnsi="Courier New"/>
                <w:sz w:val="16"/>
                <w:szCs w:val="16"/>
                <w:color w:val="auto"/>
              </w:rPr>
              <w:t>28,304(14)</w:t>
            </w:r>
          </w:p>
        </w:tc>
        <w:tc>
          <w:tcPr>
            <w:tcW w:w="23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Director</w:t>
            </w:r>
          </w:p>
        </w:tc>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Directors, Executive Officers and a</w:t>
            </w:r>
          </w:p>
        </w:tc>
        <w:tc>
          <w:tcPr>
            <w:tcW w:w="3720" w:type="dxa"/>
            <w:vAlign w:val="bottom"/>
          </w:tcPr>
          <w:p>
            <w:pPr>
              <w:jc w:val="right"/>
              <w:ind w:right="1682"/>
              <w:spacing w:after="0"/>
              <w:rPr>
                <w:sz w:val="20"/>
                <w:szCs w:val="20"/>
                <w:color w:val="auto"/>
              </w:rPr>
            </w:pPr>
            <w:r>
              <w:rPr>
                <w:rFonts w:ascii="Courier New" w:cs="Courier New" w:eastAsia="Courier New" w:hAnsi="Courier New"/>
                <w:sz w:val="16"/>
                <w:szCs w:val="16"/>
                <w:color w:val="auto"/>
              </w:rPr>
              <w:t>2,065,703(15)</w:t>
            </w:r>
          </w:p>
        </w:tc>
        <w:tc>
          <w:tcPr>
            <w:tcW w:w="2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12.3%</w:t>
            </w: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former Executive Officer as a group (9</w:t>
            </w:r>
          </w:p>
        </w:tc>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9"/>
        </w:trPr>
        <w:tc>
          <w:tcPr>
            <w:tcW w:w="46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persons)</w:t>
            </w:r>
          </w:p>
        </w:tc>
        <w:tc>
          <w:tcPr>
            <w:tcW w:w="3720" w:type="dxa"/>
            <w:vAlign w:val="bottom"/>
          </w:tcPr>
          <w:p>
            <w:pPr>
              <w:spacing w:after="0"/>
              <w:rPr>
                <w:sz w:val="15"/>
                <w:szCs w:val="15"/>
                <w:color w:val="auto"/>
              </w:rPr>
            </w:pPr>
          </w:p>
        </w:tc>
        <w:tc>
          <w:tcPr>
            <w:tcW w:w="234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w:t>
      </w:r>
    </w:p>
    <w:p>
      <w:pPr>
        <w:spacing w:after="0" w:line="14" w:lineRule="exact"/>
        <w:rPr>
          <w:sz w:val="20"/>
          <w:szCs w:val="20"/>
          <w:color w:val="auto"/>
        </w:rPr>
      </w:pPr>
    </w:p>
    <w:p>
      <w:pPr>
        <w:ind w:left="285" w:hanging="285"/>
        <w:spacing w:after="0"/>
        <w:tabs>
          <w:tab w:leader="none" w:pos="28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176" w:lineRule="exact"/>
        <w:rPr>
          <w:rFonts w:ascii="Courier New" w:cs="Courier New" w:eastAsia="Courier New" w:hAnsi="Courier New"/>
          <w:sz w:val="16"/>
          <w:szCs w:val="16"/>
          <w:color w:val="auto"/>
        </w:rPr>
      </w:pPr>
    </w:p>
    <w:p>
      <w:pPr>
        <w:ind w:left="645" w:hanging="366"/>
        <w:spacing w:after="0"/>
        <w:tabs>
          <w:tab w:leader="none" w:pos="64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total of 15,878,233 shares of Common Stock was outstanding as of December 7, 1998.</w:t>
      </w:r>
    </w:p>
    <w:p>
      <w:pPr>
        <w:spacing w:after="0" w:line="182" w:lineRule="exact"/>
        <w:rPr>
          <w:rFonts w:ascii="Courier New" w:cs="Courier New" w:eastAsia="Courier New" w:hAnsi="Courier New"/>
          <w:sz w:val="16"/>
          <w:szCs w:val="16"/>
          <w:color w:val="auto"/>
        </w:rPr>
      </w:pPr>
    </w:p>
    <w:p>
      <w:pPr>
        <w:jc w:val="both"/>
        <w:ind w:left="645" w:hanging="366"/>
        <w:spacing w:after="0" w:line="274" w:lineRule="auto"/>
        <w:tabs>
          <w:tab w:leader="none" w:pos="645"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received a report on Schedule 13G dated November 30, 1998 stating that Heartland Advisors, Inc. ("HAI") was the beneficial owner of and had sole voting and dispositive power with respect to the number of shares of Common Stock set forth opposite its name in the table. The report on Schedule 13G described the relationship among HAI and certain investment advisory accounts and a registered investment company but did not affirm the existence of a group. Nevertheless, the Company believes that HAI, such investment accounts and the investment company may be deemed to constitute a "group" as that term is used in Section 13(d)(3) of the Securities Exchange Act, as amended, and that such group may be deemed to be the beneficial owner of the shares described in this footnote.</w:t>
      </w:r>
    </w:p>
    <w:p>
      <w:pPr>
        <w:spacing w:after="0" w:line="163" w:lineRule="exact"/>
        <w:rPr>
          <w:rFonts w:ascii="Courier New" w:cs="Courier New" w:eastAsia="Courier New" w:hAnsi="Courier New"/>
          <w:sz w:val="14"/>
          <w:szCs w:val="14"/>
          <w:color w:val="auto"/>
        </w:rPr>
      </w:pPr>
    </w:p>
    <w:p>
      <w:pPr>
        <w:jc w:val="both"/>
        <w:ind w:left="645" w:hanging="366"/>
        <w:spacing w:after="0" w:line="273" w:lineRule="auto"/>
        <w:tabs>
          <w:tab w:leader="none" w:pos="645"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Franklin Resources, Inc. ("Franklin") informed the Company that, as of May 6, 1998, it was the beneficial owner of the number of shares of Common Stock set forth opposite its name in the table and that, as of such date, Franklin had sole voting and dispositive power with respect to all such shares. The Company previously received a report on Schedule 13G with a signature dated January 16, 1998 stating that Franklin, as parent holding company of Franklin Advisory Services, Inc. ("FASI"), was reporting the beneficial ownership of FASI and its principal shareholders, Charles B. Johnson and Rupert H. Johnson, Jr., as result of FASI acting as an investment adviser to several investment companies and other managed accounts registered under the Investment Company Act. The report on Schedule 13G indicates that at December 31, 1997 FASI had sole voting power with respect to 1,494,000 shares and that FASI may be deemed to beneficially own, within the meaning of Rule 13d-3 of the Exchange Act, 1,494,000 shares over which it had sole dispositive power. The report described the relationship among Franklin, FASI, Charles B. Johnson and Rupert H. Johnson, Jr., but it denied the existence of a group. Nevertheless, the Company believes that Franklin, FASI, Charles B. Johnson and Rupert H. Johnson, Jr., may be deemed to constitute a "group" as that term is used in Section 13 (d) (3) of the Exchange Act, and that such group may be deemed to be the beneficial owner of the shares described</w:t>
      </w:r>
    </w:p>
    <w:p>
      <w:pPr>
        <w:sectPr>
          <w:pgSz w:w="11900" w:h="16838" w:orient="portrait"/>
          <w:cols w:equalWidth="0" w:num="1">
            <w:col w:w="11525"/>
          </w:cols>
          <w:pgMar w:left="235" w:top="1185" w:right="139" w:bottom="1440" w:gutter="0" w:footer="0" w:header="0"/>
        </w:sectPr>
      </w:pPr>
    </w:p>
    <w:bookmarkStart w:id="23" w:name="page24"/>
    <w:bookmarkEnd w:id="23"/>
    <w:p>
      <w:pPr>
        <w:ind w:left="459"/>
        <w:spacing w:after="0"/>
        <w:rPr>
          <w:sz w:val="20"/>
          <w:szCs w:val="20"/>
          <w:color w:val="auto"/>
        </w:rPr>
      </w:pPr>
      <w:r>
        <w:rPr>
          <w:rFonts w:ascii="Courier New" w:cs="Courier New" w:eastAsia="Courier New" w:hAnsi="Courier New"/>
          <w:sz w:val="16"/>
          <w:szCs w:val="16"/>
          <w:color w:val="auto"/>
        </w:rPr>
        <w:t>in this footnote.</w:t>
      </w:r>
    </w:p>
    <w:p>
      <w:pPr>
        <w:spacing w:after="0" w:line="183" w:lineRule="exact"/>
        <w:rPr>
          <w:sz w:val="20"/>
          <w:szCs w:val="20"/>
          <w:color w:val="auto"/>
        </w:rPr>
      </w:pPr>
    </w:p>
    <w:p>
      <w:pPr>
        <w:jc w:val="both"/>
        <w:ind w:left="459" w:hanging="366"/>
        <w:spacing w:after="0" w:line="236" w:lineRule="auto"/>
        <w:tabs>
          <w:tab w:leader="none" w:pos="45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 report on Schedule 13G dated February 12, 1998 stating that Grace &amp; White, Inc. ("Grace &amp; White") was the beneficial owner of the number of shares of Common Stock set forth opposite its name in the table. The report on Schedule 13G indicates that at December 31, 1997 Grace &amp; White had sole voting power with respect to 30,100 shares and that Grace &amp; White may be deemed to beneficially own, within the meaning of Rule 13d-3 of the Exchange Act, 1,206,250 shares over which it had sole dispositive power. The report indicated that the shares were acquired in the ordinary course of Grace &amp; White's investment advisory business and not with the purpose of changing or influencing the control of the Company.</w:t>
      </w:r>
    </w:p>
    <w:p>
      <w:pPr>
        <w:spacing w:after="0" w:line="183" w:lineRule="exact"/>
        <w:rPr>
          <w:rFonts w:ascii="Courier New" w:cs="Courier New" w:eastAsia="Courier New" w:hAnsi="Courier New"/>
          <w:sz w:val="16"/>
          <w:szCs w:val="16"/>
          <w:color w:val="auto"/>
        </w:rPr>
      </w:pPr>
    </w:p>
    <w:p>
      <w:pPr>
        <w:jc w:val="both"/>
        <w:ind w:left="459" w:hanging="366"/>
        <w:spacing w:after="0" w:line="273" w:lineRule="auto"/>
        <w:tabs>
          <w:tab w:leader="none" w:pos="45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received a report on Schedule 13G with a signature dated February 9, 1998 stating that Dimensional Fund Advisors Inc. ("DFAI") was reporting the beneficial ownership of DFAI and advisory clients of DFAI, including DFA Investment Dimensions Group Inc. ("DFA Fund") and The DFA Investment Trust Company ("DFA Trust"), each an open-end management investment company under the Investment Company Act of 1940, as amended. The report on Schedule 13G and the correspondence accompanying the report indicated that at December 31, 1997 DFAI had sole voting power with respect to 588,900 shares and that DFAI may be deemed to beneficially own, within the meaning of Rule 13d-3 of the Exchange Act, 910,300 shares over which it had sole dispositive power. The report described the relationship among DFAI, DFA Fund and DFA Trust but did not affirm the existence of a group. Nevertheless, the Company believes that DFAI, DFA Fund and DFA Trust may be deemed to constitute a "group" as that term is used in Section 13 (d) (3) of the Exchange Act, and that such group may be deemed to be the beneficial owner of the shares described in this footnote.</w:t>
      </w:r>
    </w:p>
    <w:p>
      <w:pPr>
        <w:spacing w:after="0" w:line="344" w:lineRule="exact"/>
        <w:rPr>
          <w:rFonts w:ascii="Courier New" w:cs="Courier New" w:eastAsia="Courier New" w:hAnsi="Courier New"/>
          <w:sz w:val="14"/>
          <w:szCs w:val="14"/>
          <w:color w:val="auto"/>
        </w:rPr>
      </w:pPr>
    </w:p>
    <w:p>
      <w:pPr>
        <w:ind w:left="459" w:hanging="366"/>
        <w:spacing w:after="0" w:line="234" w:lineRule="auto"/>
        <w:tabs>
          <w:tab w:leader="none" w:pos="45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238,500 shares issuable pursuant to outstanding stock options exercisable within 60 days of December 7, 1998.</w:t>
      </w:r>
    </w:p>
    <w:p>
      <w:pPr>
        <w:spacing w:after="0" w:line="183" w:lineRule="exact"/>
        <w:rPr>
          <w:rFonts w:ascii="Courier New" w:cs="Courier New" w:eastAsia="Courier New" w:hAnsi="Courier New"/>
          <w:sz w:val="16"/>
          <w:szCs w:val="16"/>
          <w:color w:val="auto"/>
        </w:rPr>
      </w:pPr>
    </w:p>
    <w:p>
      <w:pPr>
        <w:jc w:val="both"/>
        <w:ind w:left="459" w:hanging="366"/>
        <w:spacing w:after="0" w:line="235" w:lineRule="auto"/>
        <w:tabs>
          <w:tab w:leader="none" w:pos="45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303,166 shares issuable pursuant to outstanding stock options exercisable within 60 days of December 7, 1998, as well as 280 shares owned by Mr. Reichman's wife and 427 shares owned by Mr. Reichman's children, as to which 707 shares Mr. Reichman disclaims beneficial ownership.</w:t>
      </w:r>
    </w:p>
    <w:p>
      <w:pPr>
        <w:spacing w:after="0" w:line="183" w:lineRule="exact"/>
        <w:rPr>
          <w:rFonts w:ascii="Courier New" w:cs="Courier New" w:eastAsia="Courier New" w:hAnsi="Courier New"/>
          <w:sz w:val="16"/>
          <w:szCs w:val="16"/>
          <w:color w:val="auto"/>
        </w:rPr>
      </w:pPr>
    </w:p>
    <w:p>
      <w:pPr>
        <w:ind w:left="459" w:hanging="366"/>
        <w:spacing w:after="0" w:line="234" w:lineRule="auto"/>
        <w:tabs>
          <w:tab w:leader="none" w:pos="45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229,166 shares issuable pursuant to outstanding stock options exercisable within 60 days of December 7, 1998, as well as 450 shares owned by Mr. Semel's daughter, as to which he disclaims beneficial ownership.</w:t>
      </w:r>
    </w:p>
    <w:p>
      <w:pPr>
        <w:spacing w:after="0" w:line="183" w:lineRule="exact"/>
        <w:rPr>
          <w:rFonts w:ascii="Courier New" w:cs="Courier New" w:eastAsia="Courier New" w:hAnsi="Courier New"/>
          <w:sz w:val="16"/>
          <w:szCs w:val="16"/>
          <w:color w:val="auto"/>
        </w:rPr>
      </w:pPr>
    </w:p>
    <w:p>
      <w:pPr>
        <w:ind w:left="459" w:hanging="366"/>
        <w:spacing w:after="0"/>
        <w:tabs>
          <w:tab w:leader="none" w:pos="45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42,466 shares issuable pursuant to outstanding stock options exercisable within 60 days of December 7, 1998.</w:t>
      </w:r>
    </w:p>
    <w:p>
      <w:pPr>
        <w:spacing w:after="0" w:line="199" w:lineRule="exact"/>
        <w:rPr>
          <w:rFonts w:ascii="Courier New" w:cs="Courier New" w:eastAsia="Courier New" w:hAnsi="Courier New"/>
          <w:sz w:val="14"/>
          <w:szCs w:val="14"/>
          <w:color w:val="auto"/>
        </w:rPr>
      </w:pPr>
    </w:p>
    <w:p>
      <w:pPr>
        <w:jc w:val="both"/>
        <w:ind w:left="459" w:hanging="459"/>
        <w:spacing w:after="0" w:line="235" w:lineRule="auto"/>
        <w:tabs>
          <w:tab w:leader="none" w:pos="45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Lisnow's employment with the company and his service as an officer of the company ended on February 13, 1998. The information in the table with respect to shares beneficially owned by Mr. Lisnow is based solely upon information available to the Company.</w:t>
      </w:r>
    </w:p>
    <w:p>
      <w:pPr>
        <w:spacing w:after="0" w:line="183" w:lineRule="exact"/>
        <w:rPr>
          <w:rFonts w:ascii="Courier New" w:cs="Courier New" w:eastAsia="Courier New" w:hAnsi="Courier New"/>
          <w:sz w:val="16"/>
          <w:szCs w:val="16"/>
          <w:color w:val="auto"/>
        </w:rPr>
      </w:pPr>
    </w:p>
    <w:p>
      <w:pPr>
        <w:ind w:left="459" w:hanging="459"/>
        <w:spacing w:after="0"/>
        <w:tabs>
          <w:tab w:leader="none" w:pos="45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40,500 shares issuable pursuant to outstanding stock options exercisable within 60 days of December 7, 1998.</w:t>
      </w:r>
    </w:p>
    <w:p>
      <w:pPr>
        <w:spacing w:after="0" w:line="199" w:lineRule="exact"/>
        <w:rPr>
          <w:rFonts w:ascii="Courier New" w:cs="Courier New" w:eastAsia="Courier New" w:hAnsi="Courier New"/>
          <w:sz w:val="14"/>
          <w:szCs w:val="14"/>
          <w:color w:val="auto"/>
        </w:rPr>
      </w:pPr>
    </w:p>
    <w:p>
      <w:pPr>
        <w:ind w:left="459" w:hanging="459"/>
        <w:spacing w:after="0" w:line="234" w:lineRule="auto"/>
        <w:tabs>
          <w:tab w:leader="none" w:pos="45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40,500 shares issuable pursuant to outstanding stock options exercisable within 60 days of December 7, 1998 and 450 shares owned by Mr. Shapiro's wife as to which he disclaims beneficial ownership.</w:t>
      </w:r>
    </w:p>
    <w:p>
      <w:pPr>
        <w:spacing w:after="0" w:line="183" w:lineRule="exact"/>
        <w:rPr>
          <w:rFonts w:ascii="Courier New" w:cs="Courier New" w:eastAsia="Courier New" w:hAnsi="Courier New"/>
          <w:sz w:val="16"/>
          <w:szCs w:val="16"/>
          <w:color w:val="auto"/>
        </w:rPr>
      </w:pPr>
    </w:p>
    <w:p>
      <w:pPr>
        <w:ind w:left="459" w:hanging="459"/>
        <w:spacing w:after="0"/>
        <w:tabs>
          <w:tab w:leader="none" w:pos="45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40,500 shares issuable pursuant to outstanding stock options exercisable within 60 days of December 7, 1998.</w:t>
      </w:r>
    </w:p>
    <w:p>
      <w:pPr>
        <w:spacing w:after="0" w:line="199" w:lineRule="exact"/>
        <w:rPr>
          <w:rFonts w:ascii="Courier New" w:cs="Courier New" w:eastAsia="Courier New" w:hAnsi="Courier New"/>
          <w:sz w:val="14"/>
          <w:szCs w:val="14"/>
          <w:color w:val="auto"/>
        </w:rPr>
      </w:pPr>
    </w:p>
    <w:p>
      <w:pPr>
        <w:ind w:left="459" w:hanging="459"/>
        <w:spacing w:after="0"/>
        <w:tabs>
          <w:tab w:leader="none" w:pos="45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19,000 shares issuable pursuant to outstanding stock options exercisable within 60 days of December 7, 1998.</w:t>
      </w:r>
    </w:p>
    <w:p>
      <w:pPr>
        <w:spacing w:after="0" w:line="199" w:lineRule="exact"/>
        <w:rPr>
          <w:rFonts w:ascii="Courier New" w:cs="Courier New" w:eastAsia="Courier New" w:hAnsi="Courier New"/>
          <w:sz w:val="14"/>
          <w:szCs w:val="14"/>
          <w:color w:val="auto"/>
        </w:rPr>
      </w:pPr>
    </w:p>
    <w:p>
      <w:pPr>
        <w:ind w:left="459" w:hanging="459"/>
        <w:spacing w:after="0" w:line="234" w:lineRule="auto"/>
        <w:tabs>
          <w:tab w:leader="none" w:pos="45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953,798 shares issuable pursuant to outstanding stock options exercisable within 60 days of December 7, 1998. See also Notes 6 through 9 and 11 through 14 above for further details concerning such options.</w:t>
      </w:r>
    </w:p>
    <w:p>
      <w:pPr>
        <w:sectPr>
          <w:pgSz w:w="11900" w:h="16838" w:orient="portrait"/>
          <w:cols w:equalWidth="0" w:num="1">
            <w:col w:w="11339"/>
          </w:cols>
          <w:pgMar w:left="421" w:top="1006" w:right="139" w:bottom="1440" w:gutter="0" w:footer="0" w:header="0"/>
        </w:sectPr>
      </w:pPr>
    </w:p>
    <w:bookmarkStart w:id="24" w:name="page25"/>
    <w:bookmarkEnd w:id="24"/>
    <w:p>
      <w:pPr>
        <w:jc w:val="right"/>
        <w:ind w:right="2779"/>
        <w:spacing w:after="0"/>
        <w:rPr>
          <w:sz w:val="20"/>
          <w:szCs w:val="20"/>
          <w:color w:val="auto"/>
        </w:rPr>
      </w:pPr>
      <w:r>
        <w:rPr>
          <w:rFonts w:ascii="Courier New" w:cs="Courier New" w:eastAsia="Courier New" w:hAnsi="Courier New"/>
          <w:sz w:val="16"/>
          <w:szCs w:val="16"/>
          <w:color w:val="auto"/>
        </w:rPr>
        <w:t>APPENDIX 1</w:t>
      </w:r>
    </w:p>
    <w:p>
      <w:pPr>
        <w:spacing w:after="0" w:line="177" w:lineRule="exact"/>
        <w:rPr>
          <w:sz w:val="20"/>
          <w:szCs w:val="20"/>
          <w:color w:val="auto"/>
        </w:rPr>
      </w:pPr>
    </w:p>
    <w:p>
      <w:pPr>
        <w:jc w:val="center"/>
        <w:ind w:right="2695"/>
        <w:spacing w:after="0"/>
        <w:rPr>
          <w:sz w:val="20"/>
          <w:szCs w:val="20"/>
          <w:color w:val="auto"/>
        </w:rPr>
      </w:pPr>
      <w:r>
        <w:rPr>
          <w:rFonts w:ascii="Courier New" w:cs="Courier New" w:eastAsia="Courier New" w:hAnsi="Courier New"/>
          <w:sz w:val="16"/>
          <w:szCs w:val="16"/>
          <w:color w:val="auto"/>
        </w:rPr>
        <w:t>DESIGNS, INC.</w:t>
      </w:r>
    </w:p>
    <w:p>
      <w:pPr>
        <w:jc w:val="center"/>
        <w:ind w:right="2775"/>
        <w:spacing w:after="0" w:line="236" w:lineRule="auto"/>
        <w:rPr>
          <w:sz w:val="20"/>
          <w:szCs w:val="20"/>
          <w:color w:val="auto"/>
        </w:rPr>
      </w:pPr>
      <w:r>
        <w:rPr>
          <w:rFonts w:ascii="Courier New" w:cs="Courier New" w:eastAsia="Courier New" w:hAnsi="Courier New"/>
          <w:sz w:val="16"/>
          <w:szCs w:val="16"/>
          <w:color w:val="auto"/>
        </w:rPr>
        <w:t>CONSENT OF STOCKHOLDERS TO ACTION WITHOUT A MEETING:</w:t>
      </w:r>
    </w:p>
    <w:p>
      <w:pPr>
        <w:jc w:val="center"/>
        <w:ind w:right="2775"/>
        <w:spacing w:after="0" w:line="237" w:lineRule="auto"/>
        <w:rPr>
          <w:sz w:val="20"/>
          <w:szCs w:val="20"/>
          <w:color w:val="auto"/>
        </w:rPr>
      </w:pPr>
      <w:r>
        <w:rPr>
          <w:rFonts w:ascii="Courier New" w:cs="Courier New" w:eastAsia="Courier New" w:hAnsi="Courier New"/>
          <w:sz w:val="16"/>
          <w:szCs w:val="16"/>
          <w:color w:val="auto"/>
        </w:rPr>
        <w:t>THIS CONSENT IS SOLICITED BY JEWELCOR MANAGEMENT, INC.</w:t>
      </w:r>
    </w:p>
    <w:p>
      <w:pPr>
        <w:ind w:left="3445"/>
        <w:spacing w:after="0" w:line="237" w:lineRule="auto"/>
        <w:rPr>
          <w:sz w:val="20"/>
          <w:szCs w:val="20"/>
          <w:color w:val="auto"/>
        </w:rPr>
      </w:pPr>
      <w:r>
        <w:rPr>
          <w:rFonts w:ascii="Courier New" w:cs="Courier New" w:eastAsia="Courier New" w:hAnsi="Courier New"/>
          <w:sz w:val="16"/>
          <w:szCs w:val="16"/>
          <w:color w:val="auto"/>
        </w:rPr>
        <w:t>("JMI")</w:t>
      </w:r>
    </w:p>
    <w:p>
      <w:pPr>
        <w:spacing w:after="0" w:line="183" w:lineRule="exact"/>
        <w:rPr>
          <w:sz w:val="20"/>
          <w:szCs w:val="20"/>
          <w:color w:val="auto"/>
        </w:rPr>
      </w:pPr>
    </w:p>
    <w:p>
      <w:pPr>
        <w:jc w:val="both"/>
        <w:ind w:left="5" w:right="2779" w:firstLine="837"/>
        <w:spacing w:after="0" w:line="236" w:lineRule="auto"/>
        <w:rPr>
          <w:sz w:val="20"/>
          <w:szCs w:val="20"/>
          <w:color w:val="auto"/>
        </w:rPr>
      </w:pPr>
      <w:r>
        <w:rPr>
          <w:rFonts w:ascii="Courier New" w:cs="Courier New" w:eastAsia="Courier New" w:hAnsi="Courier New"/>
          <w:sz w:val="16"/>
          <w:szCs w:val="16"/>
          <w:color w:val="auto"/>
        </w:rPr>
        <w:t>The undersigned, a stockholder of record of DESIGNS, INC. (the "Company"), hereby consents pursuant to Section 228 of the Delaware General Corporation Law, with respect to the number of shares of common stock, par value $0.01 per share, of the Company held by the undersigned, to each of the following actions without a prior notice and without a vote as more fully described in JMI's consent statement (the "Consent Statement"), receipt of which is hereby acknowledged.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JMI STRONGLY RECOMMENDS THAT STOCKHOLDERS CONSENT TO THE FOLLOWING PROPOSALS:</w:t>
      </w:r>
    </w:p>
    <w:p>
      <w:pPr>
        <w:spacing w:after="0" w:line="183" w:lineRule="exact"/>
        <w:rPr>
          <w:sz w:val="20"/>
          <w:szCs w:val="20"/>
          <w:color w:val="auto"/>
        </w:rPr>
      </w:pPr>
    </w:p>
    <w:p>
      <w:pPr>
        <w:ind w:left="1665" w:hanging="1665"/>
        <w:spacing w:after="0"/>
        <w:tabs>
          <w:tab w:leader="none" w:pos="166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Removal  Proposal:  Remove (i) all current members of</w:t>
      </w:r>
    </w:p>
    <w:p>
      <w:pPr>
        <w:spacing w:after="0" w:line="16" w:lineRule="exact"/>
        <w:rPr>
          <w:rFonts w:ascii="Courier New" w:cs="Courier New" w:eastAsia="Courier New" w:hAnsi="Courier New"/>
          <w:sz w:val="14"/>
          <w:szCs w:val="14"/>
          <w:color w:val="auto"/>
        </w:rPr>
      </w:pPr>
    </w:p>
    <w:p>
      <w:pPr>
        <w:ind w:left="16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both"/>
        <w:ind w:left="1665"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the Company's Board of Directors (the "Board of Directors") other than Stanley I. Berger and (ii) any other person or persons (other than the persons elected pursuant to this Consent) elected or appointed to the Board of Directors prior to the effective time of this stockholder action in addition to or in lieu of any of such current members (including, any persons elected or appointed in lieu of Stanley I. Berger) to fill any newly created directorship or vacancy on the Board of Directors or otherwise, pursuant to the resolution set forth in the Consent Statement.</w:t>
      </w:r>
    </w:p>
    <w:p>
      <w:pPr>
        <w:spacing w:after="0" w:line="179" w:lineRule="exact"/>
        <w:rPr>
          <w:sz w:val="20"/>
          <w:szCs w:val="20"/>
          <w:color w:val="auto"/>
        </w:rPr>
      </w:pPr>
    </w:p>
    <w:p>
      <w:pPr>
        <w:ind w:left="1665"/>
        <w:spacing w:after="0"/>
        <w:tabs>
          <w:tab w:leader="none" w:pos="3244" w:val="left"/>
          <w:tab w:leader="none" w:pos="5744" w:val="left"/>
        </w:tabs>
        <w:rPr>
          <w:sz w:val="20"/>
          <w:szCs w:val="20"/>
          <w:color w:val="auto"/>
        </w:rPr>
      </w:pPr>
      <w:r>
        <w:rPr>
          <w:rFonts w:ascii="Courier New" w:cs="Courier New" w:eastAsia="Courier New" w:hAnsi="Courier New"/>
          <w:sz w:val="16"/>
          <w:szCs w:val="16"/>
          <w:color w:val="auto"/>
        </w:rPr>
        <w:t>_ CONSENT</w:t>
      </w:r>
      <w:r>
        <w:rPr>
          <w:sz w:val="20"/>
          <w:szCs w:val="20"/>
          <w:color w:val="auto"/>
        </w:rPr>
        <w:tab/>
      </w:r>
      <w:r>
        <w:rPr>
          <w:rFonts w:ascii="Courier New" w:cs="Courier New" w:eastAsia="Courier New" w:hAnsi="Courier New"/>
          <w:sz w:val="16"/>
          <w:szCs w:val="16"/>
          <w:color w:val="auto"/>
        </w:rPr>
        <w:t>_ WITHHOLD CONSENT</w:t>
      </w:r>
      <w:r>
        <w:rPr>
          <w:sz w:val="20"/>
          <w:szCs w:val="20"/>
          <w:color w:val="auto"/>
        </w:rPr>
        <w:tab/>
      </w:r>
      <w:r>
        <w:rPr>
          <w:rFonts w:ascii="Courier New" w:cs="Courier New" w:eastAsia="Courier New" w:hAnsi="Courier New"/>
          <w:sz w:val="14"/>
          <w:szCs w:val="14"/>
          <w:color w:val="auto"/>
        </w:rPr>
        <w:t>_ ABSTAIN</w:t>
      </w:r>
    </w:p>
    <w:p>
      <w:pPr>
        <w:spacing w:after="0" w:line="183" w:lineRule="exact"/>
        <w:rPr>
          <w:sz w:val="20"/>
          <w:szCs w:val="20"/>
          <w:color w:val="auto"/>
        </w:rPr>
      </w:pPr>
    </w:p>
    <w:p>
      <w:pPr>
        <w:jc w:val="both"/>
        <w:ind w:left="1665" w:right="2779"/>
        <w:spacing w:after="0" w:line="235" w:lineRule="auto"/>
        <w:rPr>
          <w:sz w:val="20"/>
          <w:szCs w:val="20"/>
          <w:color w:val="auto"/>
        </w:rPr>
      </w:pPr>
      <w:r>
        <w:rPr>
          <w:rFonts w:ascii="Courier New" w:cs="Courier New" w:eastAsia="Courier New" w:hAnsi="Courier New"/>
          <w:sz w:val="16"/>
          <w:szCs w:val="16"/>
          <w:color w:val="auto"/>
        </w:rPr>
        <w:t>If no box is marked with respect to the Director Removal Proposal, this Consent will be voted in favor of the removal of the directors of the Company as set forth above.</w:t>
      </w:r>
    </w:p>
    <w:p>
      <w:pPr>
        <w:spacing w:after="0" w:line="183" w:lineRule="exact"/>
        <w:rPr>
          <w:sz w:val="20"/>
          <w:szCs w:val="20"/>
          <w:color w:val="auto"/>
        </w:rPr>
      </w:pPr>
    </w:p>
    <w:p>
      <w:pPr>
        <w:ind w:left="1665" w:hanging="1479"/>
        <w:spacing w:after="0"/>
        <w:tabs>
          <w:tab w:leader="none" w:pos="1665"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Election  Proposal:  Elect Jesse H. Choper,  Seymour</w:t>
      </w:r>
    </w:p>
    <w:p>
      <w:pPr>
        <w:spacing w:after="0" w:line="16" w:lineRule="exact"/>
        <w:rPr>
          <w:rFonts w:ascii="Courier New" w:cs="Courier New" w:eastAsia="Courier New" w:hAnsi="Courier New"/>
          <w:sz w:val="14"/>
          <w:szCs w:val="14"/>
          <w:color w:val="auto"/>
        </w:rPr>
      </w:pPr>
    </w:p>
    <w:p>
      <w:pPr>
        <w:ind w:left="16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both"/>
        <w:ind w:left="1665"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Holtzman, Peter R. McMullin, Deborah M. Rhem-Jackson and Steve R. Tomasi (collectively, the "Nominees") as directors of the Company to serve until their respective successors are duly elected and qualified, pursuant to the resolution set forth in the Consent Statement.</w:t>
      </w:r>
    </w:p>
    <w:p>
      <w:pPr>
        <w:spacing w:after="0" w:line="180" w:lineRule="exact"/>
        <w:rPr>
          <w:sz w:val="20"/>
          <w:szCs w:val="20"/>
          <w:color w:val="auto"/>
        </w:rPr>
      </w:pPr>
    </w:p>
    <w:p>
      <w:pPr>
        <w:ind w:left="1665"/>
        <w:spacing w:after="0"/>
        <w:tabs>
          <w:tab w:leader="none" w:pos="3244" w:val="left"/>
          <w:tab w:leader="none" w:pos="5644" w:val="left"/>
        </w:tabs>
        <w:rPr>
          <w:sz w:val="20"/>
          <w:szCs w:val="20"/>
          <w:color w:val="auto"/>
        </w:rPr>
      </w:pPr>
      <w:r>
        <w:rPr>
          <w:rFonts w:ascii="Courier New" w:cs="Courier New" w:eastAsia="Courier New" w:hAnsi="Courier New"/>
          <w:sz w:val="16"/>
          <w:szCs w:val="16"/>
          <w:color w:val="auto"/>
        </w:rPr>
        <w:t>_ CONSENT</w:t>
      </w:r>
      <w:r>
        <w:rPr>
          <w:sz w:val="20"/>
          <w:szCs w:val="20"/>
          <w:color w:val="auto"/>
        </w:rPr>
        <w:tab/>
      </w:r>
      <w:r>
        <w:rPr>
          <w:rFonts w:ascii="Courier New" w:cs="Courier New" w:eastAsia="Courier New" w:hAnsi="Courier New"/>
          <w:sz w:val="16"/>
          <w:szCs w:val="16"/>
          <w:color w:val="auto"/>
        </w:rPr>
        <w:t>_ WITHHOLD CONSENT</w:t>
      </w:r>
      <w:r>
        <w:rPr>
          <w:sz w:val="20"/>
          <w:szCs w:val="20"/>
          <w:color w:val="auto"/>
        </w:rPr>
        <w:tab/>
      </w:r>
      <w:r>
        <w:rPr>
          <w:rFonts w:ascii="Courier New" w:cs="Courier New" w:eastAsia="Courier New" w:hAnsi="Courier New"/>
          <w:sz w:val="14"/>
          <w:szCs w:val="14"/>
          <w:color w:val="auto"/>
        </w:rPr>
        <w:t>_ ABSTAIN</w:t>
      </w:r>
    </w:p>
    <w:p>
      <w:pPr>
        <w:spacing w:after="0" w:line="177" w:lineRule="exact"/>
        <w:rPr>
          <w:sz w:val="20"/>
          <w:szCs w:val="20"/>
          <w:color w:val="auto"/>
        </w:rPr>
      </w:pPr>
    </w:p>
    <w:p>
      <w:pPr>
        <w:ind w:left="1665"/>
        <w:spacing w:after="0"/>
        <w:tabs>
          <w:tab w:leader="none" w:pos="2864" w:val="left"/>
          <w:tab w:leader="none" w:pos="5184" w:val="left"/>
          <w:tab w:leader="none" w:pos="6404" w:val="left"/>
        </w:tabs>
        <w:rPr>
          <w:sz w:val="20"/>
          <w:szCs w:val="20"/>
          <w:color w:val="auto"/>
        </w:rPr>
      </w:pPr>
      <w:r>
        <w:rPr>
          <w:rFonts w:ascii="Courier New" w:cs="Courier New" w:eastAsia="Courier New" w:hAnsi="Courier New"/>
          <w:sz w:val="16"/>
          <w:szCs w:val="16"/>
          <w:color w:val="auto"/>
        </w:rPr>
        <w:t>To withhold</w:t>
        <w:tab/>
        <w:t>consent to any proposed</w:t>
        <w:tab/>
        <w:t>Nominee(s),</w:t>
      </w:r>
      <w:r>
        <w:rPr>
          <w:sz w:val="20"/>
          <w:szCs w:val="20"/>
          <w:color w:val="auto"/>
        </w:rPr>
        <w:tab/>
      </w:r>
      <w:r>
        <w:rPr>
          <w:rFonts w:ascii="Courier New" w:cs="Courier New" w:eastAsia="Courier New" w:hAnsi="Courier New"/>
          <w:sz w:val="14"/>
          <w:szCs w:val="14"/>
          <w:color w:val="auto"/>
        </w:rPr>
        <w:t>specify the</w:t>
      </w:r>
    </w:p>
    <w:p>
      <w:pPr>
        <w:ind w:left="1665"/>
        <w:spacing w:after="0" w:line="236" w:lineRule="auto"/>
        <w:rPr>
          <w:sz w:val="20"/>
          <w:szCs w:val="20"/>
          <w:color w:val="auto"/>
        </w:rPr>
      </w:pPr>
      <w:r>
        <w:rPr>
          <w:rFonts w:ascii="Courier New" w:cs="Courier New" w:eastAsia="Courier New" w:hAnsi="Courier New"/>
          <w:sz w:val="16"/>
          <w:szCs w:val="16"/>
          <w:color w:val="auto"/>
        </w:rPr>
        <w:t>Nominee(s) in the following space:</w:t>
      </w:r>
    </w:p>
    <w:p>
      <w:pPr>
        <w:spacing w:after="0" w:line="183" w:lineRule="exact"/>
        <w:rPr>
          <w:sz w:val="20"/>
          <w:szCs w:val="20"/>
          <w:color w:val="auto"/>
        </w:rPr>
      </w:pPr>
    </w:p>
    <w:p>
      <w:pPr>
        <w:ind w:left="1665"/>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469" w:right="1440" w:bottom="1440" w:gutter="0" w:footer="0" w:header="0"/>
        </w:sectPr>
      </w:pPr>
    </w:p>
    <w:bookmarkStart w:id="25" w:name="page26"/>
    <w:bookmarkEnd w:id="25"/>
    <w:p>
      <w:pPr>
        <w:jc w:val="both"/>
        <w:ind w:left="1665" w:right="2779"/>
        <w:spacing w:after="0" w:line="235" w:lineRule="auto"/>
        <w:rPr>
          <w:sz w:val="20"/>
          <w:szCs w:val="20"/>
          <w:color w:val="auto"/>
        </w:rPr>
      </w:pPr>
      <w:r>
        <w:rPr>
          <w:rFonts w:ascii="Courier New" w:cs="Courier New" w:eastAsia="Courier New" w:hAnsi="Courier New"/>
          <w:sz w:val="16"/>
          <w:szCs w:val="16"/>
          <w:color w:val="auto"/>
        </w:rPr>
        <w:t>If no box is marked above with respect to the Director Election Proposal, this Consent will be voted in favor of the election of all five Nominees, except that this Consent will not be voted in favor of the election of any Nominee whose name is written in the space provided.</w:t>
      </w:r>
    </w:p>
    <w:p>
      <w:pPr>
        <w:spacing w:after="0" w:line="186" w:lineRule="exact"/>
        <w:rPr>
          <w:sz w:val="20"/>
          <w:szCs w:val="20"/>
          <w:color w:val="auto"/>
        </w:rPr>
      </w:pPr>
    </w:p>
    <w:p>
      <w:pPr>
        <w:ind w:left="1665" w:hanging="1665"/>
        <w:spacing w:after="0"/>
        <w:tabs>
          <w:tab w:leader="none" w:pos="166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Size  Proposal:  Amend Section 4.1 of the By-Laws of the</w:t>
      </w:r>
    </w:p>
    <w:p>
      <w:pPr>
        <w:spacing w:after="0" w:line="16" w:lineRule="exact"/>
        <w:rPr>
          <w:rFonts w:ascii="Courier New" w:cs="Courier New" w:eastAsia="Courier New" w:hAnsi="Courier New"/>
          <w:sz w:val="14"/>
          <w:szCs w:val="14"/>
          <w:color w:val="auto"/>
        </w:rPr>
      </w:pPr>
    </w:p>
    <w:p>
      <w:pPr>
        <w:ind w:left="16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both"/>
        <w:ind w:left="1665"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Company (the "By-Laws") to set the number of directors on the Board of Directors at six, pursuant to the resolution set forth in the Consent Statement.</w:t>
      </w:r>
    </w:p>
    <w:p>
      <w:pPr>
        <w:spacing w:after="0" w:line="177" w:lineRule="exact"/>
        <w:rPr>
          <w:sz w:val="20"/>
          <w:szCs w:val="20"/>
          <w:color w:val="auto"/>
        </w:rPr>
      </w:pPr>
    </w:p>
    <w:p>
      <w:pPr>
        <w:ind w:left="1665"/>
        <w:spacing w:after="0"/>
        <w:tabs>
          <w:tab w:leader="none" w:pos="3244" w:val="left"/>
          <w:tab w:leader="none" w:pos="5924" w:val="left"/>
        </w:tabs>
        <w:rPr>
          <w:sz w:val="20"/>
          <w:szCs w:val="20"/>
          <w:color w:val="auto"/>
        </w:rPr>
      </w:pPr>
      <w:r>
        <w:rPr>
          <w:rFonts w:ascii="Courier New" w:cs="Courier New" w:eastAsia="Courier New" w:hAnsi="Courier New"/>
          <w:sz w:val="16"/>
          <w:szCs w:val="16"/>
          <w:color w:val="auto"/>
        </w:rPr>
        <w:t>_ CONSENT</w:t>
      </w:r>
      <w:r>
        <w:rPr>
          <w:sz w:val="20"/>
          <w:szCs w:val="20"/>
          <w:color w:val="auto"/>
        </w:rPr>
        <w:tab/>
      </w:r>
      <w:r>
        <w:rPr>
          <w:rFonts w:ascii="Courier New" w:cs="Courier New" w:eastAsia="Courier New" w:hAnsi="Courier New"/>
          <w:sz w:val="16"/>
          <w:szCs w:val="16"/>
          <w:color w:val="auto"/>
        </w:rPr>
        <w:t>_ WITHHOLD CONSENT</w:t>
      </w:r>
      <w:r>
        <w:rPr>
          <w:sz w:val="20"/>
          <w:szCs w:val="20"/>
          <w:color w:val="auto"/>
        </w:rPr>
        <w:tab/>
      </w:r>
      <w:r>
        <w:rPr>
          <w:rFonts w:ascii="Courier New" w:cs="Courier New" w:eastAsia="Courier New" w:hAnsi="Courier New"/>
          <w:sz w:val="14"/>
          <w:szCs w:val="14"/>
          <w:color w:val="auto"/>
        </w:rPr>
        <w:t>_ ABSTAIN</w:t>
      </w:r>
    </w:p>
    <w:p>
      <w:pPr>
        <w:spacing w:after="0" w:line="183" w:lineRule="exact"/>
        <w:rPr>
          <w:sz w:val="20"/>
          <w:szCs w:val="20"/>
          <w:color w:val="auto"/>
        </w:rPr>
      </w:pPr>
    </w:p>
    <w:p>
      <w:pPr>
        <w:jc w:val="both"/>
        <w:ind w:left="1665" w:right="2779"/>
        <w:spacing w:after="0" w:line="235" w:lineRule="auto"/>
        <w:rPr>
          <w:sz w:val="20"/>
          <w:szCs w:val="20"/>
          <w:color w:val="auto"/>
        </w:rPr>
      </w:pPr>
      <w:r>
        <w:rPr>
          <w:rFonts w:ascii="Courier New" w:cs="Courier New" w:eastAsia="Courier New" w:hAnsi="Courier New"/>
          <w:sz w:val="16"/>
          <w:szCs w:val="16"/>
          <w:color w:val="auto"/>
        </w:rPr>
        <w:t>If no box is marked with respect to the Board Size Proposal, this Consent will be voted in favor of the amendment of the By-Laws as set forth above.</w:t>
      </w:r>
    </w:p>
    <w:p>
      <w:pPr>
        <w:spacing w:after="0" w:line="183" w:lineRule="exact"/>
        <w:rPr>
          <w:sz w:val="20"/>
          <w:szCs w:val="20"/>
          <w:color w:val="auto"/>
        </w:rPr>
      </w:pPr>
    </w:p>
    <w:p>
      <w:pPr>
        <w:ind w:left="1665" w:hanging="1665"/>
        <w:spacing w:after="0"/>
        <w:tabs>
          <w:tab w:leader="none" w:pos="166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Advanced Notification  Clarification  Proposal:  Amend Section</w:t>
      </w:r>
    </w:p>
    <w:p>
      <w:pPr>
        <w:spacing w:after="0" w:line="16" w:lineRule="exact"/>
        <w:rPr>
          <w:rFonts w:ascii="Courier New" w:cs="Courier New" w:eastAsia="Courier New" w:hAnsi="Courier New"/>
          <w:sz w:val="14"/>
          <w:szCs w:val="14"/>
          <w:color w:val="auto"/>
        </w:rPr>
      </w:pPr>
    </w:p>
    <w:p>
      <w:pPr>
        <w:ind w:left="16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4"/>
          <w:szCs w:val="14"/>
          <w:color w:val="auto"/>
        </w:rPr>
      </w:pPr>
    </w:p>
    <w:p>
      <w:pPr>
        <w:jc w:val="both"/>
        <w:ind w:left="1665"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4.16 of the ByLaws to clarify that a stockholder seeking to nominate candidates for election to the Board of Directors pursuant to a stockholder action by written consent need not comply with the advance notification provisions of the By-Laws applicable to the nomination of candidates in connection with meetings of the stockholders, pursuant to the resolution set forth in the Consent Statement.</w:t>
      </w:r>
    </w:p>
    <w:p>
      <w:pPr>
        <w:spacing w:after="0" w:line="177" w:lineRule="exact"/>
        <w:rPr>
          <w:sz w:val="20"/>
          <w:szCs w:val="20"/>
          <w:color w:val="auto"/>
        </w:rPr>
      </w:pPr>
    </w:p>
    <w:p>
      <w:pPr>
        <w:ind w:left="1665"/>
        <w:spacing w:after="0"/>
        <w:tabs>
          <w:tab w:leader="none" w:pos="3244" w:val="left"/>
          <w:tab w:leader="none" w:pos="5924" w:val="left"/>
        </w:tabs>
        <w:rPr>
          <w:sz w:val="20"/>
          <w:szCs w:val="20"/>
          <w:color w:val="auto"/>
        </w:rPr>
      </w:pPr>
      <w:r>
        <w:rPr>
          <w:rFonts w:ascii="Courier New" w:cs="Courier New" w:eastAsia="Courier New" w:hAnsi="Courier New"/>
          <w:sz w:val="16"/>
          <w:szCs w:val="16"/>
          <w:color w:val="auto"/>
        </w:rPr>
        <w:t>_ CONSENT</w:t>
      </w:r>
      <w:r>
        <w:rPr>
          <w:sz w:val="20"/>
          <w:szCs w:val="20"/>
          <w:color w:val="auto"/>
        </w:rPr>
        <w:tab/>
      </w:r>
      <w:r>
        <w:rPr>
          <w:rFonts w:ascii="Courier New" w:cs="Courier New" w:eastAsia="Courier New" w:hAnsi="Courier New"/>
          <w:sz w:val="16"/>
          <w:szCs w:val="16"/>
          <w:color w:val="auto"/>
        </w:rPr>
        <w:t>_ WITHHOLD CONSENT</w:t>
      </w:r>
      <w:r>
        <w:rPr>
          <w:sz w:val="20"/>
          <w:szCs w:val="20"/>
          <w:color w:val="auto"/>
        </w:rPr>
        <w:tab/>
      </w:r>
      <w:r>
        <w:rPr>
          <w:rFonts w:ascii="Courier New" w:cs="Courier New" w:eastAsia="Courier New" w:hAnsi="Courier New"/>
          <w:sz w:val="14"/>
          <w:szCs w:val="14"/>
          <w:color w:val="auto"/>
        </w:rPr>
        <w:t>_ ABSTAIN</w:t>
      </w:r>
    </w:p>
    <w:p>
      <w:pPr>
        <w:spacing w:after="0" w:line="183" w:lineRule="exact"/>
        <w:rPr>
          <w:sz w:val="20"/>
          <w:szCs w:val="20"/>
          <w:color w:val="auto"/>
        </w:rPr>
      </w:pPr>
    </w:p>
    <w:p>
      <w:pPr>
        <w:jc w:val="both"/>
        <w:ind w:left="1665" w:right="2779"/>
        <w:spacing w:after="0" w:line="235" w:lineRule="auto"/>
        <w:rPr>
          <w:sz w:val="20"/>
          <w:szCs w:val="20"/>
          <w:color w:val="auto"/>
        </w:rPr>
      </w:pPr>
      <w:r>
        <w:rPr>
          <w:rFonts w:ascii="Courier New" w:cs="Courier New" w:eastAsia="Courier New" w:hAnsi="Courier New"/>
          <w:sz w:val="16"/>
          <w:szCs w:val="16"/>
          <w:color w:val="auto"/>
        </w:rPr>
        <w:t>If no box is marked with respect to Advance Notification Clarification Proposal, this Consent will be voted in favor of the amendment of the ByLaws as set forth above.</w:t>
      </w:r>
    </w:p>
    <w:p>
      <w:pPr>
        <w:spacing w:after="0" w:line="183" w:lineRule="exact"/>
        <w:rPr>
          <w:sz w:val="20"/>
          <w:szCs w:val="20"/>
          <w:color w:val="auto"/>
        </w:rPr>
      </w:pPr>
    </w:p>
    <w:p>
      <w:pPr>
        <w:jc w:val="both"/>
        <w:ind w:left="1665" w:right="2779" w:hanging="1665"/>
        <w:spacing w:after="0" w:line="235" w:lineRule="auto"/>
        <w:tabs>
          <w:tab w:leader="none" w:pos="16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 Proposal: Repeal any By-Laws adopted by the Board of Directors subsequent to December 11, 1995 (other than the By-Laws adopted by this Consent) and prior to the effectiveness of all of the foregoing Proposals, pursuant to the resolution set forth in the Consent Statement.</w:t>
      </w:r>
    </w:p>
    <w:p>
      <w:pPr>
        <w:spacing w:after="0" w:line="180" w:lineRule="exact"/>
        <w:rPr>
          <w:sz w:val="20"/>
          <w:szCs w:val="20"/>
          <w:color w:val="auto"/>
        </w:rPr>
      </w:pPr>
    </w:p>
    <w:p>
      <w:pPr>
        <w:ind w:left="1665"/>
        <w:spacing w:after="0"/>
        <w:tabs>
          <w:tab w:leader="none" w:pos="3244" w:val="left"/>
          <w:tab w:leader="none" w:pos="5924" w:val="left"/>
        </w:tabs>
        <w:rPr>
          <w:sz w:val="20"/>
          <w:szCs w:val="20"/>
          <w:color w:val="auto"/>
        </w:rPr>
      </w:pPr>
      <w:r>
        <w:rPr>
          <w:rFonts w:ascii="Courier New" w:cs="Courier New" w:eastAsia="Courier New" w:hAnsi="Courier New"/>
          <w:sz w:val="16"/>
          <w:szCs w:val="16"/>
          <w:color w:val="auto"/>
        </w:rPr>
        <w:t>_ CONSENT</w:t>
      </w:r>
      <w:r>
        <w:rPr>
          <w:sz w:val="20"/>
          <w:szCs w:val="20"/>
          <w:color w:val="auto"/>
        </w:rPr>
        <w:tab/>
      </w:r>
      <w:r>
        <w:rPr>
          <w:rFonts w:ascii="Courier New" w:cs="Courier New" w:eastAsia="Courier New" w:hAnsi="Courier New"/>
          <w:sz w:val="16"/>
          <w:szCs w:val="16"/>
          <w:color w:val="auto"/>
        </w:rPr>
        <w:t>_ WITHHOLD CONSENT</w:t>
      </w:r>
      <w:r>
        <w:rPr>
          <w:sz w:val="20"/>
          <w:szCs w:val="20"/>
          <w:color w:val="auto"/>
        </w:rPr>
        <w:tab/>
      </w:r>
      <w:r>
        <w:rPr>
          <w:rFonts w:ascii="Courier New" w:cs="Courier New" w:eastAsia="Courier New" w:hAnsi="Courier New"/>
          <w:sz w:val="14"/>
          <w:szCs w:val="14"/>
          <w:color w:val="auto"/>
        </w:rPr>
        <w:t>_ ABSTAIN</w:t>
      </w:r>
    </w:p>
    <w:p>
      <w:pPr>
        <w:spacing w:after="0" w:line="183" w:lineRule="exact"/>
        <w:rPr>
          <w:sz w:val="20"/>
          <w:szCs w:val="20"/>
          <w:color w:val="auto"/>
        </w:rPr>
      </w:pPr>
    </w:p>
    <w:p>
      <w:pPr>
        <w:jc w:val="both"/>
        <w:ind w:left="1665" w:right="2779"/>
        <w:spacing w:after="0" w:line="235" w:lineRule="auto"/>
        <w:rPr>
          <w:sz w:val="20"/>
          <w:szCs w:val="20"/>
          <w:color w:val="auto"/>
        </w:rPr>
      </w:pPr>
      <w:r>
        <w:rPr>
          <w:rFonts w:ascii="Courier New" w:cs="Courier New" w:eastAsia="Courier New" w:hAnsi="Courier New"/>
          <w:sz w:val="16"/>
          <w:szCs w:val="16"/>
          <w:color w:val="auto"/>
        </w:rPr>
        <w:t>If no box is marked with respect to the By-Law Proposal, this Consent will be voted in favor of the repeal of any By-Laws adopted since December 11, 1995 as set forth above.</w:t>
      </w:r>
    </w:p>
    <w:p>
      <w:pPr>
        <w:spacing w:after="0" w:line="177" w:lineRule="exact"/>
        <w:rPr>
          <w:sz w:val="20"/>
          <w:szCs w:val="20"/>
          <w:color w:val="auto"/>
        </w:rPr>
      </w:pPr>
    </w:p>
    <w:p>
      <w:pPr>
        <w:ind w:left="4645"/>
        <w:spacing w:after="0"/>
        <w:rPr>
          <w:sz w:val="20"/>
          <w:szCs w:val="20"/>
          <w:color w:val="auto"/>
        </w:rPr>
      </w:pPr>
      <w:r>
        <w:rPr>
          <w:rFonts w:ascii="Courier New" w:cs="Courier New" w:eastAsia="Courier New" w:hAnsi="Courier New"/>
          <w:sz w:val="16"/>
          <w:szCs w:val="16"/>
          <w:color w:val="auto"/>
        </w:rPr>
        <w:t>PLEASE ACT PROMPTLY.</w:t>
      </w:r>
    </w:p>
    <w:p>
      <w:pPr>
        <w:ind w:left="1865"/>
        <w:spacing w:after="0" w:line="236" w:lineRule="auto"/>
        <w:tabs>
          <w:tab w:leader="none" w:pos="4624" w:val="left"/>
        </w:tabs>
        <w:rPr>
          <w:sz w:val="20"/>
          <w:szCs w:val="20"/>
          <w:color w:val="auto"/>
        </w:rPr>
      </w:pPr>
      <w:r>
        <w:rPr>
          <w:rFonts w:ascii="Courier New" w:cs="Courier New" w:eastAsia="Courier New" w:hAnsi="Courier New"/>
          <w:sz w:val="16"/>
          <w:szCs w:val="16"/>
          <w:color w:val="auto"/>
        </w:rPr>
        <w:t>IMPORTANT:</w:t>
      </w:r>
      <w:r>
        <w:rPr>
          <w:sz w:val="20"/>
          <w:szCs w:val="20"/>
          <w:color w:val="auto"/>
        </w:rPr>
        <w:tab/>
      </w:r>
      <w:r>
        <w:rPr>
          <w:rFonts w:ascii="Courier New" w:cs="Courier New" w:eastAsia="Courier New" w:hAnsi="Courier New"/>
          <w:sz w:val="16"/>
          <w:szCs w:val="16"/>
          <w:color w:val="auto"/>
        </w:rPr>
        <w:t>THIS CONSENT MUST BE SIGNED</w:t>
      </w:r>
    </w:p>
    <w:p>
      <w:pPr>
        <w:ind w:left="4645"/>
        <w:spacing w:after="0" w:line="237" w:lineRule="auto"/>
        <w:rPr>
          <w:sz w:val="20"/>
          <w:szCs w:val="20"/>
          <w:color w:val="auto"/>
        </w:rPr>
      </w:pPr>
      <w:r>
        <w:rPr>
          <w:rFonts w:ascii="Courier New" w:cs="Courier New" w:eastAsia="Courier New" w:hAnsi="Courier New"/>
          <w:sz w:val="16"/>
          <w:szCs w:val="16"/>
          <w:color w:val="auto"/>
        </w:rPr>
        <w:t>AND DATED TO BE VALID.</w:t>
      </w:r>
    </w:p>
    <w:p>
      <w:pPr>
        <w:sectPr>
          <w:pgSz w:w="11900" w:h="16838" w:orient="portrait"/>
          <w:cols w:equalWidth="0" w:num="1">
            <w:col w:w="10224"/>
          </w:cols>
          <w:pgMar w:left="235" w:top="1370" w:right="1440" w:bottom="1440" w:gutter="0" w:footer="0" w:header="0"/>
        </w:sectPr>
      </w:pPr>
    </w:p>
    <w:bookmarkStart w:id="26" w:name="page27"/>
    <w:bookmarkEnd w:id="26"/>
    <w:p>
      <w:pPr>
        <w:ind w:left="1120"/>
        <w:spacing w:after="0"/>
        <w:rPr>
          <w:sz w:val="20"/>
          <w:szCs w:val="20"/>
          <w:color w:val="auto"/>
        </w:rPr>
      </w:pPr>
      <w:r>
        <w:rPr>
          <w:rFonts w:ascii="Courier New" w:cs="Courier New" w:eastAsia="Courier New" w:hAnsi="Courier New"/>
          <w:sz w:val="16"/>
          <w:szCs w:val="16"/>
          <w:color w:val="auto"/>
        </w:rPr>
        <w:t>Dated:</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Signature:</w:t>
      </w:r>
    </w:p>
    <w:p>
      <w:pPr>
        <w:spacing w:after="0" w:line="177" w:lineRule="exact"/>
        <w:rPr>
          <w:sz w:val="20"/>
          <w:szCs w:val="20"/>
          <w:color w:val="auto"/>
        </w:rPr>
      </w:pPr>
    </w:p>
    <w:p>
      <w:pPr>
        <w:jc w:val="right"/>
        <w:ind w:right="8559"/>
        <w:spacing w:after="0"/>
        <w:rPr>
          <w:sz w:val="20"/>
          <w:szCs w:val="20"/>
          <w:color w:val="auto"/>
        </w:rPr>
      </w:pPr>
      <w:r>
        <w:rPr>
          <w:rFonts w:ascii="Courier New" w:cs="Courier New" w:eastAsia="Courier New" w:hAnsi="Courier New"/>
          <w:sz w:val="16"/>
          <w:szCs w:val="16"/>
          <w:color w:val="auto"/>
        </w:rPr>
        <w:t>Signature</w:t>
      </w:r>
    </w:p>
    <w:p>
      <w:pPr>
        <w:spacing w:after="0" w:line="4" w:lineRule="exact"/>
        <w:rPr>
          <w:sz w:val="20"/>
          <w:szCs w:val="20"/>
          <w:color w:val="auto"/>
        </w:rPr>
      </w:pPr>
    </w:p>
    <w:p>
      <w:pPr>
        <w:jc w:val="right"/>
        <w:ind w:right="8559"/>
        <w:spacing w:after="0"/>
        <w:rPr>
          <w:sz w:val="20"/>
          <w:szCs w:val="20"/>
          <w:color w:val="auto"/>
        </w:rPr>
      </w:pPr>
      <w:r>
        <w:rPr>
          <w:rFonts w:ascii="Courier New" w:cs="Courier New" w:eastAsia="Courier New" w:hAnsi="Courier New"/>
          <w:sz w:val="14"/>
          <w:szCs w:val="14"/>
          <w:color w:val="auto"/>
        </w:rPr>
        <w:t>(if held jointly):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or Authority</w:t>
      </w:r>
    </w:p>
    <w:p>
      <w:pPr>
        <w:ind w:left="180"/>
        <w:spacing w:after="0"/>
        <w:tabs>
          <w:tab w:leader="none" w:pos="1840" w:val="left"/>
        </w:tabs>
        <w:rPr>
          <w:sz w:val="20"/>
          <w:szCs w:val="20"/>
          <w:color w:val="auto"/>
        </w:rPr>
      </w:pPr>
      <w:r>
        <w:rPr>
          <w:rFonts w:ascii="Courier New" w:cs="Courier New" w:eastAsia="Courier New" w:hAnsi="Courier New"/>
          <w:sz w:val="16"/>
          <w:szCs w:val="16"/>
          <w:color w:val="auto"/>
        </w:rPr>
        <w:t>(if applicable):</w:t>
      </w:r>
      <w:r>
        <w:rPr>
          <w:sz w:val="20"/>
          <w:szCs w:val="20"/>
          <w:color w:val="auto"/>
        </w:rPr>
        <w:tab/>
      </w:r>
      <w:r>
        <w:rPr>
          <w:rFonts w:ascii="Courier New" w:cs="Courier New" w:eastAsia="Courier New" w:hAnsi="Courier New"/>
          <w:sz w:val="14"/>
          <w:szCs w:val="14"/>
          <w:color w:val="auto"/>
        </w:rPr>
        <w:t>_____________________________</w:t>
      </w:r>
    </w:p>
    <w:p>
      <w:pPr>
        <w:spacing w:after="0" w:line="183" w:lineRule="exact"/>
        <w:rPr>
          <w:sz w:val="20"/>
          <w:szCs w:val="20"/>
          <w:color w:val="auto"/>
        </w:rPr>
      </w:pPr>
    </w:p>
    <w:p>
      <w:pPr>
        <w:jc w:val="both"/>
        <w:ind w:left="1300" w:right="2779"/>
        <w:spacing w:after="0" w:line="236" w:lineRule="auto"/>
        <w:rPr>
          <w:sz w:val="20"/>
          <w:szCs w:val="20"/>
          <w:color w:val="auto"/>
        </w:rPr>
      </w:pPr>
      <w:r>
        <w:rPr>
          <w:rFonts w:ascii="Courier New" w:cs="Courier New" w:eastAsia="Courier New" w:hAnsi="Courier New"/>
          <w:sz w:val="16"/>
          <w:szCs w:val="16"/>
          <w:color w:val="auto"/>
        </w:rPr>
        <w:t>Please sign exactly as name appears hereon. If shares are registered in more than one name, the signature of all such persons should be provided. A corporation should sign in its full corporate name by a duly authorized officer, stating his or her title. Trustees, guardians, executors and administrators should sign in their official capacity, giving their full title as such. If a partnership, please sign in the partnership name by authorized persons. The consent card votes all shares in all capacities.</w:t>
      </w:r>
    </w:p>
    <w:p>
      <w:pPr>
        <w:spacing w:after="0" w:line="200" w:lineRule="exact"/>
        <w:rPr>
          <w:sz w:val="20"/>
          <w:szCs w:val="20"/>
          <w:color w:val="auto"/>
        </w:rPr>
      </w:pPr>
    </w:p>
    <w:p>
      <w:pPr>
        <w:spacing w:after="0" w:line="33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PLEASE MARK, SIGN AND DATE THIS CONSENT BEFORE MAILING THE</w:t>
      </w:r>
    </w:p>
    <w:p>
      <w:pPr>
        <w:jc w:val="center"/>
        <w:ind w:right="2699"/>
        <w:spacing w:after="0" w:line="236" w:lineRule="auto"/>
        <w:rPr>
          <w:sz w:val="20"/>
          <w:szCs w:val="20"/>
          <w:color w:val="auto"/>
        </w:rPr>
      </w:pPr>
      <w:r>
        <w:rPr>
          <w:rFonts w:ascii="Courier New" w:cs="Courier New" w:eastAsia="Courier New" w:hAnsi="Courier New"/>
          <w:sz w:val="16"/>
          <w:szCs w:val="16"/>
          <w:color w:val="auto"/>
        </w:rPr>
        <w:t>CONSENT IN THE ENCLOSED ENVELOPE.</w:t>
      </w:r>
    </w:p>
    <w:sectPr>
      <w:pgSz w:w="11900" w:h="16838" w:orient="portrait"/>
      <w:cols w:equalWidth="0" w:num="1">
        <w:col w:w="10219"/>
      </w:cols>
      <w:pgMar w:left="240" w:top="11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2)"/>
      <w:numFmt w:val="decimal"/>
      <w:start w:val="1"/>
    </w:lvl>
  </w:abstractNum>
  <w:abstractNum w:abstractNumId="3">
    <w:nsid w:val="3352255A"/>
    <w:multiLevelType w:val="hybridMultilevel"/>
    <w:lvl w:ilvl="0">
      <w:lvlJc w:val="left"/>
      <w:lvlText w:val="\{"/>
      <w:numFmt w:val="bullet"/>
      <w:start w:val="1"/>
    </w:lvl>
    <w:lvl w:ilvl="1">
      <w:lvlJc w:val="left"/>
      <w:lvlText w:val="%2)"/>
      <w:numFmt w:val="decimal"/>
      <w:start w:val="4"/>
    </w:lvl>
  </w:abstractNum>
  <w:abstractNum w:abstractNumId="4">
    <w:nsid w:val="109CF92E"/>
    <w:multiLevelType w:val="hybridMultilevel"/>
    <w:lvl w:ilvl="0">
      <w:lvlJc w:val="left"/>
      <w:lvlText w:val="\{"/>
      <w:numFmt w:val="bullet"/>
      <w:start w:val="1"/>
    </w:lvl>
    <w:lvl w:ilvl="1">
      <w:lvlJc w:val="left"/>
      <w:lvlText w:val="%2)"/>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1."/>
      <w:numFmt w:val="decimal"/>
      <w:start w:val="3"/>
    </w:lvl>
  </w:abstractNum>
  <w:abstractNum w:abstractNumId="11">
    <w:nsid w:val="25E45D32"/>
    <w:multiLevelType w:val="hybridMultilevel"/>
    <w:lvl w:ilvl="0">
      <w:lvlJc w:val="left"/>
      <w:lvlText w:val="%1."/>
      <w:numFmt w:val="decimal"/>
      <w:start w:val="4"/>
    </w:lvl>
  </w:abstractNum>
  <w:abstractNum w:abstractNumId="12">
    <w:nsid w:val="519B500D"/>
    <w:multiLevelType w:val="hybridMultilevel"/>
    <w:lvl w:ilvl="0">
      <w:lvlJc w:val="left"/>
      <w:lvlText w:val="%1."/>
      <w:numFmt w:val="decimal"/>
      <w:start w:val="5"/>
    </w:lvl>
  </w:abstractNum>
  <w:abstractNum w:abstractNumId="13">
    <w:nsid w:val="431BD7B7"/>
    <w:multiLevelType w:val="hybridMultilevel"/>
    <w:lvl w:ilvl="0">
      <w:lvlJc w:val="left"/>
      <w:lvlText w:val="(%1)"/>
      <w:numFmt w:val="lowerRoman"/>
      <w:start w:val="7"/>
    </w:lvl>
  </w:abstractNum>
  <w:abstractNum w:abstractNumId="14">
    <w:nsid w:val="3F2DBA31"/>
    <w:multiLevelType w:val="hybridMultilevel"/>
    <w:lvl w:ilvl="0">
      <w:lvlJc w:val="left"/>
      <w:lvlText w:val="(%1)"/>
      <w:numFmt w:val="lowerRoman"/>
      <w:start w:val="2"/>
    </w:lvl>
  </w:abstractNum>
  <w:abstractNum w:abstractNumId="15">
    <w:nsid w:val="7C83E458"/>
    <w:multiLevelType w:val="hybridMultilevel"/>
    <w:lvl w:ilvl="0">
      <w:lvlJc w:val="left"/>
      <w:lvlText w:val="*"/>
      <w:numFmt w:val="bullet"/>
      <w:start w:val="1"/>
    </w:lvl>
    <w:lvl w:ilvl="1">
      <w:lvlJc w:val="left"/>
      <w:lvlText w:val="(%2)"/>
      <w:numFmt w:val="decimal"/>
      <w:start w:val="1"/>
    </w:lvl>
  </w:abstractNum>
  <w:abstractNum w:abstractNumId="16">
    <w:nsid w:val="257130A3"/>
    <w:multiLevelType w:val="hybridMultilevel"/>
    <w:lvl w:ilvl="0">
      <w:lvlJc w:val="left"/>
      <w:lvlText w:val="(%1)"/>
      <w:numFmt w:val="decimal"/>
      <w:start w:val="4"/>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2"/>
    </w:lvl>
  </w:abstractNum>
  <w:abstractNum w:abstractNumId="19">
    <w:nsid w:val="628C895D"/>
    <w:multiLevelType w:val="hybridMultilevel"/>
    <w:lvl w:ilvl="0">
      <w:lvlJc w:val="left"/>
      <w:lvlText w:val="%1."/>
      <w:numFmt w:val="decimal"/>
      <w:start w:val="3"/>
    </w:lvl>
  </w:abstractNum>
  <w:abstractNum w:abstractNumId="20">
    <w:nsid w:val="333AB105"/>
    <w:multiLevelType w:val="hybridMultilevel"/>
    <w:lvl w:ilvl="0">
      <w:lvlJc w:val="left"/>
      <w:lvlText w:val="%1."/>
      <w:numFmt w:val="decimal"/>
      <w:start w:val="4"/>
    </w:lvl>
  </w:abstractNum>
  <w:abstractNum w:abstractNumId="21">
    <w:nsid w:val="721DA31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2019-12-20T00:52:08Z</dcterms:created>
  <dcterms:modified xsi:type="dcterms:W3CDTF">2019-12-20T00:52:08Z</dcterms:modified>
</cp:coreProperties>
</file>