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94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9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700" w:type="dxa"/>
            <w:vAlign w:val="bottom"/>
          </w:tcPr>
          <w:p>
            <w:pPr>
              <w:jc w:val="center"/>
              <w:ind w:left="3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261"/>
              <w:spacing w:after="0"/>
              <w:rPr>
                <w:sz w:val="20"/>
                <w:szCs w:val="20"/>
                <w:color w:val="auto"/>
              </w:rPr>
            </w:pPr>
            <w:r>
              <w:rPr>
                <w:rFonts w:ascii="Arial" w:cs="Arial" w:eastAsia="Arial" w:hAnsi="Arial"/>
                <w:sz w:val="14"/>
                <w:szCs w:val="14"/>
                <w:b w:val="1"/>
                <w:bCs w:val="1"/>
                <w:color w:val="auto"/>
                <w:w w:val="94"/>
              </w:rPr>
              <w:t>incorporation or organization)</w:t>
            </w:r>
          </w:p>
        </w:tc>
        <w:tc>
          <w:tcPr>
            <w:tcW w:w="4700" w:type="dxa"/>
            <w:vAlign w:val="bottom"/>
          </w:tcPr>
          <w:p>
            <w:pPr>
              <w:jc w:val="center"/>
              <w:ind w:left="350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2940" w:type="dxa"/>
            <w:vAlign w:val="bottom"/>
          </w:tcPr>
          <w:p>
            <w:pPr>
              <w:jc w:val="center"/>
              <w:ind w:right="281"/>
              <w:spacing w:after="0"/>
              <w:rPr>
                <w:sz w:val="20"/>
                <w:szCs w:val="20"/>
                <w:color w:val="auto"/>
              </w:rPr>
            </w:pPr>
            <w:r>
              <w:rPr>
                <w:rFonts w:ascii="Arial" w:cs="Arial" w:eastAsia="Arial" w:hAnsi="Arial"/>
                <w:sz w:val="18"/>
                <w:szCs w:val="18"/>
                <w:b w:val="1"/>
                <w:bCs w:val="1"/>
                <w:color w:val="auto"/>
                <w:w w:val="93"/>
              </w:rPr>
              <w:t>555 Turnpike Street, Canton, MA</w:t>
            </w:r>
          </w:p>
        </w:tc>
        <w:tc>
          <w:tcPr>
            <w:tcW w:w="47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2940" w:type="dxa"/>
            <w:vAlign w:val="bottom"/>
          </w:tcPr>
          <w:p>
            <w:pPr>
              <w:jc w:val="center"/>
              <w:ind w:right="2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00" w:type="dxa"/>
            <w:vAlign w:val="bottom"/>
          </w:tcPr>
          <w:p>
            <w:pPr>
              <w:jc w:val="center"/>
              <w:ind w:left="35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940" w:type="dxa"/>
            <w:vAlign w:val="bottom"/>
          </w:tcPr>
          <w:p>
            <w:pPr>
              <w:spacing w:after="0"/>
              <w:rPr>
                <w:sz w:val="24"/>
                <w:szCs w:val="24"/>
                <w:color w:val="auto"/>
              </w:rPr>
            </w:pPr>
          </w:p>
        </w:tc>
        <w:tc>
          <w:tcPr>
            <w:tcW w:w="4700" w:type="dxa"/>
            <w:vAlign w:val="bottom"/>
          </w:tcPr>
          <w:p>
            <w:pPr>
              <w:jc w:val="center"/>
              <w:ind w:right="2101"/>
              <w:spacing w:after="0"/>
              <w:rPr>
                <w:sz w:val="20"/>
                <w:szCs w:val="20"/>
                <w:color w:val="auto"/>
              </w:rPr>
            </w:pPr>
            <w:r>
              <w:rPr>
                <w:rFonts w:ascii="Arial" w:cs="Arial" w:eastAsia="Arial" w:hAnsi="Arial"/>
                <w:sz w:val="18"/>
                <w:szCs w:val="18"/>
                <w:b w:val="1"/>
                <w:bCs w:val="1"/>
                <w:color w:val="auto"/>
                <w:w w:val="90"/>
              </w:rPr>
              <w:t>(781) 828-9300</w:t>
            </w:r>
          </w:p>
        </w:tc>
      </w:tr>
      <w:tr>
        <w:trPr>
          <w:trHeight w:val="149"/>
        </w:trPr>
        <w:tc>
          <w:tcPr>
            <w:tcW w:w="2940" w:type="dxa"/>
            <w:vAlign w:val="bottom"/>
          </w:tcPr>
          <w:p>
            <w:pPr>
              <w:spacing w:after="0"/>
              <w:rPr>
                <w:sz w:val="12"/>
                <w:szCs w:val="12"/>
                <w:color w:val="auto"/>
              </w:rPr>
            </w:pPr>
          </w:p>
        </w:tc>
        <w:tc>
          <w:tcPr>
            <w:tcW w:w="4700" w:type="dxa"/>
            <w:vAlign w:val="bottom"/>
          </w:tcPr>
          <w:p>
            <w:pPr>
              <w:jc w:val="center"/>
              <w:ind w:right="2121"/>
              <w:spacing w:after="0" w:line="149" w:lineRule="exact"/>
              <w:rPr>
                <w:sz w:val="20"/>
                <w:szCs w:val="20"/>
                <w:color w:val="auto"/>
              </w:rPr>
            </w:pPr>
            <w:r>
              <w:rPr>
                <w:rFonts w:ascii="Arial" w:cs="Arial" w:eastAsia="Arial" w:hAnsi="Arial"/>
                <w:sz w:val="14"/>
                <w:szCs w:val="14"/>
                <w:b w:val="1"/>
                <w:bCs w:val="1"/>
                <w:color w:val="auto"/>
                <w:w w:val="91"/>
              </w:rPr>
              <w:t>(Registrant’s telephone</w:t>
            </w:r>
          </w:p>
        </w:tc>
      </w:tr>
      <w:tr>
        <w:trPr>
          <w:trHeight w:val="186"/>
        </w:trPr>
        <w:tc>
          <w:tcPr>
            <w:tcW w:w="2940" w:type="dxa"/>
            <w:vAlign w:val="bottom"/>
          </w:tcPr>
          <w:p>
            <w:pPr>
              <w:spacing w:after="0"/>
              <w:rPr>
                <w:sz w:val="16"/>
                <w:szCs w:val="16"/>
                <w:color w:val="auto"/>
              </w:rPr>
            </w:pPr>
          </w:p>
        </w:tc>
        <w:tc>
          <w:tcPr>
            <w:tcW w:w="4700" w:type="dxa"/>
            <w:vAlign w:val="bottom"/>
          </w:tcPr>
          <w:p>
            <w:pPr>
              <w:jc w:val="center"/>
              <w:ind w:right="2121"/>
              <w:spacing w:after="0"/>
              <w:rPr>
                <w:sz w:val="20"/>
                <w:szCs w:val="20"/>
                <w:color w:val="auto"/>
              </w:rPr>
            </w:pPr>
            <w:r>
              <w:rPr>
                <w:rFonts w:ascii="Arial" w:cs="Arial" w:eastAsia="Arial" w:hAnsi="Arial"/>
                <w:sz w:val="14"/>
                <w:szCs w:val="14"/>
                <w:b w:val="1"/>
                <w:bCs w:val="1"/>
                <w:color w:val="auto"/>
                <w:w w:val="91"/>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68"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820" w:space="720"/>
            <w:col w:w="4840" w:space="720"/>
            <w:col w:w="2340" w:space="720"/>
            <w:col w:w="260"/>
          </w:cols>
          <w:pgMar w:left="240" w:top="368"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20" w:space="720"/>
            <w:col w:w="160" w:space="80"/>
            <w:col w:w="4600" w:space="720"/>
            <w:col w:w="2340" w:space="720"/>
            <w:col w:w="260"/>
          </w:cols>
          <w:pgMar w:left="240" w:top="368"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60"/>
          </w:cols>
          <w:pgMar w:left="240" w:top="368"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13, 2016 was 50,843,797.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April 30,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Property and equipment, net of accumulated depreciation and amortization</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7,592</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w w:val="97"/>
              </w:rPr>
              <w:t>Preferred stock, $0.01 par value, 1,000,000 shares authorized, none issued</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$0.01 par value, 100,000,000 shares authorized, 61,709,568 and</w:t>
            </w:r>
          </w:p>
        </w:tc>
        <w:tc>
          <w:tcPr>
            <w:tcW w:w="19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w w:val="88"/>
              </w:rPr>
              <w:t>61,692,285 shares</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April 30, 2016 and January 30, 2016, respectively</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303,161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Treasury stock at cost, 10,877,439 shares at April 30, 2016 and January 30, 2016</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(87,977)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(120,097)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(120,311)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(6,394)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gridSpan w:val="7"/>
          </w:tcPr>
          <w:p>
            <w:pPr>
              <w:jc w:val="right"/>
              <w:ind w:right="158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April 30, 2016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2016)</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80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107,891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104,405</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3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56,166</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48,239</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41,469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47,991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tcPr>
          <w:p>
            <w:pPr>
              <w:jc w:val="right"/>
              <w:ind w:right="12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3"/>
                <w:szCs w:val="2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 per share - basic and diluted:</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280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800" w:type="dxa"/>
            <w:vAlign w:val="bottom"/>
            <w:gridSpan w:val="2"/>
          </w:tcPr>
          <w:p>
            <w:pPr>
              <w:jc w:val="right"/>
              <w:ind w:right="12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49,019</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49,019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3020" w:type="dxa"/>
            <w:vAlign w:val="bottom"/>
            <w:gridSpan w:val="4"/>
          </w:tcPr>
          <w:p>
            <w:pPr>
              <w:jc w:val="right"/>
              <w:ind w:right="419"/>
              <w:spacing w:after="0"/>
              <w:rPr>
                <w:sz w:val="20"/>
                <w:szCs w:val="20"/>
                <w:color w:val="auto"/>
              </w:rPr>
            </w:pPr>
            <w:r>
              <w:rPr>
                <w:rFonts w:ascii="Arial" w:cs="Arial" w:eastAsia="Arial" w:hAnsi="Arial"/>
                <w:sz w:val="14"/>
                <w:szCs w:val="14"/>
                <w:color w:val="auto"/>
              </w:rPr>
              <w:t>For the Three Months Ended</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April 30, 2016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May 2, 2015</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(Fiscal 2016)</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2015)</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FF0FC"/>
          </w:tcPr>
          <w:p>
            <w:pPr>
              <w:jc w:val="right"/>
              <w:ind w:right="106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214</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(574)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1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213</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Other comprehensive income (loss) before taxes</w:t>
            </w:r>
          </w:p>
        </w:tc>
        <w:tc>
          <w:tcPr>
            <w:tcW w:w="1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258</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related to items of other comprehensive income (loss)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258</w:t>
            </w:r>
          </w:p>
        </w:tc>
        <w:tc>
          <w:tcPr>
            <w:tcW w:w="2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240" w:type="dxa"/>
            <w:vAlign w:val="bottom"/>
            <w:tcBorders>
              <w:top w:val="single" w:sz="8" w:color="auto"/>
              <w:bottom w:val="single" w:sz="8" w:color="auto"/>
            </w:tcBorders>
            <w:shd w:val="clear" w:color="auto" w:fill="CFF0FC"/>
          </w:tcPr>
          <w:p>
            <w:pPr>
              <w:jc w:val="right"/>
              <w:ind w:right="106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Paid-in</w:t>
            </w:r>
          </w:p>
        </w:tc>
        <w:tc>
          <w:tcPr>
            <w:tcW w:w="1720" w:type="dxa"/>
            <w:vAlign w:val="bottom"/>
            <w:gridSpan w:val="4"/>
          </w:tcPr>
          <w:p>
            <w:pPr>
              <w:jc w:val="right"/>
              <w:ind w:right="4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Accumulated</w:t>
            </w: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Amounts</w:t>
            </w: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Capital</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Amounts</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Income (Loss)</w:t>
            </w:r>
          </w:p>
        </w:tc>
        <w:tc>
          <w:tcPr>
            <w:tcW w:w="7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30, 2016</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61,692</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617</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$ 302,727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 (87,977)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(120,311)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$ 88,404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w w:val="99"/>
              </w:rPr>
              <w:t>Unrecognized gain associated with pension plan</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30, 2016</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$ 303,161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(120,097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$ 89,310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5"/>
          </w:tcPr>
          <w:p>
            <w:pPr>
              <w:jc w:val="right"/>
              <w:ind w:right="102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color w:val="auto"/>
              </w:rPr>
              <w:t>April 30, 2016</w:t>
            </w:r>
          </w:p>
        </w:tc>
        <w:tc>
          <w:tcPr>
            <w:tcW w:w="2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2016)</w:t>
            </w:r>
          </w:p>
        </w:tc>
        <w:tc>
          <w:tcPr>
            <w:tcW w:w="24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used for operating activities: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(366)</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(774)</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(8,552)</w:t>
            </w: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(1,186)</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(2,228)</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(9,300)</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(7,851)</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operating activities</w:t>
            </w: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(4,963)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(6,132)</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(6,132)</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(1,949)</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Costs associated with debt issuances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borrowings under credit facility</w:t>
            </w:r>
          </w:p>
        </w:tc>
        <w:tc>
          <w:tcPr>
            <w:tcW w:w="1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13,727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11,778</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Beginning of period</w:t>
            </w:r>
          </w:p>
        </w:tc>
        <w:tc>
          <w:tcPr>
            <w:tcW w:w="1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5,853</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2016 included in the Company’s Annual Report on Form 10-K, which was filed with the Securities and Exchange Commission on March 18, 2016.</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2016 and fiscal 2015 are 52-week periods ending January 28, 2017 and January 30,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April 30, 2016, the “Casual Male” trademark had a carrying value of $0.8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three months ended April 30, 2016,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April 30, 2016, the fair value approximates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April 30, 2016 and May 2, 2015,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7"/>
              </w:rPr>
              <w:t>April 30, 2016</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5"/>
              </w:rPr>
              <w:t>May 2, 2015</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6"/>
          </w:tcPr>
          <w:p>
            <w:pPr>
              <w:jc w:val="right"/>
              <w:ind w:right="72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Pension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Pension</w:t>
            </w: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Plans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5"/>
              </w:rPr>
              <w:t>Currency</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Plans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5"/>
              </w:rPr>
              <w:t>Currency</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6"/>
                <w:szCs w:val="16"/>
                <w:color w:val="auto"/>
              </w:rPr>
              <w:t>Balance at beginning of the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(6,652)</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(7,795)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(443)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Arial" w:cs="Arial" w:eastAsia="Arial" w:hAnsi="Arial"/>
                <w:sz w:val="16"/>
                <w:szCs w:val="16"/>
                <w:color w:val="auto"/>
              </w:rPr>
              <w:t>Amounts reclassified from accumulated other</w:t>
            </w: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comprehensive income, net of taxes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6"/>
                <w:szCs w:val="16"/>
                <w:color w:val="auto"/>
              </w:rPr>
              <w:t>Balance at end of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(7,559)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(420)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312" w:lineRule="auto"/>
        <w:tabs>
          <w:tab w:leader="none" w:pos="10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$152,000 and $139,000 for the three months ended April 30, 2016 and May 2, 2015, respectively. There was no tax benefit for either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is currently analyzing the impact of the adoption of ASU No. 2014-09 on its Consolidated Financial Statements.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and should be applied prospectively with early adoption permitted at the beginning of an interim or annual reporting period. The Company is currently evaluating the impact this pronouncement will have on its Consolidated Financial Statements but does not expect that there will be any material impact on its Consolidated Financial Statements.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8"/>
          <w:szCs w:val="18"/>
          <w:color w:val="212121"/>
        </w:rPr>
        <w:t>In the financial statements in which the ASU is first applied, leases shall be measured and</w:t>
      </w:r>
      <w:r>
        <w:rPr>
          <w:rFonts w:ascii="Arial" w:cs="Arial" w:eastAsia="Arial" w:hAnsi="Arial"/>
          <w:sz w:val="18"/>
          <w:szCs w:val="18"/>
          <w:color w:val="auto"/>
        </w:rPr>
        <w:t xml:space="preserve"> </w:t>
      </w:r>
      <w:r>
        <w:rPr>
          <w:rFonts w:ascii="Arial" w:cs="Arial" w:eastAsia="Arial" w:hAnsi="Arial"/>
          <w:sz w:val="18"/>
          <w:szCs w:val="18"/>
          <w:color w:val="212121"/>
        </w:rPr>
        <w:t>recognized at the beginning of the earliest comparative period presented with an adjustment to equity. The Company is currently evaluating the impact this pronouncement will have its Consolidated Financial Statements.</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2016, the FASB issued ASU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awards, and classification on the statement of cash flows. The standard is effective for fiscal years beginning after December 15, 2016, including interim periods within those fiscal years. The Company does not expect that the adoption of this pronouncement will have a material impact on its </w:t>
      </w:r>
      <w:r>
        <w:rPr>
          <w:rFonts w:ascii="Arial" w:cs="Arial" w:eastAsia="Arial" w:hAnsi="Arial"/>
          <w:sz w:val="18"/>
          <w:szCs w:val="18"/>
          <w:color w:val="212121"/>
        </w:rPr>
        <w:t>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three months of fiscal 2016, have had or are expected to have a significant impact on the Company’s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 w:name="page10"/>
    <w:bookmarkEnd w:id="9"/>
    <w:p>
      <w:pPr>
        <w:ind w:right="40"/>
        <w:spacing w:after="0" w:line="270" w:lineRule="auto"/>
        <w:rPr>
          <w:sz w:val="20"/>
          <w:szCs w:val="20"/>
          <w:color w:val="auto"/>
        </w:rPr>
      </w:pPr>
      <w:r>
        <w:rPr>
          <w:rFonts w:ascii="Arial" w:cs="Arial" w:eastAsia="Arial" w:hAnsi="Arial"/>
          <w:sz w:val="17"/>
          <w:szCs w:val="17"/>
          <w:color w:val="auto"/>
        </w:rPr>
        <w:t>At April 30, 2016, the Company had outstanding borrowings under the Credit Facility of $56.2 million, before unamortized debt issuance costs of $0.4 million. Outstanding standby letters of credit were $2.5 million and outstanding documentary letters of credit were $0.5 million. Unused excess availability at April 30, 2016 was $55.0 million. Average monthly borrowings outstanding under the Credit Facility during the first three months of fiscal 2016 were $50.6 million, resulting in an average unused excess availability of approximately $61.0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April 30, 2016, the Company’s prime-based interest rate was 4.0%. At April 30, 2016, the Company had approximately $49.0 million of its outstanding borrowings in LIBOR-based contracts with an interest rate of 1.9%. The LIBOR-based contracts expired between May 2, 2016 and May 4, 2016.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April 30, 2016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60" w:type="dxa"/>
        <w:tblCellMar>
          <w:top w:w="0" w:type="dxa"/>
          <w:left w:w="0" w:type="dxa"/>
          <w:bottom w:w="0" w:type="dxa"/>
          <w:right w:w="0" w:type="dxa"/>
        </w:tblCellMar>
      </w:tblPr>
      <w:tr>
        <w:trPr>
          <w:trHeight w:val="167"/>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April 30, 2016</w:t>
            </w:r>
          </w:p>
        </w:tc>
        <w:tc>
          <w:tcPr>
            <w:tcW w:w="8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w w:val="96"/>
              </w:rPr>
              <w:t>January 30, 2016</w:t>
            </w:r>
          </w:p>
        </w:tc>
      </w:tr>
      <w:tr>
        <w:trPr>
          <w:trHeight w:val="223"/>
        </w:trPr>
        <w:tc>
          <w:tcPr>
            <w:tcW w:w="20" w:type="dxa"/>
            <w:vAlign w:val="bottom"/>
          </w:tcPr>
          <w:p>
            <w:pPr>
              <w:spacing w:after="0"/>
              <w:rPr>
                <w:sz w:val="19"/>
                <w:szCs w:val="19"/>
                <w:color w:val="auto"/>
              </w:rPr>
            </w:pPr>
          </w:p>
        </w:tc>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Term loan, due 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80" w:type="dxa"/>
            <w:vAlign w:val="bottom"/>
            <w:shd w:val="clear" w:color="auto" w:fill="CFF0FC"/>
          </w:tcPr>
          <w:p>
            <w:pPr>
              <w:spacing w:after="0"/>
              <w:rPr>
                <w:sz w:val="19"/>
                <w:szCs w:val="19"/>
                <w:color w:val="auto"/>
              </w:rPr>
            </w:pPr>
          </w:p>
        </w:tc>
      </w:tr>
      <w:tr>
        <w:trPr>
          <w:trHeight w:val="224"/>
        </w:trPr>
        <w:tc>
          <w:tcPr>
            <w:tcW w:w="55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19,003</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and 3.50%. Principal and interest are paid monthly, in arrears.</w:t>
      </w:r>
    </w:p>
    <w:p>
      <w:pPr>
        <w:spacing w:after="0" w:line="18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Company is subject to a prepayment penalty equal to 1% of the prepaid principal of the Notes until the first anniversary of each Note,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Company’s long-term incentive plans. All equity awards granted under these long-term incentive plans are issued from the Company’s shareholder approved 2006 Incentive Compensation Plan. See Note 4, 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4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2013-2016 Long-Term Incentive Plan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having vested at the end of fiscal 2015 and the remaining 40% vesting at the end of fiscal 2016.</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1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April 30, 2016, would be approximately $19.6 million. Approximately half of the compensation expense relates to the time-vested awards, which is being expensed over forty-four months, based on the respective vesting dates. As the performance targets were not deemed probable at April 30, 2016, no expense for the performance-based awards has been recognized through April 30,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2016 Long-Term Incentive Wrap-Around Plan (the “Wrap-Around Plan”), which was approved in the fourth quarter of fiscal 2014,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80"/>
        <w:spacing w:after="0" w:line="264"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payout in restricted shares will be increased by 20% and if the stock price is $7.25 or higher, the payout in restricted shares will be increased by 30%, with a pro-rata payout between $6.75 and $7.25. The portion of the award payable in cash is not affected by the stock price. All awards granted pursuant to the Wrap-Around Plan will not vest until the last day of the second quarter of fiscal 2017</w:t>
      </w:r>
      <w:r>
        <w:rPr>
          <w:rFonts w:ascii="Arial" w:cs="Arial" w:eastAsia="Arial" w:hAnsi="Arial"/>
          <w:sz w:val="21"/>
          <w:szCs w:val="21"/>
          <w:color w:val="auto"/>
        </w:rPr>
        <w:t>.</w:t>
      </w:r>
    </w:p>
    <w:p>
      <w:pPr>
        <w:spacing w:after="0" w:line="17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$8.8 million. Through the end of the first quarter of fiscal 2016, the Company has accrued approximately $1.6 million in compensation expense related to the potential payout of performance awards under the Wrap-Around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2016-2017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established two performance targets for the 2016-2017 Performance Period under the new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awards granted under the 2016-2017 LTIP will be in restricted stock units (RSUs). Assuming that the Company achieves the performance target at target levels and all time-vested awards vest, the compensation expense associated with the 2016-2017 LTIP is estimated to be approximately $4.4 million. Approximately half of the compensation expense, or $2.2 million,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first quarter of fiscal 2016, the Company has accrued approximately $0.1 million in compensation expense related to the potential payout of performance awards under the 2016-2017 LTIP.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2006 Incentive Compensation Plan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one active stock-based compensation plan: the 2006 Incentive Compensation Plan (as amended and restated effective as of August 1, 2013, the “2006 Plan”). Pursuant to the 2006 Plan, the Company has 7,250,000 shares authorized for issuance, of which 4,250,000 shares may be subject to the granting of awards other than stock options and stock appreciation rights.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summarize the stock option activity and share activity under the 2006 Plan for the first three months of fiscal 2016:</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0"/>
              </w:rPr>
              <w:t>Weighted-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86"/>
              </w:rPr>
              <w:t>average</w:t>
            </w:r>
          </w:p>
        </w:tc>
        <w:tc>
          <w:tcPr>
            <w:tcW w:w="220" w:type="dxa"/>
            <w:vAlign w:val="bottom"/>
          </w:tcPr>
          <w:p>
            <w:pPr>
              <w:spacing w:after="0"/>
              <w:rPr>
                <w:sz w:val="17"/>
                <w:szCs w:val="17"/>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Weighted-average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Number of</w:t>
            </w: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7"/>
                <w:szCs w:val="17"/>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3"/>
              </w:rPr>
              <w:t>remaining</w:t>
            </w:r>
          </w:p>
        </w:tc>
        <w:tc>
          <w:tcPr>
            <w:tcW w:w="140" w:type="dxa"/>
            <w:vAlign w:val="bottom"/>
          </w:tcPr>
          <w:p>
            <w:pPr>
              <w:spacing w:after="0"/>
              <w:rPr>
                <w:sz w:val="17"/>
                <w:szCs w:val="17"/>
                <w:color w:val="auto"/>
              </w:rPr>
            </w:pPr>
          </w:p>
        </w:tc>
        <w:tc>
          <w:tcPr>
            <w:tcW w:w="1020" w:type="dxa"/>
            <w:vAlign w:val="bottom"/>
            <w:gridSpan w:val="5"/>
          </w:tcPr>
          <w:p>
            <w:pPr>
              <w:jc w:val="center"/>
              <w:ind w:right="220"/>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2"/>
              </w:rPr>
              <w:t>per option</w:t>
            </w:r>
          </w:p>
        </w:tc>
        <w:tc>
          <w:tcPr>
            <w:tcW w:w="220" w:type="dxa"/>
            <w:vAlign w:val="bottom"/>
          </w:tcPr>
          <w:p>
            <w:pPr>
              <w:spacing w:after="0"/>
              <w:rPr>
                <w:sz w:val="18"/>
                <w:szCs w:val="18"/>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contractual term</w:t>
            </w:r>
          </w:p>
        </w:tc>
        <w:tc>
          <w:tcPr>
            <w:tcW w:w="1160" w:type="dxa"/>
            <w:vAlign w:val="bottom"/>
            <w:gridSpan w:val="6"/>
          </w:tcPr>
          <w:p>
            <w:pPr>
              <w:jc w:val="center"/>
              <w:ind w:right="80"/>
              <w:spacing w:after="0"/>
              <w:rPr>
                <w:sz w:val="20"/>
                <w:szCs w:val="20"/>
                <w:color w:val="auto"/>
              </w:rPr>
            </w:pPr>
            <w:r>
              <w:rPr>
                <w:rFonts w:ascii="Arial" w:cs="Arial" w:eastAsia="Arial" w:hAnsi="Arial"/>
                <w:sz w:val="16"/>
                <w:szCs w:val="16"/>
                <w:color w:val="auto"/>
                <w:w w:val="94"/>
              </w:rPr>
              <w:t>intrinsic value</w:t>
            </w:r>
          </w:p>
        </w:tc>
        <w:tc>
          <w:tcPr>
            <w:tcW w:w="0" w:type="dxa"/>
            <w:vAlign w:val="bottom"/>
          </w:tcPr>
          <w:p>
            <w:pPr>
              <w:spacing w:after="0"/>
              <w:rPr>
                <w:sz w:val="1"/>
                <w:szCs w:val="1"/>
                <w:color w:val="auto"/>
              </w:rPr>
            </w:pPr>
          </w:p>
        </w:tc>
      </w:tr>
      <w:tr>
        <w:trPr>
          <w:trHeight w:val="213"/>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8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Outstanding options at beginning of year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6"/>
                <w:szCs w:val="16"/>
                <w:color w:val="auto"/>
              </w:rPr>
              <w:t>2,728,621</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granted</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Options canceled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exercised</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Outstanding options at end of quarter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6"/>
                <w:szCs w:val="16"/>
                <w:color w:val="auto"/>
              </w:rPr>
              <w:t>2,728,621</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5.00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1"/>
              </w:rPr>
              <w:t>6.7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1,157,774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exercisable at end of quarter</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1,040,417</w:t>
            </w:r>
          </w:p>
        </w:tc>
        <w:tc>
          <w:tcPr>
            <w:tcW w:w="74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4.88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1"/>
              </w:rPr>
              <w:t>6.0 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615,408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6"/>
                <w:szCs w:val="16"/>
                <w:color w:val="auto"/>
                <w:w w:val="91"/>
              </w:rPr>
              <w:t>Restricted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5"/>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vMerge w:val="restart"/>
          </w:tcPr>
          <w:p>
            <w:pPr>
              <w:jc w:val="center"/>
              <w:ind w:right="200"/>
              <w:spacing w:after="0"/>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w w:val="97"/>
              </w:rPr>
              <w:t>Restricted</w:t>
            </w:r>
          </w:p>
        </w:tc>
        <w:tc>
          <w:tcPr>
            <w:tcW w:w="60" w:type="dxa"/>
            <w:vAlign w:val="bottom"/>
          </w:tcPr>
          <w:p>
            <w:pPr>
              <w:spacing w:after="0"/>
              <w:rPr>
                <w:sz w:val="4"/>
                <w:szCs w:val="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w w:val="89"/>
              </w:rPr>
              <w:t>Stock</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1"/>
              </w:rPr>
              <w:t>number of</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4"/>
            <w:vMerge w:val="restart"/>
          </w:tcPr>
          <w:p>
            <w:pPr>
              <w:jc w:val="right"/>
              <w:ind w:right="260"/>
              <w:spacing w:after="0"/>
              <w:rPr>
                <w:sz w:val="20"/>
                <w:szCs w:val="20"/>
                <w:color w:val="auto"/>
              </w:rPr>
            </w:pPr>
            <w:r>
              <w:rPr>
                <w:rFonts w:ascii="Arial" w:cs="Arial" w:eastAsia="Arial" w:hAnsi="Arial"/>
                <w:sz w:val="14"/>
                <w:szCs w:val="14"/>
                <w:color w:val="auto"/>
                <w:w w:val="98"/>
              </w:rPr>
              <w:t>Fully-vested</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restart"/>
          </w:tcPr>
          <w:p>
            <w:pPr>
              <w:jc w:val="center"/>
              <w:ind w:right="200"/>
              <w:spacing w:after="0"/>
              <w:rPr>
                <w:sz w:val="20"/>
                <w:szCs w:val="20"/>
                <w:color w:val="auto"/>
              </w:rPr>
            </w:pPr>
            <w:r>
              <w:rPr>
                <w:rFonts w:ascii="Arial" w:cs="Arial" w:eastAsia="Arial" w:hAnsi="Arial"/>
                <w:sz w:val="16"/>
                <w:szCs w:val="16"/>
                <w:color w:val="auto"/>
                <w:w w:val="95"/>
              </w:rPr>
              <w:t>fair value</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4"/>
                <w:szCs w:val="4"/>
                <w:color w:val="auto"/>
              </w:rPr>
            </w:pPr>
          </w:p>
        </w:tc>
        <w:tc>
          <w:tcPr>
            <w:tcW w:w="1000" w:type="dxa"/>
            <w:vAlign w:val="bottom"/>
            <w:gridSpan w:val="3"/>
            <w:vMerge w:val="restart"/>
          </w:tcPr>
          <w:p>
            <w:pPr>
              <w:jc w:val="center"/>
              <w:ind w:right="280"/>
              <w:spacing w:after="0" w:line="216" w:lineRule="exact"/>
              <w:rPr>
                <w:sz w:val="20"/>
                <w:szCs w:val="20"/>
                <w:color w:val="auto"/>
              </w:rPr>
            </w:pPr>
            <w:r>
              <w:rPr>
                <w:rFonts w:ascii="Arial" w:cs="Arial" w:eastAsia="Arial" w:hAnsi="Arial"/>
                <w:sz w:val="15"/>
                <w:szCs w:val="15"/>
                <w:color w:val="auto"/>
                <w:w w:val="95"/>
              </w:rPr>
              <w:t xml:space="preserve">Units </w:t>
            </w:r>
            <w:r>
              <w:rPr>
                <w:rFonts w:ascii="Arial" w:cs="Arial" w:eastAsia="Arial" w:hAnsi="Arial"/>
                <w:sz w:val="25"/>
                <w:szCs w:val="25"/>
                <w:color w:val="auto"/>
                <w:w w:val="95"/>
                <w:vertAlign w:val="superscript"/>
              </w:rPr>
              <w:t>(1)</w:t>
            </w:r>
          </w:p>
        </w:tc>
        <w:tc>
          <w:tcPr>
            <w:tcW w:w="920" w:type="dxa"/>
            <w:vAlign w:val="bottom"/>
            <w:gridSpan w:val="3"/>
            <w:vMerge w:val="restart"/>
          </w:tcPr>
          <w:p>
            <w:pPr>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(2)</w:t>
            </w:r>
          </w:p>
        </w:tc>
        <w:tc>
          <w:tcPr>
            <w:tcW w:w="1020" w:type="dxa"/>
            <w:vAlign w:val="bottom"/>
            <w:gridSpan w:val="4"/>
            <w:vMerge w:val="continue"/>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3"/>
              </w:rPr>
              <w:t>shares</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4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60"/>
              <w:spacing w:after="0"/>
              <w:rPr>
                <w:sz w:val="20"/>
                <w:szCs w:val="20"/>
                <w:color w:val="auto"/>
              </w:rPr>
            </w:pPr>
            <w:r>
              <w:rPr>
                <w:rFonts w:ascii="Arial" w:cs="Arial" w:eastAsia="Arial" w:hAnsi="Arial"/>
                <w:sz w:val="14"/>
                <w:szCs w:val="14"/>
                <w:color w:val="auto"/>
                <w:w w:val="93"/>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80" w:type="dxa"/>
            <w:vAlign w:val="bottom"/>
            <w:gridSpan w:val="2"/>
            <w:vMerge w:val="continue"/>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beginning of year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1,320,143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31,587</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1,351,730</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6"/>
                <w:szCs w:val="16"/>
                <w:color w:val="auto"/>
              </w:rPr>
              <w:t>Shares granted</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423,230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8,434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3"/>
              </w:rPr>
              <w:t>13,800</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445,464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vested/issued</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(1,666)</w:t>
            </w:r>
          </w:p>
        </w:tc>
        <w:tc>
          <w:tcPr>
            <w:tcW w:w="6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FF0FC"/>
          </w:tcPr>
          <w:p>
            <w:pPr>
              <w:jc w:val="right"/>
              <w:ind w:right="140"/>
              <w:spacing w:after="0"/>
              <w:rPr>
                <w:sz w:val="20"/>
                <w:szCs w:val="20"/>
                <w:color w:val="auto"/>
              </w:rPr>
            </w:pPr>
            <w:r>
              <w:rPr>
                <w:rFonts w:ascii="Arial" w:cs="Arial" w:eastAsia="Arial" w:hAnsi="Arial"/>
                <w:sz w:val="16"/>
                <w:szCs w:val="16"/>
                <w:color w:val="auto"/>
              </w:rPr>
              <w:t>(13,800)</w:t>
            </w:r>
          </w:p>
        </w:tc>
        <w:tc>
          <w:tcPr>
            <w:tcW w:w="980" w:type="dxa"/>
            <w:vAlign w:val="bottom"/>
            <w:gridSpan w:val="3"/>
            <w:shd w:val="clear" w:color="auto" w:fill="CFF0FC"/>
          </w:tcPr>
          <w:p>
            <w:pPr>
              <w:jc w:val="right"/>
              <w:ind w:right="2"/>
              <w:spacing w:after="0"/>
              <w:rPr>
                <w:sz w:val="20"/>
                <w:szCs w:val="20"/>
                <w:color w:val="auto"/>
              </w:rPr>
            </w:pPr>
            <w:r>
              <w:rPr>
                <w:rFonts w:ascii="Arial" w:cs="Arial" w:eastAsia="Arial" w:hAnsi="Arial"/>
                <w:sz w:val="16"/>
                <w:szCs w:val="16"/>
                <w:color w:val="auto"/>
              </w:rPr>
              <w:t>(15,466)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Shares canceled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end of quarter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1,318,477</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423,230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40,021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1,781,728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right="60" w:hanging="519"/>
        <w:spacing w:after="0" w:line="308"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three months of fiscal 2016, the Company granted 423,230 RSUs in connection with the 2016-2017 LTIP. The RSUs are time-vested awards that will vest over three years with the first 50% vesting on April 1, 2018 and the remaining 50% on April 1, 2019.</w:t>
      </w:r>
    </w:p>
    <w:p>
      <w:pPr>
        <w:spacing w:after="0" w:line="173" w:lineRule="exact"/>
        <w:rPr>
          <w:rFonts w:ascii="Arial" w:cs="Arial" w:eastAsia="Arial" w:hAnsi="Arial"/>
          <w:sz w:val="17"/>
          <w:szCs w:val="17"/>
          <w:color w:val="auto"/>
        </w:rPr>
      </w:pPr>
    </w:p>
    <w:p>
      <w:pPr>
        <w:ind w:left="1040" w:right="20" w:hanging="519"/>
        <w:spacing w:after="0" w:line="286"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three months of fiscal 2016, the Company granted 8,434 shares of deferred stock, with a fair value of approximately $39,084 to certain directors as compensation in lieu of cash, in accordance with their irrevocable elections. The shares of deferred stock will vest three years from the date of grant or at separation of service, based on the irrevocable election of each director.</w:t>
      </w:r>
    </w:p>
    <w:p>
      <w:pPr>
        <w:spacing w:after="0" w:line="57" w:lineRule="exact"/>
        <w:rPr>
          <w:rFonts w:ascii="Arial" w:cs="Arial" w:eastAsia="Arial" w:hAnsi="Arial"/>
          <w:sz w:val="17"/>
          <w:szCs w:val="17"/>
          <w:color w:val="auto"/>
        </w:rPr>
      </w:pPr>
    </w:p>
    <w:p>
      <w:pPr>
        <w:ind w:left="1040" w:right="40" w:hanging="519"/>
        <w:spacing w:after="0" w:line="279"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three months of fiscal 2016, the Company granted 13,800 shares of stock, with a fair value of approximately $63,894 to certain directors as compensation in lieu of cash, in accordance with their irrevocable elections. Directors are required to elect 50% of their quarterly retainer in equity. All shares paid to directors to satisfy this election are issued from the Company’s 2006 Plan. Any shares in excess of the minimum required election are issued from the Company’s Non-Employee Director Stock Purchase Plan.</w:t>
      </w:r>
    </w:p>
    <w:p>
      <w:pPr>
        <w:spacing w:after="0" w:line="63"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April 30, 2016, the Company had 569,221 shares available for future grant under the 2006 Plan, of which 464,815 remain available under the sublimit for awards other than options and stock appreciation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3,483 shares of common stock, with a fair value of approximately $16,271, to certain of its non-employee directors as compensation in lieu of cash in the first three months of fiscal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grants of stock options during the first three months of fiscal 2016 and fiscal 2015. For the first three months of fiscal 2016, the Company granted 423,230 RSUs and 8,434 shares of deferred stock. For the first three months of fiscal 2015,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color w:val="auto"/>
        </w:rPr>
        <w:t>granted 4,962 shares of deferred stock. Unless otherwise specified by the Compensation Committee, RSUs and deferred stock are valued using the closing price of the Company’s common stock on the day immediately preceding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first three months of fiscal 2016 and fiscal 2015, the Company recognized total stock-based compensation expense of $0.3 million and $0.6 million, respectively. The total compensation cost related to time-vested stock options, restricted stock and RSU awards not yet recognized as of April 30, 2016 is approximately $2.8 million, net of estimated forfeitures, which will be expensed over a weighted average remaining life of 24.5 months. At April 30, 2016, the Company had $7.2 million of unrecognized stock-based compensation expense, net of estimated forfeitures, related to its performance-based stock options and restricted stock under its 2013-2016 LTIP. As discussed above, the Company will begin recognizing compensation if, and when, achievement of the performance targets under the 2013-2016 LTIP becomes probable.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640" w:type="dxa"/>
            <w:vAlign w:val="bottom"/>
            <w:gridSpan w:val="4"/>
          </w:tcPr>
          <w:p>
            <w:pPr>
              <w:ind w:left="88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76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April 30, 2016</w:t>
            </w:r>
          </w:p>
        </w:tc>
        <w:tc>
          <w:tcPr>
            <w:tcW w:w="1820" w:type="dxa"/>
            <w:vAlign w:val="bottom"/>
            <w:gridSpan w:val="2"/>
          </w:tcPr>
          <w:p>
            <w:pPr>
              <w:ind w:left="38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56"/>
        </w:trPr>
        <w:tc>
          <w:tcPr>
            <w:tcW w:w="7680" w:type="dxa"/>
            <w:vAlign w:val="bottom"/>
            <w:vMerge w:val="continue"/>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49,513</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equivalents – stock options and restricted stock </w:t>
            </w:r>
            <w:r>
              <w:rPr>
                <w:rFonts w:ascii="Arial" w:cs="Arial" w:eastAsia="Arial" w:hAnsi="Arial"/>
                <w:sz w:val="15"/>
                <w:szCs w:val="15"/>
                <w:color w:val="auto"/>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49,880</w:t>
            </w:r>
          </w:p>
        </w:tc>
        <w:tc>
          <w:tcPr>
            <w:tcW w:w="2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equivalents of 483 shares for the three months ended May 2, 2015 were excluded due to a net loss.</w:t>
      </w:r>
    </w:p>
    <w:p>
      <w:pPr>
        <w:spacing w:after="0" w:line="25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the stock options or restricted stock units had an anti-dilutive effect.</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3320" w:type="dxa"/>
            <w:vAlign w:val="bottom"/>
            <w:gridSpan w:val="4"/>
          </w:tcPr>
          <w:p>
            <w:pPr>
              <w:ind w:left="72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69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April 30, 2016</w:t>
            </w:r>
          </w:p>
        </w:tc>
        <w:tc>
          <w:tcPr>
            <w:tcW w:w="1660" w:type="dxa"/>
            <w:vAlign w:val="bottom"/>
            <w:gridSpan w:val="2"/>
          </w:tcPr>
          <w:p>
            <w:pPr>
              <w:ind w:left="32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56"/>
        </w:trPr>
        <w:tc>
          <w:tcPr>
            <w:tcW w:w="6960" w:type="dxa"/>
            <w:vAlign w:val="bottom"/>
            <w:vMerge w:val="continue"/>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Restricted Stock Units (time-vested)</w:t>
            </w:r>
          </w:p>
        </w:tc>
        <w:tc>
          <w:tcPr>
            <w:tcW w:w="140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$4.91 - $7.52</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$4.91 - $7.52</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April 30, 2016, expire from October 22, 2017 to November 2, 2025.</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Excluded from the Company’s computation of basic and diluted earnings per share for first three months of fiscal 2016 were 941,082 shares of unvested performance-based restricted stock and 1,181,168 performance-based stock options. For the first three months of fiscal 2015, 933,486 shares of unvested performance-based restricted stock and 1,162,047 performance-based stock options were excluded from the Company’s computation of basic and diluted earnings per share for both periods. Performance-based awards will be included in the computation of basic and diluted earnings per share if, and when, the respective performance targets are achieved. In addition, shares of unvested time-based restricted stock of 377,395 and 766,837 were excluded from the computation of basic earnings per share for the first three months of fiscal 2016 and fiscal 2015, respectively, and will continue to be excluded until such shares vest. See Note 3, Long-Term Incentive Plans, for a discussion of the Company’s 2013-2016 LTIP and the respective performance targets.</w:t>
      </w:r>
    </w:p>
    <w:p>
      <w:pPr>
        <w:spacing w:after="0" w:line="16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1,318,477 shares of restricted stock outstanding at April 30, 2016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At April 30, 2016, the Company had total deferred tax assets of approximately $82.3 million, total deferred tax liabilities of $19.5 million and a corresponding valuation allowance of $63.0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2016, the Company believes that a full allowance remains appropriate at this time.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April 30, 2016, the Company had net operating loss carryforwards of $145.6 million for federal income tax purposes and $81.5 million for state income tax purposes that are available to offset future taxable income through fiscal year 2036. Additionally, the Company has alternative minimum tax credit carryforwards of $2.3 million, which are available to further reduce income taxes over an indefinite period. Additionally, the Company has $0.1 million and $2.5 million of net operating loss for tax purposes related to the Company’s operations in Hong Kong and Canada, respectively, though both are expected to expire largely unutilized. Included in the net operating loss carryforwards for both federal and state income tax is approximately $12.5 million relating to stock compensation deductions, the tax benefit from which, if realized, will be credited to additional paid-in capital.</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tax provision for the first three months of fiscal 2016 and fiscal 2015 represents an increase in our deferred tax liability for indefinite-lived intangibles as well as current state margin tax and foreign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examination being presumed to occur. The amount recognized is the largest amount of tax benefit that is greater than 50% likely of being realized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examination. For tax positions not meeting the “more likely than not” test, no tax benefit is recorded. The charge for taxation is based on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as adjusted for items that are non-assessable or disallowed. The charge is calculated using tax rates that have been enacted or substantively enacted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position would be sustained upon audit based solely on the technical merits of the tax position. The unrecognized tax benefit at April 30, 2016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This amount is directly associated with a prior year tax position related to exiting the European direct business. The amount of unrecognized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has been presented as a reduction in the reported amounts of its federal and state net operating loss carryforwards. It is the Company’s policy to record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on unrecognized tax benefits as income taxes; however, no penalties or interest have been accrued on this liability because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carryforwards have not yet been utilized.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marketing costs, store counts, capital expenditures, borrowings, sales and earnings expectations for fiscal 2016 and beyond, the expected impact of inventory management improvements on working capital in fiscal 2016 and the anticipated pace and number of store openings and closings in fiscal 2016.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2016, included in our Annual Report on Form 10-K for the year ended January 30, 2016, as filed with the Securities and Exchange Commission on March 18, 2016 (our “Fiscal 2015 Annual Report”).</w:t>
      </w:r>
    </w:p>
    <w:p>
      <w:pPr>
        <w:spacing w:after="0" w:line="6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We encourage readers to refer to the “Risk Factors” section in Part I, Item 1A of our Fiscal 2015 Annual Report, that sets forth certain risks and uncertainties that may have an impact on future results and direction of our Company, including, without limitations, risks relating to the execution of our corporate strategy and ability to grow our market share.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DXL Outlets,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At April 30, 2016, we operated 170 Destination XL stores, 121 Casual Male XL retail stores, 10 DXL outlet stores, 39 Casual Male XL outlet stores and 5 Rochester Clothing stores. Our direct business includes our DestinationXL.com and bigandtall.com e-commerce sites which support our stores, brands and product extensions.</w:t>
      </w:r>
    </w:p>
    <w:p>
      <w:pPr>
        <w:spacing w:after="0" w:line="2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28, 2017 and January 30, 2016 as “fiscal 2016” and “fiscal 2015,” respectively. Both fiscal years are 52-week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As part of our omni-channel initiatives, beginning in fiscal 2014 the majority of our retail stores have the capability of fulfilling online orders if merchandise is not available in the warehouse. As a result, we continue to see more transactions that begin online but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t>ultimately completed at the store level. Similarly, if a customer visits a store and the item is out of stock, the associate can order the item through our website. A customer also has the ability to order online and pick-up in store.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The following is a summary of results for the first quarter of fiscal 2016, including EBITDA, which is a non-GAAP measure. Please see “Non-GAAP Financial Measures” below for a reconciliation of Net Income to EBITDA. </w:t>
      </w:r>
      <w:r>
        <w:rPr>
          <w:rFonts w:ascii="Arial" w:cs="Arial" w:eastAsia="Arial" w:hAnsi="Arial"/>
          <w:sz w:val="18"/>
          <w:szCs w:val="18"/>
          <w:i w:val="1"/>
          <w:iCs w:val="1"/>
          <w:color w:val="auto"/>
        </w:rPr>
        <w:t>(Certain columns may not foot due to rounding)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gridSpan w:val="5"/>
          </w:tcPr>
          <w:p>
            <w:pPr>
              <w:jc w:val="right"/>
              <w:ind w:right="136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Arial" w:cs="Arial" w:eastAsia="Arial" w:hAnsi="Arial"/>
                <w:sz w:val="14"/>
                <w:szCs w:val="14"/>
                <w:color w:val="auto"/>
              </w:rPr>
              <w:t>April 30, 2016</w:t>
            </w:r>
          </w:p>
        </w:tc>
        <w:tc>
          <w:tcPr>
            <w:tcW w:w="300" w:type="dxa"/>
            <w:vAlign w:val="bottom"/>
          </w:tcPr>
          <w:p>
            <w:pPr>
              <w:spacing w:after="0"/>
              <w:rPr>
                <w:sz w:val="14"/>
                <w:szCs w:val="14"/>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53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0.2</w:t>
            </w:r>
          </w:p>
        </w:tc>
        <w:tc>
          <w:tcPr>
            <w:tcW w:w="32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tcBorders>
              <w:top w:val="single" w:sz="8" w:color="CFF0FC"/>
            </w:tcBorders>
            <w:gridSpan w:val="2"/>
          </w:tcPr>
          <w:p>
            <w:pPr>
              <w:jc w:val="right"/>
              <w:ind w:right="20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8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0"/>
              </w:rPr>
              <w:t>Diluted loss per share:</w:t>
            </w:r>
          </w:p>
        </w:tc>
        <w:tc>
          <w:tcPr>
            <w:tcW w:w="6100" w:type="dxa"/>
            <w:vAlign w:val="bottom"/>
            <w:tcBorders>
              <w:bottom w:val="single" w:sz="8" w:color="CFF0FC"/>
            </w:tcBorders>
            <w:gridSpan w:val="2"/>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4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0.00</w:t>
            </w:r>
          </w:p>
        </w:tc>
        <w:tc>
          <w:tcPr>
            <w:tcW w:w="3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DXL stores performed well during the first quarter of fiscal 2016, delivering a 5.8% comparable sales increase. Sales for the quarter started out strong, but business began to weaken towards the end of March and continued through April. Sales from our spring/summer categories, such as shorts and activewear, were below expectations for the first quarter. We believe our sales were impacted by the delayed arrival of warm weather, particularly in the northeast and midwest. However, we saw consistent, strong store sales results throughout the quarter in warm climate regions such as southern California, Arizona and Florida.</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total revenues increased 3.3%, our merchandise margin remained flat to last year and our inventory at the end of first quarter increased less than 2.0% from the first quarter of fiscal 2015. EBITDA for the first quarter of fiscal 2016 increased to $8.4 million as compared to $6.8 million for the prior year first quarter. On a diluted per share basis, net income for the first quarter of fiscal 2016 was breakeven as compared to a net loss of $(0.01) for the first quarter of fiscal 2015.</w:t>
      </w:r>
    </w:p>
    <w:p>
      <w:pPr>
        <w:spacing w:after="0" w:line="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Growth in our DXL stores continues to be the primary contributor to our earnings improvement. The DXL comparable sales increase of 5.8% was the result of an increase in the total number of transactions for the quarter of 3.4% as well as an increase in the units per transaction of 3.5% and to a lesser extent an increase in dollars per transaction of 2.3%. Sales per square foot for our DXL retail stores, on a rolling 12-month basis, were $179 at the end of the first quarter as compared with $168 per square foot for the rolling 12-month period at the end of the first quarter last year. These metrics show that our merchandise mix is strong. We expect that the arrival of warmer weather in the second quarter will drive comparable sales in our DXL stores, and our sales and earnings outlook for fiscal 2016 remain unchanged.</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first quarter of fiscal 2016, we opened 4 DXL retail stores and 1 DXL outlet store, while closing 4 Casual Male XL retail stores and 1 Casual Male XL outlet. For fiscal 2016, we plan to open 28 DXL retail stores and 3 DXL outlet stores. In addition, we currently expect to close 26 Casual Male XL retail stores and 3 Casual Male XL outlet stores.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the beginning of fiscal 2016, we initiated a review of our inventory levels in our distribution center. We also launched a review of our inventory procurement and management functions. This review process has generated several changes that we are implementing to streamline operations at our distribution center, including tighter controls over the number of merchandise weeks of supply and improvements in inventory receipt flow and procurement. We expect these changes to result in a more optimized inventory structure that will improve our working capital position by at least $5.0 million in fiscal 2016. We do not believe these changes will jeopardize sales from out-of-stock positions in either our stores or in our direct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spring advertising campaign launched at the end of the first quarter of 2016 during the NFL draft and will continue to run through Father’s Day. The campaign includes both television and radio commercials. Our marketing costs for fiscal 2016 are expected to decrease by approximately $2.6 million from fiscal 2015. By gaining improved efficiencies in media buying and creative development, we believe this reduction will not have an adverse effect on our sales, awareness, or customer acquisition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Fiscal 2016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fiscal 2016, our earnings guidance remains within original guidance previously provided as follows:</w:t>
      </w:r>
    </w:p>
    <w:p>
      <w:pPr>
        <w:spacing w:after="0" w:line="117" w:lineRule="exact"/>
        <w:rPr>
          <w:sz w:val="20"/>
          <w:szCs w:val="20"/>
          <w:color w:val="auto"/>
        </w:rPr>
      </w:pPr>
    </w:p>
    <w:p>
      <w:pPr>
        <w:ind w:left="780" w:hanging="259"/>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are expected to range from $465.0 million to $472.0 million, with a total company comparable sales increase of approximately 4.8% to 5.5%.</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rate of 46.2% to 46.5%.</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of $31.0 to $35.0 million.</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on a GAAP basis, of $(0.09) per diluted share to breakeven.</w:t>
      </w:r>
    </w:p>
    <w:p>
      <w:pPr>
        <w:spacing w:after="0" w:line="117" w:lineRule="exact"/>
        <w:rPr>
          <w:rFonts w:ascii="Arial" w:cs="Arial" w:eastAsia="Arial" w:hAnsi="Arial"/>
          <w:sz w:val="18"/>
          <w:szCs w:val="18"/>
          <w:color w:val="auto"/>
        </w:rPr>
      </w:pPr>
    </w:p>
    <w:p>
      <w:pPr>
        <w:ind w:left="780" w:right="80" w:hanging="259"/>
        <w:spacing w:after="0" w:line="25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loss, on a non-GAAP basis, of $(0.05) per diluted share to breakeven. Because we expect to continue providing a full valuation allowance against our deferred tax assets, we will not recognize any income tax benefit in fiscal 2016. This adjusted net loss was calculated, assuming a normal tax benefit of approximately 40%, by taking the 2016 forecasted earnings of breakeven to a net loss of $(0.09) and multiplying each by 40% to calculate an estimated income tax provision (benefit) of $0.00-$(0.04) per diluted share, resulting in an adjusted net loss of $(0.05) per diluted share to breakeven.</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result of our inventory management improvement efforts, including tighter controls over weeks of supply and improvement in the timing of inventory receipts, we have updated our cash flow guidance:</w:t>
      </w:r>
    </w:p>
    <w:p>
      <w:pPr>
        <w:spacing w:after="0" w:line="62" w:lineRule="exact"/>
        <w:rPr>
          <w:sz w:val="20"/>
          <w:szCs w:val="20"/>
          <w:color w:val="auto"/>
        </w:rPr>
      </w:pPr>
    </w:p>
    <w:p>
      <w:pPr>
        <w:jc w:val="both"/>
        <w:ind w:left="780" w:right="80" w:hanging="259"/>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end of fiscal 2016, we expect to have total debt of approximately $59.0-64.0 million (a decrease from our previous guidance of $64.0-$69.0 million), consisting of $12.8 million outstanding from a term loan, $6.6 million outstanding from equipment financing notes with the balance from our credit facility.</w:t>
      </w:r>
    </w:p>
    <w:p>
      <w:pPr>
        <w:spacing w:after="0" w:line="73" w:lineRule="exact"/>
        <w:rPr>
          <w:rFonts w:ascii="Arial" w:cs="Arial" w:eastAsia="Arial" w:hAnsi="Arial"/>
          <w:sz w:val="18"/>
          <w:szCs w:val="18"/>
          <w:color w:val="auto"/>
        </w:rPr>
      </w:pPr>
    </w:p>
    <w:p>
      <w:pPr>
        <w:ind w:left="780" w:right="120" w:hanging="259"/>
        <w:spacing w:after="0" w:line="30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From a liquidity perspective, we expect cash flow from operating activities of $35.0 to $40.0 million (an increase from our previous guidance of $30.0 to $35.0 million), including tenant allowances, resulting in positive free cash flow, before DXL capital expenditures, a non-GAAP measure, of approximately $25.6 million to $30.6 million (an increase from our previous guidance of $20.6 million to $25.6 million). Free cash flow a non-GAAP measure will be approximately $5.0-$10.0 million (an increase from our previous guidance of breakeven to $5.0 million).</w:t>
      </w:r>
    </w:p>
    <w:p>
      <w:pPr>
        <w:spacing w:after="0" w:line="46" w:lineRule="exact"/>
        <w:rPr>
          <w:rFonts w:ascii="Arial" w:cs="Arial" w:eastAsia="Arial" w:hAnsi="Arial"/>
          <w:sz w:val="16"/>
          <w:szCs w:val="16"/>
          <w:color w:val="auto"/>
        </w:rPr>
      </w:pPr>
    </w:p>
    <w:p>
      <w:pPr>
        <w:ind w:left="780" w:right="20" w:hanging="259"/>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are expected to remain unchanged at approximately $30.0 million, which are primarily related to opening our DXL stores, and will be partially offset by approximately $7.0-$8.0 million in tenant allowances. We expect to fund our capital expenditures primarily from our operating cash flow.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6"/>
                <w:szCs w:val="16"/>
                <w:color w:val="auto"/>
              </w:rPr>
              <w:t>First Quarter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ind w:right="760"/>
              <w:spacing w:after="0" w:line="159" w:lineRule="exact"/>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first quarter of fiscal 2015</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b w:val="1"/>
                <w:bCs w:val="1"/>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Less 2015 sales for stores that have closed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97.3</w:t>
            </w: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Sales for the first quarter of fiscal 2016</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first quarter of fiscal 2016, total sales were $107.9 million as compared to $104.4 million for the first quarter of fiscal 2015. The increase of $3.5 million in total sales was primarily due to a 2.0% increase in comparable sales of $1.9 million, an increase in non-comparable store sales of $8.4 million and an increase of $0.3 million of other revenue, partially offset by $7.1 million in lost sales from closed and converted stores.</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comparable sales increase for the first quarter of $1.9 million, was driven by our 144 comparable DXL retail stores which increased 5.8%, or $2.9 million, against a comparable increase of 8.7% for the first quarter of fiscal 2015. Even with the late arrival of warm weather, comparable sales for the first quarter increased as a result of a 3.4% increase in the number of transactions and a 3.5% increase in units per transaction.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first quarter of fiscal 2016, our gross margin rate, inclusive of occupancy costs, was 46.1% as compared to a gross margin rate of 46.2% for the first quarter of fiscal 2015. The 10 basis point decrease was due to an increase in occupancy costs of 10 basis points.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On a dollar basis, occupancy costs for the first quarter of fiscal 2016 increased 4.1% over the prior year’s first quarter, driven primarily by the overall increase in square footage as a result of our DXL store openings. Merchandise margin for the first quarter of fiscal 2016 remained flat with the prior year’s first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percentage of sales, SG&amp;A expenses for the first quarter of fiscal 2016 were 38.3% as compared to 39.7% for the first quarter of fiscal 2015. On a dollar basis, SG&amp;A decreased slightly by $0.1 million as a result of decreases in store opening costs and advertising costs partially offset by an increase in store payroll costs. Pre-opening payroll, training and other incremental costs to support our DXL store openings were $0.6 million for the first quarter of fiscal 2016 as compared to $1.1 million for the first quarter of fiscal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Depreciation and amortization for the first quarter of fiscal 2016 increased $0.8 million to $7.3 million as compared to $6.5 million for the first quarter of fiscal 2015. The increase in depreciation and amortization for the first quarter of fiscal 2016 is due to the continued store growth associated with our rollout of the DXL store concept.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interest expense of $0.8 million for the first quarter of fiscal 2016 was flat as compared to the first quarter of fiscal 2015. With our continued planned store growth in fiscal 2016, interest costs are expected to increase slightly from fiscal 2015 as a result of higher average borrowings. By the end of fiscal 2016, however, we expect that our total debt outstanding will be $59.0-$64.0 million, a decrease from $68.1 million at the end of fiscal 2015. See “Liquidity and Capital Resources” for more discussion regarding our current credit facility, long-term debt and future liquidity needs.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April 30, 2016, we had total deferred tax assets of $82.3 million, total deferred tax liabilities of $19.5 million and a corresponding valuation allowance of $63.0 million. The deferred tax assets include approximately $52.1 million of net operating loss carryforwards and approximately $5.6 million of deferred gain on our sale-leaseback and, to a lesser extent, other book/tax timing differences.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2016, we believe that a full valuation allowance remains appropriate at this time.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tax provision, for the first quarter of fiscal 2016 and fiscal 2015, represents an increase in our deferred tax liability for indefinite-lived intangibles as well as current state margin tax and foreign income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first quarter of fiscal 2016, we had net income of $0.2 million, or $0.00 per diluted share, compared with a net loss of $(0.6) million, or $(0.01) per diluted share, for the first quarter of fiscal 2015. On a non-GAAP basis, assuming a normalized tax rate for both periods, adjusted net income (loss) per share was the same as GAAP, with $0.00 per diluted share for the first quarter of fiscal 2016 and $(0.01) per diluted share for the first quarter of fiscal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April 30, 2016, total inventory was $125.8 million compared to $125.0 million at January 30, 2016 and $123.8 million at May 2, 2015. The 1.6% increase of $2.0 million from May 2, 2015 is due to a slight increase in total square footage, as well as a greater mix of higher-cost branded apparel. Clearance merchandise represented 8.7% of inventory at the end of the first quarter of fiscal 2016 as compared to 8.2% at the end of the first quarter of fiscal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Our current cash needs are primarily for working capital (essentially inventory requirements), capital expenditures and growth initiatives. As discussed below, our capital expenditures for fiscal 2016 are expected to be $30.0 million, primarily related to the planned opening of approximately 28 DXL retail stores and 3 DXL outlet stores and information technology projects. However, we expect to receive approximately $7.0-$8.0 million in tenant allowances to offset these capital expenditures.</w:t>
      </w:r>
    </w:p>
    <w:p>
      <w:pPr>
        <w:spacing w:after="0" w:line="46"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We expect to fund our store growth in fiscal 2016 primarily through earnings and borrowings from our Credit Facility. We currently believe that our existing cash generated by operations together with our Credit Facility will be sufficient within current forecasts for us to meet our foreseeable liquidity requirements.</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 the past several months, we have been working on improving our inventory turnover, strengthening our control over the timing of merchandise receipts and tightening the weeks of merchandise on hand. As a result, we have revised our liquidity and expected debt guidance for fiscal 2016 to reflect the working capital benefits of these improvements. For fiscal 2016, we expect to generate free cash flow before DXL capital expenditures of $25.6 million to $30.6 million. We will reinvest that cash to fund our DXL store growth in fiscal 2016, which we believe provides the best opportunity for return on capital. After DXL capital expenditures, we expect positive free cash flow of $5.0-$10.0 million. While we expect that our average borrowings for fiscal 2016 will be greater than fiscal 2015, we expect that our total debt at the end of fiscal 2016 will be approximately $59.0-$64.0 million, a decrease from $68.1 million at the end of fiscal 2015.</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first three months of fiscal 2016, free cash flow, which we define as cash flow from operating activities, less capital expenditures, improved by $6.4 million to $(11.1) million from $(17.5) million for the first three months of fiscal 2015. This improvement in free cash flow was primarily due to the improvement in operating results and lower capital expenditures as compared to fiscal 2015. See “Non-GAAP Financial Measures” below regarding non-GAAP free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April 30, 2016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11,202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13,123</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80,874</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79,988</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to the Notes to the Consolidated Financial Statements included in this Quarterly Report.</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had outstanding borrowings of $56.2 million under the Credit Facility at April 30, 2016. At April 30, 2016, outstanding standby letters of credit were $2.5 million and outstanding documentary letters of credit were $0.5 million. The average monthly borrowing outstanding under the Credit Facility during the first three months ended April 30, 2016 was approximately $50.6 million, resulting in an average unused excess availability of approximately $61.0 million. Unused excess availability at April 30, 2016 was $55.0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jc w:val="both"/>
        <w:ind w:right="340"/>
        <w:spacing w:after="0" w:line="264" w:lineRule="auto"/>
        <w:rPr>
          <w:sz w:val="20"/>
          <w:szCs w:val="20"/>
          <w:color w:val="auto"/>
        </w:rPr>
      </w:pPr>
      <w:r>
        <w:rPr>
          <w:rFonts w:ascii="Arial" w:cs="Arial" w:eastAsia="Arial" w:hAnsi="Arial"/>
          <w:sz w:val="18"/>
          <w:szCs w:val="18"/>
          <w:color w:val="auto"/>
        </w:rPr>
        <w:t>accrue interest at fixed rates ranging from 3.07% to 3.50%. Principal and interest, are payable monthly, in arrears. We are subject to a prepayment penalty equal to 1% of the prepaid principal of the Notes until the first anniversary of each Note, 0.5% of the prepaid principal from the first anniversary until the second anniversary and no prepayment penalty thereafter.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was prior to October 29, 2015; (b) 2% of the amount prepaid if the prepayment is after October 29, 2015, but prior to October 29, 2016; and (c) 1% of the amount prepaid if the prepayment is after October 29, 2016, but prior to October 29, 2017. There is no prepayment penalty after October 29, 2017.</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April 30, 2016 and May 2, 2015,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ind w:left="840"/>
              <w:spacing w:after="0"/>
              <w:rPr>
                <w:sz w:val="20"/>
                <w:szCs w:val="20"/>
                <w:color w:val="auto"/>
              </w:rPr>
            </w:pPr>
            <w:r>
              <w:rPr>
                <w:rFonts w:ascii="Arial" w:cs="Arial" w:eastAsia="Arial" w:hAnsi="Arial"/>
                <w:sz w:val="14"/>
                <w:szCs w:val="14"/>
                <w:color w:val="auto"/>
              </w:rPr>
              <w:t>April 30, 2016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ind w:left="400"/>
              <w:spacing w:after="0"/>
              <w:rPr>
                <w:sz w:val="20"/>
                <w:szCs w:val="20"/>
                <w:color w:val="auto"/>
              </w:rPr>
            </w:pPr>
            <w:r>
              <w:rPr>
                <w:rFonts w:ascii="Arial" w:cs="Arial" w:eastAsia="Arial" w:hAnsi="Arial"/>
                <w:sz w:val="14"/>
                <w:szCs w:val="14"/>
                <w:color w:val="auto"/>
                <w:w w:val="98"/>
              </w:rPr>
              <w:t>May 2, 2015</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7"/>
          </w:tcPr>
          <w:p>
            <w:pPr>
              <w:jc w:val="center"/>
              <w:ind w:right="540"/>
              <w:spacing w:after="0" w:line="149" w:lineRule="exact"/>
              <w:rPr>
                <w:sz w:val="20"/>
                <w:szCs w:val="20"/>
                <w:color w:val="auto"/>
              </w:rPr>
            </w:pPr>
            <w:r>
              <w:rPr>
                <w:rFonts w:ascii="Arial" w:cs="Arial" w:eastAsia="Arial" w:hAnsi="Arial"/>
                <w:sz w:val="14"/>
                <w:szCs w:val="14"/>
                <w:color w:val="auto"/>
                <w:w w:val="97"/>
              </w:rPr>
              <w:t>Number of</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920"/>
              <w:spacing w:after="0"/>
              <w:rPr>
                <w:sz w:val="20"/>
                <w:szCs w:val="20"/>
                <w:color w:val="auto"/>
              </w:rPr>
            </w:pPr>
            <w:r>
              <w:rPr>
                <w:rFonts w:ascii="Arial" w:cs="Arial" w:eastAsia="Arial" w:hAnsi="Arial"/>
                <w:sz w:val="14"/>
                <w:szCs w:val="14"/>
                <w:color w:val="auto"/>
                <w:w w:val="88"/>
              </w:rPr>
              <w:t>Stores</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14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10"/>
          </w:tcPr>
          <w:p>
            <w:pPr>
              <w:spacing w:after="0"/>
              <w:rPr>
                <w:sz w:val="20"/>
                <w:szCs w:val="20"/>
                <w:color w:val="auto"/>
              </w:rPr>
            </w:pPr>
            <w:r>
              <w:rPr>
                <w:rFonts w:ascii="Arial" w:cs="Arial" w:eastAsia="Arial" w:hAnsi="Arial"/>
                <w:sz w:val="18"/>
                <w:szCs w:val="18"/>
                <w:color w:val="auto"/>
                <w:w w:val="96"/>
              </w:rPr>
              <w:t>Below is a summary of store openings and closings from January 30, 2016 to April 30, 2016:</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Casual Male</w:t>
            </w:r>
          </w:p>
        </w:tc>
        <w:tc>
          <w:tcPr>
            <w:tcW w:w="140" w:type="dxa"/>
            <w:vAlign w:val="bottom"/>
          </w:tcPr>
          <w:p>
            <w:pPr>
              <w:spacing w:after="0"/>
              <w:rPr>
                <w:sz w:val="24"/>
                <w:szCs w:val="24"/>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Rochester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DXL</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DXL Outlets</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color w:val="auto"/>
              </w:rPr>
              <w:t>XL Outlets</w:t>
            </w:r>
          </w:p>
        </w:tc>
        <w:tc>
          <w:tcPr>
            <w:tcW w:w="140" w:type="dxa"/>
            <w:vAlign w:val="bottom"/>
          </w:tcPr>
          <w:p>
            <w:pPr>
              <w:spacing w:after="0"/>
              <w:rPr>
                <w:sz w:val="14"/>
                <w:szCs w:val="14"/>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4"/>
                <w:szCs w:val="14"/>
                <w:color w:val="auto"/>
                <w:w w:val="97"/>
              </w:rPr>
              <w:t>Clothing</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30, 2016</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April 30,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capital expenditures for the first three months of fiscal 2016 were $6.1 million as compared to $9.6 million for the first three months of fiscal 2015. The $3.5 million decrease is primarily related to the timing and decrease in average square footage of the new DXL stores opening in fiscal 2016 as compared to the prior year. The Company opened 5 DXL stores in the first quarter of fiscal 2016 as compared to 13 DXL stores in the first quarter of fiscal 2015.</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fiscal 2016, our capital expenditures are expected to be approximately $30.0 million and we expect to receive approximately $7.0-$8.0 million in tenant allowances to offset these expenditures. Our budget includes approximately $20.6 million, excluding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ind w:right="120"/>
        <w:spacing w:after="0" w:line="264" w:lineRule="auto"/>
        <w:rPr>
          <w:sz w:val="20"/>
          <w:szCs w:val="20"/>
          <w:color w:val="auto"/>
        </w:rPr>
      </w:pPr>
      <w:r>
        <w:rPr>
          <w:rFonts w:ascii="Arial" w:cs="Arial" w:eastAsia="Arial" w:hAnsi="Arial"/>
          <w:sz w:val="18"/>
          <w:szCs w:val="18"/>
          <w:color w:val="auto"/>
        </w:rPr>
        <w:t>allowance, related to the opening of 28 DXL retail stores and 3 DXL outlet stores, and approximately $5.9 million for continued information technology and other infrastructure projects. In addition, we expect to close approximately 26 Casual Male XL stores and 3 Casual Male XL outlet stores, the majority of which are in connection with the opening of the DXL retail and outlet stores in the same geographic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2015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Adjusted net income (loss), adjusted net income (loss) per diluted share, free cash flow, free cash flow before DXL capital expenditures and EBITDA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cash flow performance, especially when comparing such results to previous periods. Reconciliations of these non-GAAP measures are presented in following tables: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Adjusted net income (loss) and adjusted net income (loss) per diluted share</w:t>
      </w:r>
      <w:r>
        <w:rPr>
          <w:rFonts w:ascii="Arial" w:cs="Arial" w:eastAsia="Arial" w:hAnsi="Arial"/>
          <w:sz w:val="18"/>
          <w:szCs w:val="18"/>
          <w:color w:val="auto"/>
        </w:rPr>
        <w:t>. The above discussion includes an adjusted net income (loss) for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2016 and fiscal 2015 on a non-GAAP basis, which reflected an adjustment assuming a normal tax rate of 40%.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reconciliation of net income (loss) to adjusted net income (loss), assuming a normal tax benefit of 40% for the first quarter of fiscal 2016 and fiscal 2015:</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5"/>
          </w:tcPr>
          <w:p>
            <w:pPr>
              <w:jc w:val="right"/>
              <w:ind w:right="668"/>
              <w:spacing w:after="0"/>
              <w:rPr>
                <w:sz w:val="20"/>
                <w:szCs w:val="20"/>
                <w:color w:val="auto"/>
              </w:rPr>
            </w:pPr>
            <w:r>
              <w:rPr>
                <w:rFonts w:ascii="Arial" w:cs="Arial" w:eastAsia="Arial" w:hAnsi="Arial"/>
                <w:sz w:val="14"/>
                <w:szCs w:val="14"/>
                <w:color w:val="auto"/>
              </w:rPr>
              <w:t>April 30, 2016</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gridSpan w:val="6"/>
          </w:tcPr>
          <w:p>
            <w:pPr>
              <w:jc w:val="right"/>
              <w:ind w:right="108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Per diluted</w:t>
            </w:r>
          </w:p>
        </w:tc>
        <w:tc>
          <w:tcPr>
            <w:tcW w:w="2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w w:val="98"/>
              </w:rPr>
              <w:t>Per diluted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5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share</w:t>
            </w:r>
          </w:p>
        </w:tc>
        <w:tc>
          <w:tcPr>
            <w:tcW w:w="9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5240" w:type="dxa"/>
            <w:vAlign w:val="bottom"/>
            <w:gridSpan w:val="4"/>
            <w:vMerge w:val="continue"/>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9"/>
              </w:rPr>
              <w:t>Net income (loss) (GAAP basis)</w:t>
            </w:r>
          </w:p>
        </w:tc>
        <w:tc>
          <w:tcPr>
            <w:tcW w:w="31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509"/>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214</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980" w:type="dxa"/>
            <w:vAlign w:val="bottom"/>
            <w:gridSpan w:val="2"/>
            <w:shd w:val="clear" w:color="auto" w:fill="CFF0FC"/>
          </w:tcPr>
          <w:p>
            <w:pPr>
              <w:jc w:val="right"/>
              <w:ind w:right="589"/>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(574)</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ind w:left="220"/>
              <w:spacing w:after="0"/>
              <w:rPr>
                <w:sz w:val="20"/>
                <w:szCs w:val="20"/>
                <w:color w:val="auto"/>
              </w:rPr>
            </w:pPr>
            <w:r>
              <w:rPr>
                <w:rFonts w:ascii="Arial" w:cs="Arial" w:eastAsia="Arial" w:hAnsi="Arial"/>
                <w:sz w:val="14"/>
                <w:szCs w:val="14"/>
                <w:color w:val="auto"/>
              </w:rPr>
              <w:t>Income tax benefit, assuming normal tax rate of 40%</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3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Adjusted net income (loss) (non-GAAP basis)</w:t>
            </w:r>
          </w:p>
        </w:tc>
        <w:tc>
          <w:tcPr>
            <w:tcW w:w="900" w:type="dxa"/>
            <w:vAlign w:val="bottom"/>
          </w:tcPr>
          <w:p>
            <w:pPr>
              <w:spacing w:after="0"/>
              <w:rPr>
                <w:sz w:val="13"/>
                <w:szCs w:val="13"/>
                <w:color w:val="auto"/>
              </w:rPr>
            </w:pP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163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0.00</w:t>
            </w:r>
          </w:p>
        </w:tc>
        <w:tc>
          <w:tcPr>
            <w:tcW w:w="280" w:type="dxa"/>
            <w:vAlign w:val="bottom"/>
          </w:tcPr>
          <w:p>
            <w:pPr>
              <w:spacing w:after="0"/>
              <w:rPr>
                <w:sz w:val="13"/>
                <w:szCs w:val="13"/>
                <w:color w:val="auto"/>
              </w:rPr>
            </w:pPr>
          </w:p>
        </w:tc>
        <w:tc>
          <w:tcPr>
            <w:tcW w:w="700" w:type="dxa"/>
            <w:vAlign w:val="bottom"/>
          </w:tcPr>
          <w:p>
            <w:pPr>
              <w:jc w:val="right"/>
              <w:ind w:right="589"/>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7"/>
              </w:rPr>
              <w:t>(308)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3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Weighted average number of common shares outstanding on a diluted basis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49,880</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u w:val="single" w:color="auto"/>
          <w:color w:val="auto"/>
        </w:rPr>
        <w:t>Free Cash Flow and Free Cash Flow Before DXL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Free cash flow before DXL capital expenditures is free cash flow with DXL capital expenditures added back. Free cash flow excludes the mandatory and discretionary repayment of debt. The following table reconciles free cash flow and free cash flow before DXL capital expenditures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columns may not foot due to rounding</w:t>
      </w:r>
      <w:r>
        <w:rPr>
          <w:rFonts w:ascii="Arial" w:cs="Arial" w:eastAsia="Arial" w:hAnsi="Arial"/>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60" w:type="dxa"/>
            <w:vAlign w:val="bottom"/>
            <w:gridSpan w:val="6"/>
          </w:tcPr>
          <w:p>
            <w:pPr>
              <w:jc w:val="right"/>
              <w:ind w:right="1380"/>
              <w:spacing w:after="0"/>
              <w:rPr>
                <w:sz w:val="20"/>
                <w:szCs w:val="20"/>
                <w:color w:val="auto"/>
              </w:rPr>
            </w:pPr>
            <w:r>
              <w:rPr>
                <w:rFonts w:ascii="Arial" w:cs="Arial" w:eastAsia="Arial" w:hAnsi="Arial"/>
                <w:sz w:val="14"/>
                <w:szCs w:val="14"/>
                <w:color w:val="auto"/>
              </w:rPr>
              <w:t>For the three months ended</w:t>
            </w:r>
          </w:p>
        </w:tc>
        <w:tc>
          <w:tcPr>
            <w:tcW w:w="2140" w:type="dxa"/>
            <w:vAlign w:val="bottom"/>
            <w:gridSpan w:val="2"/>
          </w:tcPr>
          <w:p>
            <w:pPr>
              <w:ind w:left="620"/>
              <w:spacing w:after="0"/>
              <w:rPr>
                <w:sz w:val="20"/>
                <w:szCs w:val="20"/>
                <w:color w:val="auto"/>
              </w:rPr>
            </w:pPr>
            <w:r>
              <w:rPr>
                <w:rFonts w:ascii="Arial" w:cs="Arial" w:eastAsia="Arial" w:hAnsi="Arial"/>
                <w:sz w:val="14"/>
                <w:szCs w:val="14"/>
                <w:color w:val="auto"/>
              </w:rPr>
              <w:t>Projected</w:t>
            </w:r>
          </w:p>
        </w:tc>
      </w:tr>
      <w:tr>
        <w:trPr>
          <w:trHeight w:val="167"/>
        </w:trPr>
        <w:tc>
          <w:tcPr>
            <w:tcW w:w="41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April 30, 2016</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May 2, 2015</w:t>
            </w:r>
          </w:p>
        </w:tc>
        <w:tc>
          <w:tcPr>
            <w:tcW w:w="300" w:type="dxa"/>
            <w:vAlign w:val="bottom"/>
            <w:tcBorders>
              <w:bottom w:val="single" w:sz="8" w:color="CFF0FC"/>
            </w:tcBorders>
          </w:tcPr>
          <w:p>
            <w:pPr>
              <w:spacing w:after="0"/>
              <w:rPr>
                <w:sz w:val="14"/>
                <w:szCs w:val="14"/>
                <w:color w:val="auto"/>
              </w:rPr>
            </w:pPr>
          </w:p>
        </w:tc>
        <w:tc>
          <w:tcPr>
            <w:tcW w:w="1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Fiscal 2016</w:t>
            </w:r>
          </w:p>
        </w:tc>
        <w:tc>
          <w:tcPr>
            <w:tcW w:w="320" w:type="dxa"/>
            <w:vAlign w:val="bottom"/>
            <w:tcBorders>
              <w:bottom w:val="single" w:sz="8" w:color="CFF0FC"/>
            </w:tcBorders>
          </w:tcPr>
          <w:p>
            <w:pPr>
              <w:spacing w:after="0"/>
              <w:rPr>
                <w:sz w:val="14"/>
                <w:szCs w:val="14"/>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13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w:t>
            </w:r>
          </w:p>
        </w:tc>
        <w:tc>
          <w:tcPr>
            <w:tcW w:w="40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(8.0)</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$35.0-$40.0</w:t>
            </w:r>
          </w:p>
        </w:tc>
        <w:tc>
          <w:tcPr>
            <w:tcW w:w="320" w:type="dxa"/>
            <w:vAlign w:val="bottom"/>
            <w:shd w:val="clear" w:color="auto" w:fill="CFF0FC"/>
          </w:tcPr>
          <w:p>
            <w:pPr>
              <w:spacing w:after="0"/>
              <w:rPr>
                <w:sz w:val="19"/>
                <w:szCs w:val="19"/>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(2.3)</w:t>
            </w:r>
          </w:p>
        </w:tc>
        <w:tc>
          <w:tcPr>
            <w:tcW w:w="1820" w:type="dxa"/>
            <w:vAlign w:val="bottom"/>
          </w:tcPr>
          <w:p>
            <w:pPr>
              <w:jc w:val="right"/>
              <w:spacing w:after="0"/>
              <w:rPr>
                <w:sz w:val="20"/>
                <w:szCs w:val="20"/>
                <w:color w:val="auto"/>
              </w:rPr>
            </w:pPr>
            <w:r>
              <w:rPr>
                <w:rFonts w:ascii="Arial" w:cs="Arial" w:eastAsia="Arial" w:hAnsi="Arial"/>
                <w:sz w:val="14"/>
                <w:szCs w:val="14"/>
                <w:color w:val="auto"/>
              </w:rPr>
              <w:t>(9.4)</w:t>
            </w:r>
          </w:p>
        </w:tc>
        <w:tc>
          <w:tcPr>
            <w:tcW w:w="320" w:type="dxa"/>
            <w:vAlign w:val="bottom"/>
          </w:tcPr>
          <w:p>
            <w:pPr>
              <w:spacing w:after="0"/>
              <w:rPr>
                <w:sz w:val="14"/>
                <w:szCs w:val="14"/>
                <w:color w:val="auto"/>
              </w:rPr>
            </w:pPr>
          </w:p>
        </w:tc>
      </w:tr>
      <w:tr>
        <w:trPr>
          <w:trHeight w:val="156"/>
        </w:trPr>
        <w:tc>
          <w:tcPr>
            <w:tcW w:w="416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1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w:t>
            </w:r>
          </w:p>
        </w:tc>
        <w:tc>
          <w:tcPr>
            <w:tcW w:w="300" w:type="dxa"/>
            <w:vAlign w:val="bottom"/>
            <w:tcBorders>
              <w:top w:val="single" w:sz="8" w:color="CFF0FC"/>
            </w:tcBorders>
            <w:shd w:val="clear" w:color="auto" w:fill="CFF0FC"/>
          </w:tcPr>
          <w:p>
            <w:pPr>
              <w:spacing w:after="0"/>
              <w:rPr>
                <w:sz w:val="13"/>
                <w:szCs w:val="13"/>
                <w:color w:val="auto"/>
              </w:rPr>
            </w:pPr>
          </w:p>
        </w:tc>
        <w:tc>
          <w:tcPr>
            <w:tcW w:w="1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$25.6-$30.6</w:t>
            </w:r>
          </w:p>
        </w:tc>
        <w:tc>
          <w:tcPr>
            <w:tcW w:w="320" w:type="dxa"/>
            <w:vAlign w:val="bottom"/>
            <w:tcBorders>
              <w:top w:val="single" w:sz="8" w:color="CFF0FC"/>
            </w:tcBorders>
            <w:shd w:val="clear" w:color="auto" w:fill="CFF0FC"/>
          </w:tcPr>
          <w:p>
            <w:pPr>
              <w:spacing w:after="0"/>
              <w:rPr>
                <w:sz w:val="13"/>
                <w:szCs w:val="13"/>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(7.3)</w:t>
            </w:r>
          </w:p>
        </w:tc>
        <w:tc>
          <w:tcPr>
            <w:tcW w:w="1820" w:type="dxa"/>
            <w:vAlign w:val="bottom"/>
          </w:tcPr>
          <w:p>
            <w:pPr>
              <w:jc w:val="right"/>
              <w:spacing w:after="0"/>
              <w:rPr>
                <w:sz w:val="20"/>
                <w:szCs w:val="20"/>
                <w:color w:val="auto"/>
              </w:rPr>
            </w:pPr>
            <w:r>
              <w:rPr>
                <w:rFonts w:ascii="Arial" w:cs="Arial" w:eastAsia="Arial" w:hAnsi="Arial"/>
                <w:sz w:val="14"/>
                <w:szCs w:val="14"/>
                <w:color w:val="auto"/>
              </w:rPr>
              <w:t>(20.6)</w:t>
            </w:r>
          </w:p>
        </w:tc>
        <w:tc>
          <w:tcPr>
            <w:tcW w:w="320" w:type="dxa"/>
            <w:vAlign w:val="bottom"/>
          </w:tcPr>
          <w:p>
            <w:pPr>
              <w:spacing w:after="0"/>
              <w:rPr>
                <w:sz w:val="14"/>
                <w:szCs w:val="14"/>
                <w:color w:val="auto"/>
              </w:rPr>
            </w:pPr>
          </w:p>
        </w:tc>
      </w:tr>
      <w:tr>
        <w:trPr>
          <w:trHeight w:val="156"/>
        </w:trPr>
        <w:tc>
          <w:tcPr>
            <w:tcW w:w="416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11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$5.0-$10.0</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7" w:lineRule="exact"/>
        <w:rPr>
          <w:sz w:val="20"/>
          <w:szCs w:val="20"/>
          <w:color w:val="auto"/>
        </w:rPr>
      </w:pPr>
    </w:p>
    <w:p>
      <w:pPr>
        <w:ind w:left="1040" w:right="240" w:hanging="654"/>
        <w:spacing w:after="0" w:line="181" w:lineRule="auto"/>
        <w:tabs>
          <w:tab w:leader="none" w:pos="1040" w:val="left"/>
        </w:tabs>
        <w:numPr>
          <w:ilvl w:val="0"/>
          <w:numId w:val="7"/>
        </w:numPr>
        <w:rPr>
          <w:rFonts w:ascii="Arial" w:cs="Arial" w:eastAsia="Arial" w:hAnsi="Arial"/>
          <w:sz w:val="26"/>
          <w:szCs w:val="26"/>
          <w:color w:val="auto"/>
          <w:vertAlign w:val="subscript"/>
        </w:rPr>
      </w:pPr>
      <w:r>
        <w:rPr>
          <w:rFonts w:ascii="Arial" w:cs="Arial" w:eastAsia="Arial" w:hAnsi="Arial"/>
          <w:sz w:val="12"/>
          <w:szCs w:val="12"/>
          <w:color w:val="auto"/>
        </w:rPr>
        <w:t>Cash flow from operating activities includes lease incentives received against our capital expenditures. Projected cash flow from operating activities for fiscal 2016 includes an estimated $7.0-$8.0 million in lease incentives.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u w:val="single" w:color="auto"/>
          <w:color w:val="auto"/>
        </w:rPr>
        <w:t>EBITDA</w:t>
      </w:r>
      <w:r>
        <w:rPr>
          <w:rFonts w:ascii="Arial" w:cs="Arial" w:eastAsia="Arial" w:hAnsi="Arial"/>
          <w:sz w:val="16"/>
          <w:szCs w:val="16"/>
          <w:i w:val="1"/>
          <w:iCs w:val="1"/>
          <w:color w:val="auto"/>
        </w:rPr>
        <w:t xml:space="preserve">. </w:t>
      </w:r>
      <w:r>
        <w:rPr>
          <w:rFonts w:ascii="Arial" w:cs="Arial" w:eastAsia="Arial" w:hAnsi="Arial"/>
          <w:sz w:val="16"/>
          <w:szCs w:val="16"/>
          <w:color w:val="auto"/>
        </w:rPr>
        <w:t>EBITDA is calculated as earnings before interest, taxes, depreciation and amortization. The following table is a reconciliation net income (loss)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millions)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Net income (loss) (GAAP basis)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Add back: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EBITDA (non-GAAP basis)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3580" w:type="dxa"/>
            <w:vAlign w:val="bottom"/>
            <w:gridSpan w:val="5"/>
          </w:tcPr>
          <w:p>
            <w:pPr>
              <w:jc w:val="right"/>
              <w:ind w:right="1160"/>
              <w:spacing w:after="0"/>
              <w:rPr>
                <w:sz w:val="20"/>
                <w:szCs w:val="20"/>
                <w:color w:val="auto"/>
              </w:rPr>
            </w:pPr>
            <w:r>
              <w:rPr>
                <w:rFonts w:ascii="Arial" w:cs="Arial" w:eastAsia="Arial" w:hAnsi="Arial"/>
                <w:sz w:val="14"/>
                <w:szCs w:val="14"/>
                <w:color w:val="auto"/>
              </w:rPr>
              <w:t>For the three months ended</w:t>
            </w:r>
          </w:p>
        </w:tc>
      </w:tr>
      <w:tr>
        <w:trPr>
          <w:trHeight w:val="167"/>
        </w:trPr>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April 30, 2016</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May 2, 2015</w:t>
            </w:r>
          </w:p>
        </w:tc>
        <w:tc>
          <w:tcPr>
            <w:tcW w:w="40" w:type="dxa"/>
            <w:vAlign w:val="bottom"/>
          </w:tcPr>
          <w:p>
            <w:pPr>
              <w:spacing w:after="0"/>
              <w:rPr>
                <w:sz w:val="14"/>
                <w:szCs w:val="14"/>
                <w:color w:val="auto"/>
              </w:rPr>
            </w:pPr>
          </w:p>
        </w:tc>
      </w:tr>
      <w:tr>
        <w:trPr>
          <w:trHeight w:val="346"/>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304"/>
        </w:trPr>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4"/>
                <w:szCs w:val="24"/>
                <w:color w:val="auto"/>
              </w:rPr>
            </w:pPr>
          </w:p>
        </w:tc>
      </w:tr>
      <w:tr>
        <w:trPr>
          <w:trHeight w:val="162"/>
        </w:trPr>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4"/>
                <w:szCs w:val="14"/>
                <w:color w:val="auto"/>
              </w:rPr>
            </w:pPr>
          </w:p>
        </w:tc>
      </w:tr>
      <w:tr>
        <w:trPr>
          <w:trHeight w:val="167"/>
        </w:trPr>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14"/>
                <w:szCs w:val="14"/>
                <w:color w:val="auto"/>
              </w:rPr>
            </w:pPr>
          </w:p>
        </w:tc>
      </w:tr>
      <w:tr>
        <w:trPr>
          <w:trHeight w:val="156"/>
        </w:trPr>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3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3"/>
                <w:szCs w:val="13"/>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-650875</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-445135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-239395</wp:posOffset>
            </wp:positionV>
            <wp:extent cx="72466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00"/>
          </w:cols>
          <w:pgMar w:left="240" w:top="341" w:right="2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April 30, 2016, the interest rate on our prime based borrowings was 4.0%. Approximately $49.0 million of our outstanding borrowings were in LIBOR contracts with an interest rate of 1.9%. We also have $13.5 million outstanding under a term loan, which bears interest at a variable rate based on one-month LIBOR rates plus 6.5%.</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Based upon a sensitivity analysis as of April 30, 2016, assuming average outstanding borrowing during the first three months of fiscal 2016 of $50.6 million under our Credit Facility and $13.5 million outstanding under our term loan, a 50 basis point increase in interest rates would have resulted in a potential increase in interest expense of approximately $321,000 on an annualized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any assets to U.S. dollars may decline. As of April 30, 2016,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30, 2016.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April 30, 2016,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2016 that has materially affected, or is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2015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Destination XL Group, Inc. Long-Term Incentive Plan (included as Exhibit 10.1 to the Company’s Current Report on Form 8-K filed on March 21,</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2016, and incorporated herein by reference).</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31" w:lineRule="exact"/>
        <w:rPr>
          <w:sz w:val="20"/>
          <w:szCs w:val="20"/>
          <w:color w:val="auto"/>
        </w:rPr>
      </w:pPr>
    </w:p>
    <w:p>
      <w:pPr>
        <w:ind w:left="580" w:hanging="572"/>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April 30, 2016,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DESTINATION XL GROUP,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May 20, 2016</w:t>
            </w: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By:  /S/ John F. Cooney</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20,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20,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30, 2016,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20,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30, 2016,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20,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2019-12-05T20:03:48Z</dcterms:created>
  <dcterms:modified xsi:type="dcterms:W3CDTF">2019-12-05T20:03:48Z</dcterms:modified>
</cp:coreProperties>
</file>