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91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911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1"/>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HOLTZMAN SEYMOUR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3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restart"/>
          </w:tcPr>
          <w:p>
            <w:pPr>
              <w:ind w:left="80"/>
              <w:spacing w:after="0" w:line="162" w:lineRule="exact"/>
              <w:rPr>
                <w:sz w:val="20"/>
                <w:szCs w:val="20"/>
                <w:color w:val="auto"/>
              </w:rPr>
            </w:pPr>
            <w:r>
              <w:rPr>
                <w:rFonts w:ascii="Arial" w:cs="Arial" w:eastAsia="Arial" w:hAnsi="Arial"/>
                <w:sz w:val="18"/>
                <w:szCs w:val="18"/>
                <w:color w:val="0000FF"/>
                <w:w w:val="99"/>
              </w:rPr>
              <w:t>X</w:t>
            </w: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line="115" w:lineRule="exact"/>
              <w:rPr>
                <w:sz w:val="20"/>
                <w:szCs w:val="20"/>
                <w:color w:val="auto"/>
              </w:rPr>
            </w:pPr>
            <w:r>
              <w:rPr>
                <w:rFonts w:ascii="Arial" w:cs="Arial" w:eastAsia="Arial" w:hAnsi="Arial"/>
                <w:sz w:val="11"/>
                <w:szCs w:val="11"/>
                <w:color w:val="0000FF"/>
              </w:rPr>
              <w:t xml:space="preserve">CMRG </w:t>
            </w:r>
            <w:r>
              <w:rPr>
                <w:rFonts w:ascii="Arial" w:cs="Arial" w:eastAsia="Arial" w:hAnsi="Arial"/>
                <w:sz w:val="13"/>
                <w:szCs w:val="13"/>
                <w:color w:val="000000"/>
              </w:rPr>
              <w:t>]</w:t>
            </w: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3"/>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6"/>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05/25/2010</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9"/>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11"/>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gridSpan w:val="9"/>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8"/>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2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1"/>
          </w:tcPr>
          <w:p>
            <w:pPr>
              <w:jc w:val="center"/>
              <w:ind w:left="3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420" w:type="dxa"/>
            <w:vAlign w:val="bottom"/>
            <w:tcBorders>
              <w:bottom w:val="single" w:sz="8" w:color="2C2C2C"/>
            </w:tcBorders>
            <w:gridSpan w:val="4"/>
          </w:tcPr>
          <w:p>
            <w:pPr>
              <w:ind w:left="600"/>
              <w:spacing w:after="0"/>
              <w:rPr>
                <w:sz w:val="20"/>
                <w:szCs w:val="20"/>
                <w:color w:val="auto"/>
              </w:rPr>
            </w:pPr>
            <w:r>
              <w:rPr>
                <w:rFonts w:ascii="Arial" w:cs="Arial" w:eastAsia="Arial" w:hAnsi="Arial"/>
                <w:sz w:val="18"/>
                <w:szCs w:val="18"/>
                <w:color w:val="0000FF"/>
                <w:w w:val="88"/>
              </w:rPr>
              <w:t>05/25/2010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10,900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ind w:left="4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3.44</w:t>
            </w:r>
            <w:r>
              <w:rPr>
                <w:rFonts w:ascii="Arial" w:cs="Arial" w:eastAsia="Arial" w:hAnsi="Arial"/>
                <w:sz w:val="22"/>
                <w:szCs w:val="22"/>
                <w:color w:val="008000"/>
                <w:w w:val="88"/>
                <w:vertAlign w:val="superscript"/>
              </w:rPr>
              <w:t>(1)</w:t>
            </w: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w w:val="87"/>
              </w:rPr>
              <w:t>3,900,969</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59"/>
              <w:spacing w:after="0"/>
              <w:rPr>
                <w:sz w:val="20"/>
                <w:szCs w:val="20"/>
                <w:color w:val="auto"/>
              </w:rPr>
            </w:pPr>
            <w:r>
              <w:rPr>
                <w:rFonts w:ascii="Arial" w:cs="Arial" w:eastAsia="Arial" w:hAnsi="Arial"/>
                <w:sz w:val="18"/>
                <w:szCs w:val="18"/>
                <w:color w:val="0000FF"/>
              </w:rPr>
              <w:t>57,800</w:t>
            </w:r>
          </w:p>
        </w:tc>
        <w:tc>
          <w:tcPr>
            <w:tcW w:w="300" w:type="dxa"/>
            <w:vAlign w:val="bottom"/>
          </w:tcPr>
          <w:p>
            <w:pPr>
              <w:spacing w:after="0"/>
              <w:rPr>
                <w:sz w:val="18"/>
                <w:szCs w:val="18"/>
                <w:color w:val="auto"/>
              </w:rPr>
            </w:pPr>
          </w:p>
        </w:tc>
        <w:tc>
          <w:tcPr>
            <w:tcW w:w="5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0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2260" w:type="dxa"/>
            <w:vAlign w:val="bottom"/>
            <w:tcBorders>
              <w:bottom w:val="single" w:sz="8" w:color="2C2C2C"/>
            </w:tcBorders>
            <w:gridSpan w:val="5"/>
          </w:tcPr>
          <w:p>
            <w:pPr>
              <w:spacing w:after="0"/>
              <w:rPr>
                <w:sz w:val="8"/>
                <w:szCs w:val="8"/>
                <w:color w:val="auto"/>
              </w:rPr>
            </w:pPr>
          </w:p>
        </w:tc>
        <w:tc>
          <w:tcPr>
            <w:tcW w:w="5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gridSpan w:val="16"/>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$3.40 to $3.46. The Reporting Person hereby undertakes to provide upon request to the SEC, the Issuer, or any stockholder of the Issuer, full information regarding the number of shares and prices which the transaction was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an indirect controlling shareholder of Jewelcor Management, Inc.</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0000FF"/>
                <w:w w:val="88"/>
              </w:rPr>
              <w:t>Seymour Holtzman</w:t>
            </w:r>
          </w:p>
        </w:tc>
        <w:tc>
          <w:tcPr>
            <w:tcW w:w="7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05/27/2010</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2019-12-16T05:21:43Z</dcterms:created>
  <dcterms:modified xsi:type="dcterms:W3CDTF">2019-12-16T05:21:43Z</dcterms:modified>
</cp:coreProperties>
</file>