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jc w:val="center"/>
        <w:ind w:right="165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 (c) AND (d) AND AMENDMENTS THERETO FILED PURSUANT TO RULE 13d-2</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Casual Male Retail Group, Inc.</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$.01 per share</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148711104</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December 31, 2005</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ind w:left="640"/>
        <w:spacing w:after="0" w:line="238" w:lineRule="auto"/>
        <w:tabs>
          <w:tab w:leader="none" w:pos="126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Rule 13d-1(c)</w:t>
      </w: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13d-1(d)</w:t>
      </w:r>
    </w:p>
    <w:p>
      <w:pPr>
        <w:spacing w:after="0" w:line="206"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CUSIP No. 148711104</w:t>
            </w:r>
          </w:p>
        </w:tc>
        <w:tc>
          <w:tcPr>
            <w:tcW w:w="1380" w:type="dxa"/>
            <w:vAlign w:val="bottom"/>
          </w:tcPr>
          <w:p>
            <w:pPr>
              <w:ind w:left="106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The Clark Estates, Inc.</w:t>
      </w:r>
    </w:p>
    <w:p>
      <w:pPr>
        <w:ind w:left="640"/>
        <w:spacing w:after="0" w:line="238" w:lineRule="auto"/>
        <w:rPr>
          <w:sz w:val="20"/>
          <w:szCs w:val="20"/>
          <w:color w:val="auto"/>
        </w:rPr>
      </w:pPr>
      <w:r>
        <w:rPr>
          <w:rFonts w:ascii="Courier New" w:cs="Courier New" w:eastAsia="Courier New" w:hAnsi="Courier New"/>
          <w:sz w:val="18"/>
          <w:szCs w:val="18"/>
          <w:color w:val="auto"/>
        </w:rPr>
        <w:t>13-5524538</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620" w:val="left"/>
          <w:tab w:leader="none" w:pos="76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 [_]</w:t>
      </w:r>
    </w:p>
    <w:p>
      <w:pPr>
        <w:ind w:left="7700"/>
        <w:spacing w:after="0" w:line="238" w:lineRule="auto"/>
        <w:rPr>
          <w:sz w:val="20"/>
          <w:szCs w:val="20"/>
          <w:color w:val="auto"/>
        </w:rPr>
      </w:pPr>
      <w:r>
        <w:rPr>
          <w:rFonts w:ascii="Courier New" w:cs="Courier New" w:eastAsia="Courier New" w:hAnsi="Courier New"/>
          <w:sz w:val="18"/>
          <w:szCs w:val="18"/>
          <w:color w:val="auto"/>
        </w:rPr>
        <w:t>(b) [_]</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hanging="632"/>
        <w:spacing w:after="0" w:line="238" w:lineRule="auto"/>
        <w:tabs>
          <w:tab w:leader="none" w:pos="222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1,436,633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spacing w:after="0" w:line="4" w:lineRule="exact"/>
        <w:rPr>
          <w:sz w:val="24"/>
          <w:szCs w:val="24"/>
          <w:color w:val="auto"/>
        </w:rPr>
      </w:pPr>
    </w:p>
    <w:p>
      <w:pPr>
        <w:sectPr>
          <w:pgSz w:w="11900" w:h="16838" w:orient="portrait"/>
          <w:cols w:equalWidth="0" w:num="2">
            <w:col w:w="1160" w:space="420"/>
            <w:col w:w="8639"/>
          </w:cols>
          <w:pgMar w:left="240" w:top="244" w:right="1440" w:bottom="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SHARES</w:t>
      </w:r>
    </w:p>
    <w:p>
      <w:pPr>
        <w:sectPr>
          <w:pgSz w:w="11900" w:h="16838" w:orient="portrait"/>
          <w:cols w:equalWidth="0" w:num="1">
            <w:col w:w="10219"/>
          </w:cols>
          <w:pgMar w:left="240" w:top="244" w:right="1440" w:bottom="0" w:gutter="0" w:footer="0" w:header="0"/>
          <w:type w:val="continuous"/>
        </w:sectPr>
      </w:pP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BENEFICIALLY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w:t>
      </w:r>
    </w:p>
    <w:p>
      <w:pPr>
        <w:sectPr>
          <w:pgSz w:w="11900" w:h="16838" w:orient="portrait"/>
          <w:cols w:equalWidth="0" w:num="2">
            <w:col w:w="1500" w:space="720"/>
            <w:col w:w="7999"/>
          </w:cols>
          <w:pgMar w:left="240" w:top="244" w:right="1440" w:bottom="0" w:gutter="0" w:footer="0" w:header="0"/>
          <w:type w:val="continuous"/>
        </w:sectPr>
      </w:pPr>
    </w:p>
    <w:bookmarkStart w:id="1" w:name="page2"/>
    <w:bookmarkEnd w:id="1"/>
    <w:tbl>
      <w:tblPr>
        <w:tblLayout w:type="fixed"/>
        <w:tblInd w:w="220" w:type="dxa"/>
        <w:tblCellMar>
          <w:top w:w="0" w:type="dxa"/>
          <w:left w:w="0" w:type="dxa"/>
          <w:bottom w:w="0" w:type="dxa"/>
          <w:right w:w="0" w:type="dxa"/>
        </w:tblCellMar>
      </w:tblPr>
      <w:tr>
        <w:trPr>
          <w:trHeight w:val="204"/>
        </w:trPr>
        <w:tc>
          <w:tcPr>
            <w:tcW w:w="11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OWNED BY</w:t>
            </w:r>
          </w:p>
        </w:tc>
        <w:tc>
          <w:tcPr>
            <w:tcW w:w="316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1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rPr>
              <w:t>EACH</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1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8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1,436,633</w:t>
            </w:r>
          </w:p>
        </w:tc>
      </w:tr>
      <w:tr>
        <w:trPr>
          <w:trHeight w:val="203"/>
        </w:trPr>
        <w:tc>
          <w:tcPr>
            <w:tcW w:w="11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rPr>
              <w:t>WITH</w:t>
            </w:r>
          </w:p>
        </w:tc>
        <w:tc>
          <w:tcPr>
            <w:tcW w:w="316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bl>
    <w:p>
      <w:pPr>
        <w:spacing w:after="0" w:line="4" w:lineRule="exact"/>
        <w:rPr>
          <w:sz w:val="20"/>
          <w:szCs w:val="20"/>
          <w:color w:val="auto"/>
        </w:rPr>
      </w:pPr>
    </w:p>
    <w:p>
      <w:pPr>
        <w:ind w:left="2220" w:right="5479" w:hanging="632"/>
        <w:spacing w:after="0" w:line="357" w:lineRule="auto"/>
        <w:tabs>
          <w:tab w:leader="none" w:pos="22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1,436,633 (1)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[_]</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4.15%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Includes 247,059 shares of common stock subject to warrants exercisable within 60 days hereof.</w:t>
      </w:r>
    </w:p>
    <w:p>
      <w:pPr>
        <w:spacing w:after="0" w:line="203"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555 Turnpike Street</w:t>
      </w:r>
    </w:p>
    <w:p>
      <w:pPr>
        <w:ind w:left="640"/>
        <w:spacing w:after="0"/>
        <w:tabs>
          <w:tab w:leader="none" w:pos="3040" w:val="left"/>
        </w:tabs>
        <w:rPr>
          <w:sz w:val="20"/>
          <w:szCs w:val="20"/>
          <w:color w:val="auto"/>
        </w:rPr>
      </w:pPr>
      <w:r>
        <w:rPr>
          <w:rFonts w:ascii="Courier New" w:cs="Courier New" w:eastAsia="Courier New" w:hAnsi="Courier New"/>
          <w:sz w:val="18"/>
          <w:szCs w:val="18"/>
          <w:color w:val="auto"/>
        </w:rPr>
        <w:t>Canton, Massachusetts</w:t>
      </w:r>
      <w:r>
        <w:rPr>
          <w:sz w:val="20"/>
          <w:szCs w:val="20"/>
          <w:color w:val="auto"/>
        </w:rPr>
        <w:tab/>
      </w:r>
      <w:r>
        <w:rPr>
          <w:rFonts w:ascii="Courier New" w:cs="Courier New" w:eastAsia="Courier New" w:hAnsi="Courier New"/>
          <w:sz w:val="16"/>
          <w:szCs w:val="16"/>
          <w:color w:val="auto"/>
        </w:rPr>
        <w:t>02021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Clark Estates,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One Rockefeller Plaza</w:t>
      </w:r>
    </w:p>
    <w:p>
      <w:pPr>
        <w:ind w:left="640"/>
        <w:spacing w:after="0" w:line="238" w:lineRule="auto"/>
        <w:rPr>
          <w:sz w:val="20"/>
          <w:szCs w:val="20"/>
          <w:color w:val="auto"/>
        </w:rPr>
      </w:pPr>
      <w:r>
        <w:rPr>
          <w:rFonts w:ascii="Courier New" w:cs="Courier New" w:eastAsia="Courier New" w:hAnsi="Courier New"/>
          <w:sz w:val="18"/>
          <w:szCs w:val="18"/>
          <w:color w:val="auto"/>
        </w:rPr>
        <w:t>31st Floor</w:t>
      </w:r>
    </w:p>
    <w:p>
      <w:pPr>
        <w:ind w:left="640"/>
        <w:spacing w:after="0"/>
        <w:tabs>
          <w:tab w:leader="none" w:pos="2720" w:val="left"/>
        </w:tabs>
        <w:rPr>
          <w:sz w:val="20"/>
          <w:szCs w:val="20"/>
          <w:color w:val="auto"/>
        </w:rPr>
      </w:pPr>
      <w:r>
        <w:rPr>
          <w:rFonts w:ascii="Courier New" w:cs="Courier New" w:eastAsia="Courier New" w:hAnsi="Courier New"/>
          <w:sz w:val="18"/>
          <w:szCs w:val="18"/>
          <w:color w:val="auto"/>
        </w:rPr>
        <w:t>New York, New York</w:t>
        <w:tab/>
        <w:t>10020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New York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Common Stock, par value $.01 per share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148711104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Rule 13d-1(b), 13d-2(b) or (c),</w:t>
      </w:r>
    </w:p>
    <w:p>
      <w:pPr>
        <w:ind w:left="860"/>
        <w:spacing w:after="0" w:line="238" w:lineRule="auto"/>
        <w:rPr>
          <w:sz w:val="20"/>
          <w:szCs w:val="20"/>
          <w:color w:val="auto"/>
        </w:rPr>
      </w:pPr>
      <w:r>
        <w:rPr>
          <w:rFonts w:ascii="Courier New" w:cs="Courier New" w:eastAsia="Courier New" w:hAnsi="Courier New"/>
          <w:sz w:val="18"/>
          <w:szCs w:val="18"/>
          <w:color w:val="auto"/>
        </w:rPr>
        <w:t>Check Whether the Person Filing is a:</w:t>
      </w:r>
    </w:p>
    <w:p>
      <w:pPr>
        <w:spacing w:after="0" w:line="207" w:lineRule="exact"/>
        <w:rPr>
          <w:sz w:val="20"/>
          <w:szCs w:val="20"/>
          <w:color w:val="auto"/>
        </w:rPr>
      </w:pPr>
    </w:p>
    <w:p>
      <w:pPr>
        <w:ind w:left="1060" w:hanging="420"/>
        <w:spacing w:after="0"/>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Broker or dealer registered under Section 15 of the Exchange Act.</w:t>
      </w:r>
    </w:p>
    <w:p>
      <w:pPr>
        <w:spacing w:after="0" w:line="16" w:lineRule="exact"/>
        <w:rPr>
          <w:rFonts w:ascii="Courier New" w:cs="Courier New" w:eastAsia="Courier New" w:hAnsi="Courier New"/>
          <w:sz w:val="16"/>
          <w:szCs w:val="16"/>
          <w:color w:val="auto"/>
        </w:rPr>
      </w:pPr>
    </w:p>
    <w:p>
      <w:pPr>
        <w:ind w:left="1060" w:hanging="420"/>
        <w:spacing w:after="0" w:line="238"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Exchange Act.</w:t>
      </w:r>
    </w:p>
    <w:p>
      <w:pPr>
        <w:spacing w:after="0" w:line="4" w:lineRule="exact"/>
        <w:rPr>
          <w:rFonts w:ascii="Courier New" w:cs="Courier New" w:eastAsia="Courier New" w:hAnsi="Courier New"/>
          <w:sz w:val="18"/>
          <w:szCs w:val="18"/>
          <w:color w:val="auto"/>
        </w:rPr>
      </w:pPr>
    </w:p>
    <w:p>
      <w:pPr>
        <w:ind w:left="1480" w:right="1999" w:hanging="840"/>
        <w:spacing w:after="0" w:line="235" w:lineRule="auto"/>
        <w:tabs>
          <w:tab w:leader="none" w:pos="105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Exchange Act.</w:t>
      </w:r>
    </w:p>
    <w:p>
      <w:pPr>
        <w:spacing w:after="0" w:line="5" w:lineRule="exact"/>
        <w:rPr>
          <w:rFonts w:ascii="Courier New" w:cs="Courier New" w:eastAsia="Courier New" w:hAnsi="Courier New"/>
          <w:sz w:val="18"/>
          <w:szCs w:val="18"/>
          <w:color w:val="auto"/>
        </w:rPr>
      </w:pPr>
    </w:p>
    <w:p>
      <w:pPr>
        <w:ind w:left="1480" w:right="2099" w:hanging="840"/>
        <w:spacing w:after="0" w:line="235" w:lineRule="auto"/>
        <w:tabs>
          <w:tab w:leader="none" w:pos="105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as defined under Section 8 of the Investment Company Act.</w:t>
      </w:r>
    </w:p>
    <w:p>
      <w:pPr>
        <w:spacing w:after="0" w:line="5"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An investment adviser in accordance with Rule 13d-1(b)(1)(ii)(E).</w:t>
      </w:r>
    </w:p>
    <w:p>
      <w:pPr>
        <w:spacing w:after="0" w:line="21" w:lineRule="exact"/>
        <w:rPr>
          <w:rFonts w:ascii="Courier New" w:cs="Courier New" w:eastAsia="Courier New" w:hAnsi="Courier New"/>
          <w:sz w:val="16"/>
          <w:szCs w:val="16"/>
          <w:color w:val="auto"/>
        </w:rPr>
      </w:pPr>
    </w:p>
    <w:p>
      <w:pPr>
        <w:ind w:left="1480" w:right="1779" w:hanging="840"/>
        <w:spacing w:after="0" w:line="235" w:lineRule="auto"/>
        <w:tabs>
          <w:tab w:leader="none" w:pos="105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1480" w:right="1779" w:hanging="840"/>
        <w:spacing w:after="0" w:line="235" w:lineRule="auto"/>
        <w:tabs>
          <w:tab w:leader="none" w:pos="105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1480" w:right="2099" w:hanging="840"/>
        <w:spacing w:after="0" w:line="235" w:lineRule="auto"/>
        <w:tabs>
          <w:tab w:leader="none" w:pos="105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w:t>
      </w:r>
    </w:p>
    <w:p>
      <w:pPr>
        <w:spacing w:after="0" w:line="5" w:lineRule="exact"/>
        <w:rPr>
          <w:rFonts w:ascii="Courier New" w:cs="Courier New" w:eastAsia="Courier New" w:hAnsi="Courier New"/>
          <w:sz w:val="18"/>
          <w:szCs w:val="18"/>
          <w:color w:val="auto"/>
        </w:rPr>
      </w:pPr>
    </w:p>
    <w:p>
      <w:pPr>
        <w:ind w:left="1480" w:right="2519" w:hanging="840"/>
        <w:spacing w:after="0" w:line="236" w:lineRule="auto"/>
        <w:tabs>
          <w:tab w:leader="none" w:pos="105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w:t>
      </w:r>
    </w:p>
    <w:p>
      <w:pPr>
        <w:spacing w:after="0" w:line="1" w:lineRule="exact"/>
        <w:rPr>
          <w:rFonts w:ascii="Courier New" w:cs="Courier New" w:eastAsia="Courier New" w:hAnsi="Courier New"/>
          <w:sz w:val="18"/>
          <w:szCs w:val="18"/>
          <w:color w:val="auto"/>
        </w:rPr>
      </w:pPr>
    </w:p>
    <w:p>
      <w:pPr>
        <w:ind w:left="1060" w:hanging="420"/>
        <w:spacing w:after="0" w:line="238"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13d-1(b)(1)(ii)(J).</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1060" w:hanging="420"/>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1,436,633</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4.15%</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1,436,633</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6" w:lineRule="exact"/>
        <w:rPr>
          <w:rFonts w:ascii="Courier New" w:cs="Courier New" w:eastAsia="Courier New" w:hAnsi="Courier New"/>
          <w:sz w:val="18"/>
          <w:szCs w:val="18"/>
          <w:color w:val="auto"/>
        </w:rPr>
      </w:pPr>
    </w:p>
    <w:p>
      <w:pPr>
        <w:ind w:left="1900" w:right="2619" w:hanging="628"/>
        <w:spacing w:after="0" w:line="235" w:lineRule="auto"/>
        <w:tabs>
          <w:tab w:leader="none" w:pos="19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1,436,633</w:t>
      </w:r>
    </w:p>
    <w:p>
      <w:pPr>
        <w:spacing w:after="0" w:line="208" w:lineRule="exact"/>
        <w:rPr>
          <w:rFonts w:ascii="Courier New" w:cs="Courier New" w:eastAsia="Courier New" w:hAnsi="Courier New"/>
          <w:sz w:val="18"/>
          <w:szCs w:val="18"/>
          <w:color w:val="auto"/>
        </w:rPr>
      </w:pPr>
    </w:p>
    <w:p>
      <w:pPr>
        <w:ind w:right="2319" w:firstLine="1272"/>
        <w:spacing w:after="0" w:line="470" w:lineRule="auto"/>
        <w:tabs>
          <w:tab w:leader="none" w:pos="1791"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 Item 5. Ownership of Five Percent or Less of a Class:</w:t>
      </w:r>
    </w:p>
    <w:p>
      <w:pPr>
        <w:spacing w:after="0" w:line="1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a class of securities, check the following |X|.</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199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717" w:right="1440" w:bottom="1440" w:gutter="0" w:footer="0" w:header="0"/>
        </w:sectPr>
      </w:pPr>
    </w:p>
    <w:bookmarkStart w:id="4" w:name="page5"/>
    <w:bookmarkEnd w:id="4"/>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10, 2006</w:t>
      </w:r>
    </w:p>
    <w:p>
      <w:pPr>
        <w:spacing w:after="0" w:line="20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THE CLARK ESTATES, INC.</w:t>
      </w:r>
    </w:p>
    <w:p>
      <w:pPr>
        <w:spacing w:after="0" w:line="200" w:lineRule="exact"/>
        <w:rPr>
          <w:sz w:val="20"/>
          <w:szCs w:val="20"/>
          <w:color w:val="auto"/>
        </w:rPr>
      </w:pPr>
    </w:p>
    <w:p>
      <w:pPr>
        <w:spacing w:after="0" w:line="204"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By: /s/ Kevin S. Moore</w:t>
      </w:r>
    </w:p>
    <w:p>
      <w:pPr>
        <w:spacing w:after="0" w:line="4"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220"/>
        <w:spacing w:after="0"/>
        <w:tabs>
          <w:tab w:leader="none" w:pos="6940" w:val="left"/>
        </w:tabs>
        <w:rPr>
          <w:sz w:val="20"/>
          <w:szCs w:val="20"/>
          <w:color w:val="auto"/>
        </w:rPr>
      </w:pPr>
      <w:r>
        <w:rPr>
          <w:rFonts w:ascii="Courier New" w:cs="Courier New" w:eastAsia="Courier New" w:hAnsi="Courier New"/>
          <w:sz w:val="16"/>
          <w:szCs w:val="16"/>
          <w:color w:val="auto"/>
        </w:rPr>
        <w:t>Name:</w:t>
        <w:tab/>
        <w:t>Kevin S. Moore</w:t>
      </w:r>
    </w:p>
    <w:p>
      <w:pPr>
        <w:spacing w:after="0" w:line="1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Title: President</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1."/>
      <w:numFmt w:val="decimal"/>
      <w:start w:val="4"/>
    </w:lvl>
  </w:abstractNum>
  <w:abstractNum w:abstractNumId="4">
    <w:nsid w:val="5BD062C2"/>
    <w:multiLevelType w:val="hybridMultilevel"/>
    <w:lvl w:ilvl="0">
      <w:lvlJc w:val="left"/>
      <w:lvlText w:val="-"/>
      <w:numFmt w:val="bullet"/>
      <w:start w:val="1"/>
    </w:lvl>
    <w:lvl w:ilvl="1">
      <w:lvlJc w:val="left"/>
      <w:lvlText w:val="%2."/>
      <w:numFmt w:val="decimal"/>
      <w:start w:val="5"/>
    </w:lvl>
  </w:abstractNum>
  <w:abstractNum w:abstractNumId="5">
    <w:nsid w:val="12200854"/>
    <w:multiLevelType w:val="hybridMultilevel"/>
    <w:lvl w:ilvl="0">
      <w:lvlJc w:val="left"/>
      <w:lvlText w:val="-"/>
      <w:numFmt w:val="bullet"/>
      <w:start w:val="1"/>
    </w:lvl>
    <w:lvl w:ilvl="1">
      <w:lvlJc w:val="left"/>
      <w:lvlText w:val="%2."/>
      <w:numFmt w:val="decimal"/>
      <w:start w:val="8"/>
    </w:lvl>
  </w:abstractNum>
  <w:abstractNum w:abstractNumId="6">
    <w:nsid w:val="4DB127F8"/>
    <w:multiLevelType w:val="hybridMultilevel"/>
    <w:lvl w:ilvl="0">
      <w:lvlJc w:val="left"/>
      <w:lvlText w:val="%1."/>
      <w:numFmt w:val="decimal"/>
      <w:start w:val="9"/>
    </w:lvl>
  </w:abstractNum>
  <w:abstractNum w:abstractNumId="7">
    <w:nsid w:val="216231B"/>
    <w:multiLevelType w:val="hybridMultilevel"/>
    <w:lvl w:ilvl="0">
      <w:lvlJc w:val="left"/>
      <w:lvlText w:val="%1."/>
      <w:numFmt w:val="decimal"/>
      <w:start w:val="10"/>
    </w:lvl>
  </w:abstractNum>
  <w:abstractNum w:abstractNumId="8">
    <w:nsid w:val="1F16E9E8"/>
    <w:multiLevelType w:val="hybridMultilevel"/>
    <w:lvl w:ilvl="0">
      <w:lvlJc w:val="left"/>
      <w:lvlText w:val="%1."/>
      <w:numFmt w:val="decimal"/>
      <w:start w:val="11"/>
    </w:lvl>
  </w:abstractNum>
  <w:abstractNum w:abstractNumId="9">
    <w:nsid w:val="1190CDE7"/>
    <w:multiLevelType w:val="hybridMultilevel"/>
    <w:lvl w:ilvl="0">
      <w:lvlJc w:val="left"/>
      <w:lvlText w:val="%1."/>
      <w:numFmt w:val="decimal"/>
      <w:start w:val="12"/>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2019-12-21T02:04:10Z</dcterms:created>
  <dcterms:modified xsi:type="dcterms:W3CDTF">2019-12-21T02:04:10Z</dcterms:modified>
</cp:coreProperties>
</file>