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On August 30, 2018, Destination XL Group, Inc. (the “Company”) issued a press release announcing the Company’s operating results for the second quarter of fiscal 2018 and reaffirming its 2018 guidance. A copy of this press release is attached hereto as Exhibit 99.1.</w:t>
      </w:r>
    </w:p>
    <w:p>
      <w:pPr>
        <w:spacing w:after="0" w:line="18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An audio webcast to discuss the Company’s operating results for the second quarter of fiscal 2018 and fiscal 2018 outlook will be held today, August 30, 2018 at 9:00 a.m. ET. Interested parties can access the webcast on the Company's website at www.destinationxl.com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August 30, 2018</w:t>
              </w:r>
            </w:hyperlink>
          </w:p>
        </w:tc>
      </w:tr>
      <w:tr>
        <w:trPr>
          <w:trHeight w:val="1486"/>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60" w:type="dxa"/>
            <w:vAlign w:val="bottom"/>
            <w:tcBorders>
              <w:top w:val="single" w:sz="8" w:color="0000EE"/>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30,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7620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2"/>
          <w:szCs w:val="12"/>
          <w:b w:val="1"/>
          <w:bCs w:val="1"/>
          <w:color w:val="auto"/>
        </w:rPr>
        <w:t>Senior Vice President, Chief Administrative Officer, General Counsel and</w:t>
      </w:r>
    </w:p>
    <w:p>
      <w:pPr>
        <w:spacing w:after="0" w:line="1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00"/>
          </w:cols>
          <w:pgMar w:left="240" w:top="334" w:right="359" w:bottom="1440" w:gutter="0" w:footer="0" w:header="0"/>
        </w:sectPr>
      </w:pPr>
    </w:p>
    <w:bookmarkStart w:id="3" w:name="page4"/>
    <w:bookmarkEnd w:id="3"/>
    <w:p>
      <w:pPr>
        <w:ind w:left="32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205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0520" cy="266065"/>
                    </a:xfrm>
                    <a:prstGeom prst="rect">
                      <a:avLst/>
                    </a:prstGeom>
                    <a:noFill/>
                  </pic:spPr>
                </pic:pic>
              </a:graphicData>
            </a:graphic>
          </wp:anchor>
        </w:drawing>
        <w:t>Exhibit 99.1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Sales momentum continues with +3.3% second quarter comparable sales increase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Re-affirms fiscal 2018 guidance</w:t>
      </w:r>
    </w:p>
    <w:p>
      <w:pPr>
        <w:spacing w:after="0" w:line="37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CANTON, Mass., August 30, 2018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second quarter of fiscal 2018.</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41"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second quarter of $122.2 million, up $1.1 million or 0.9% from $121.1 million in the prior-year second quarter.</w:t>
      </w:r>
    </w:p>
    <w:p>
      <w:pPr>
        <w:spacing w:after="0" w:line="38"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3.3% for the second quarter.</w:t>
      </w:r>
    </w:p>
    <w:p>
      <w:pPr>
        <w:ind w:left="880" w:right="2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quarter was $(1.2) million, or $(0.02) per diluted share, as compared to prior-year quarter’s net loss of $(3.7) million, or $(0.08) per diluted share.</w:t>
      </w:r>
    </w:p>
    <w:p>
      <w:pPr>
        <w:spacing w:after="0" w:line="1" w:lineRule="exact"/>
        <w:rPr>
          <w:rFonts w:ascii="Arial" w:cs="Arial" w:eastAsia="Arial" w:hAnsi="Arial"/>
          <w:sz w:val="20"/>
          <w:szCs w:val="20"/>
          <w:color w:val="auto"/>
        </w:rPr>
      </w:pPr>
    </w:p>
    <w:p>
      <w:pPr>
        <w:ind w:left="880" w:right="22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adjusted net income for the second quarter was $0.01 per diluted share, as compared to adjusted net loss of $(0.03) per diluted share for the prior-year second quarter.</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second quarter was $8.8 million compared to $6.7 million in the prior-year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“We are pleased to report our third consecutive quarter of positive comparable sales growth with a second quarter increase of 3.3%. The performance was broad-based across channels and all regions of the country and was achieved with 8.4% less inventory than we had a year ago. This was another quarter of successful execution against our strategic initiatives and we are well positioned for continued progress in the second half,” said David Levin, President and Chief Executive Officer.</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launched our Spring advertising campaign at the end of the first quarter,” Levin further commented, “and were pleased with how the new campaign resonated with our customers. Our aided brand awareness scores improved, as did other key measures such as emotional connection and intent to shop. Our upgraded website is expected to launch in the next few weeks, which we believe will deliver an optimized experience across all of our digital platforms.” Levin concluded.</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Results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Total sales for the second quarter of fiscal 2018 increased 0.9% to $122.2 million from $121.1 million in the second quarter of fiscal 2017. The increase of $1.1 million in total sales was due to a comparable sales increase of 3.3%, or $3.8 million and an increase of $2.0 million in non-comparable sales from DXL stores open less than 13 months. These increases were partially offset by closed stores of $2.3 million and a $1.9 million shift in calendar weeks due to the 53</w:t>
      </w:r>
      <w:r>
        <w:rPr>
          <w:rFonts w:ascii="Arial" w:cs="Arial" w:eastAsia="Arial" w:hAnsi="Arial"/>
          <w:sz w:val="16"/>
          <w:szCs w:val="16"/>
          <w:color w:val="auto"/>
        </w:rPr>
        <w:t>rd</w:t>
      </w:r>
      <w:r>
        <w:rPr>
          <w:rFonts w:ascii="Arial" w:cs="Arial" w:eastAsia="Arial" w:hAnsi="Arial"/>
          <w:sz w:val="20"/>
          <w:szCs w:val="20"/>
          <w:color w:val="auto"/>
        </w:rPr>
        <w:t xml:space="preserve"> week in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For the second quarter of fiscal 2018, our gross margin rate, inclusive of occupancy costs, was 46.3% as compared to a gross margin rate of 46.1% for the second quarter of fiscal 2017. The 20 basis point improvement was due to a 30 basis point decrease in occupancy costs as a percent of sales partially offset by a 10 basis point decrease in merchandise margins. The decrease in merchandise margin was related to an increase in shipping costs, primarily in our direct business. Occupancy costs, as a percentage of sales, improved from leverage on a higher sales base and a decrease of $0.2 million related to closed stores.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As a percentage of sales, SG&amp;A (selling, general and administrative) expenses for the second quarter of fiscal 2018 were 39.1% as compared to 40.5% for the second quarter of fiscal 2017. On a dollar basis, SG&amp;A decreased by $1.3 million for the second quarter of fiscal 2018. The decrease was due to a reduction in payroll and payroll related costs of $1.5 million and a decrease in marketing costs of $0.5 million. These savings were partially offset by an increase of $0.8 million in costs related to e-commerce and technology initiatives.</w:t>
      </w:r>
    </w:p>
    <w:p>
      <w:pPr>
        <w:spacing w:after="0" w:line="94"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24.2% of sales in the second quarter of fiscal 2018 as compared to 24.7% of sales in the second quarter of last year. Corporate Support Costs, which include the distribution center and corporate overhead costs, represented 14.9% of sales in the second quarter of fiscal 2018 compared to 15.8% of sales in the second quarter of last year.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Restructuring</w:t>
      </w:r>
    </w:p>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In May 2018, the Company executed a corporate restructuring to accelerate the Company's path to profitability by better aligning its expense structure with its revenues. The Company eliminated 56 positions, which represented approximately 15% of our corporate work force, or 2% of our total work force. Of the 56 positions, 36 positions were terminations and 20 positions were open positions that will not be filled. As a result, the Company expects to incur an aggregate charge of $1.8 million, of which $1.6 million was incurred in the second quarter of fiscal 2018, for employee severance and one-time termination benefits, as well as other employee-related costs. Approximately $1.5 million of the $1.8 million are expected to be cash expenditures.</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a result of this restructuring, the Company expects to realize savings of approximately $5.6 million in SG&amp;A expenses in fiscal 2018, which is reflected in our earnings guidance. The savings primarily related to corporate payroll, travel, benefits and non-essential project expenses, and are expected to be approximately $10.3 million on an annualized basis. The majority of the actions necessary to realize these savings were completed during the second quarter of fiscal 2018. The Company will continue to address its SG&amp;A cost structure to improve its EBITDA margins and overall profitability.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Net Loss</w:t>
      </w:r>
    </w:p>
    <w:p>
      <w:pPr>
        <w:spacing w:after="0" w:line="10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For the second quarter of fiscal 2018, we had a net loss of $(1.2) million, or $(0.02) per diluted share, compared with a net loss of $(3.7) million, or $(0.08) per diluted share, for the second quarter of fiscal 2017.</w:t>
      </w:r>
    </w:p>
    <w:p>
      <w:pPr>
        <w:spacing w:after="0" w:line="6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On a non-GAAP basis, adjusting for the restructuring charge in the second quarter of fiscal 2018 and the asset impairment charge in the second quarter of fiscal 2017, adjusted net income per share, assuming a normalized tax rate of 26%, was $0.01 per diluted share, as compared to adjusted net loss of $(0.03) per diluted share for the second quarter 2017.</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Adjusted earnings before interest, taxes, depreciation and amortization (Adjusted EBITDA), a non-GAAP measure, for the second quarter of fiscal 2018 were $8.8 million, compared to $6.7 million for the second quarter of fiscal 2017, driven by comparable sales growth as well as reduced SG&amp;A expenses related to lower payroll related costs, as a result of the restructuring, and reduced marketing costs. Adjusted EBITDA excludes restructuring and asset impairment charges.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3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Cash Flow from operations for the first six months of fiscal 2018 was $6.8 million, compared to $14.3 million for the first six months of fiscal 2017. This decrease in cash flow from operations was primarily due to the prior year benefiting by approximately $5.0 million from inventory reduction initiatives and a decrease from the prior year in tenant allowances of approximately $3.0 million, which corresponds to our decrease in capital expenditures.</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Capital expenditures for the first six months of fiscal 2018 decreased to $7.4 million as compared to $13.8 million for the first six months of fiscal 2017, due to opening fewer stores. For the first six months of fiscal 2018, we opened three new DXL stores and rebranded three Casual Male XL stores to DXL stores, compared to 15 new DXL store openings for the first six months of fiscal 2017. Partially offsetting this decrease in store capital was an increase in capital expenditures related to our IT and website initiatives. The majority of the planned capital for these IT and website initiatives was incurred in the first half of fiscal 2018. Free cash flow after capital expenditures for new store openings, a non-GAAP measure, was $(0.6) million for the first six months of fiscal 2018 as compared to $0.6 million for the first six months of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4279265" cy="746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92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EBITDA, adjusted EBITDA, adjusted net income (loss), adjusted net income (loss) per diluted share and free cash flow are non-GAAP financial measures. Please see “Non-GAAP Measures” below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reconciliations of these non-GAAP measures to the comparable GAAP measures that follow in the tables below.</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3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During the second quarter of fiscal 2018, the Company amended and restated its credit facility. The amendment extended the term of the credit facility from October 2019 to May 2023, reduced interest rates on its $125.0 million revolving credit facility by 25 basis points, and added a new $15.0 million first in, last out (“FILO”) term loan facility. The proceeds from the FILO facility were used to repay, in full, the Company’s previous term loan facility. Interest rates on the FILO facility are 350-375 basis points lower than under the previous term loan facility.</w:t>
      </w:r>
    </w:p>
    <w:p>
      <w:pPr>
        <w:spacing w:after="0" w:line="94"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At August 4, 2018, the Company had cash and cash equivalents of $6.2 million. Total debt at August 4, 2018 was $61.2 million and consisted of $46.4 million outstanding under the Company’s revolving credit facility and $14.7 million outstanding under its FILO facility, net of unamortized debt issuance costs. At August 4, 2018, the Company had $41.3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Inventory was $102.9 million at August 4, 2018 as compared to $103.3 million at February 3, 2018 and $112.3 million at July 29, 2017. The decrease of $9.4 million in inventory compared with last year’s second quarter was due to the inventory initiatives taken last fiscal year to improve timing of receipts and weeks of supply on hand.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41"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color w:val="auto"/>
        </w:rPr>
        <w:t>For the first six months of fiscal 2018, the Company opened two new DXL stores, one DXL outlet store, rebranded three Casual Male XL stores to DXL and closed seven Casual Male XL stores, three Casual Male XL outlets and one DXL store. Total retail square footage has remained relatively constant since the end of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20" w:type="dxa"/>
            <w:vAlign w:val="bottom"/>
            <w:gridSpan w:val="5"/>
          </w:tcPr>
          <w:p>
            <w:pPr>
              <w:ind w:left="620"/>
              <w:spacing w:after="0"/>
              <w:rPr>
                <w:sz w:val="20"/>
                <w:szCs w:val="20"/>
                <w:color w:val="auto"/>
              </w:rPr>
            </w:pPr>
            <w:r>
              <w:rPr>
                <w:rFonts w:ascii="Arial" w:cs="Arial" w:eastAsia="Arial" w:hAnsi="Arial"/>
                <w:sz w:val="14"/>
                <w:szCs w:val="14"/>
                <w:color w:val="auto"/>
              </w:rPr>
              <w:t>Year End 2016</w:t>
            </w:r>
          </w:p>
        </w:tc>
        <w:tc>
          <w:tcPr>
            <w:tcW w:w="2320" w:type="dxa"/>
            <w:vAlign w:val="bottom"/>
            <w:gridSpan w:val="4"/>
          </w:tcPr>
          <w:p>
            <w:pPr>
              <w:ind w:left="620"/>
              <w:spacing w:after="0"/>
              <w:rPr>
                <w:sz w:val="20"/>
                <w:szCs w:val="20"/>
                <w:color w:val="auto"/>
              </w:rPr>
            </w:pPr>
            <w:r>
              <w:rPr>
                <w:rFonts w:ascii="Arial" w:cs="Arial" w:eastAsia="Arial" w:hAnsi="Arial"/>
                <w:sz w:val="14"/>
                <w:szCs w:val="14"/>
                <w:color w:val="auto"/>
              </w:rPr>
              <w:t>Year End 2017</w:t>
            </w:r>
          </w:p>
        </w:tc>
        <w:tc>
          <w:tcPr>
            <w:tcW w:w="2240" w:type="dxa"/>
            <w:vAlign w:val="bottom"/>
            <w:gridSpan w:val="4"/>
          </w:tcPr>
          <w:p>
            <w:pPr>
              <w:ind w:left="480"/>
              <w:spacing w:after="0"/>
              <w:rPr>
                <w:sz w:val="20"/>
                <w:szCs w:val="20"/>
                <w:color w:val="auto"/>
              </w:rPr>
            </w:pPr>
            <w:r>
              <w:rPr>
                <w:rFonts w:ascii="Arial" w:cs="Arial" w:eastAsia="Arial" w:hAnsi="Arial"/>
                <w:sz w:val="14"/>
                <w:szCs w:val="14"/>
                <w:color w:val="auto"/>
              </w:rPr>
              <w:t>At August 4, 2018</w:t>
            </w:r>
          </w:p>
        </w:tc>
        <w:tc>
          <w:tcPr>
            <w:tcW w:w="2240" w:type="dxa"/>
            <w:vAlign w:val="bottom"/>
            <w:gridSpan w:val="4"/>
          </w:tcPr>
          <w:p>
            <w:pPr>
              <w:ind w:left="540"/>
              <w:spacing w:after="0"/>
              <w:rPr>
                <w:sz w:val="20"/>
                <w:szCs w:val="20"/>
                <w:color w:val="auto"/>
              </w:rPr>
            </w:pPr>
            <w:r>
              <w:rPr>
                <w:rFonts w:ascii="Arial" w:cs="Arial" w:eastAsia="Arial" w:hAnsi="Arial"/>
                <w:sz w:val="14"/>
                <w:szCs w:val="14"/>
                <w:color w:val="auto"/>
              </w:rPr>
              <w:t>Year End 2018E</w:t>
            </w:r>
          </w:p>
        </w:tc>
      </w:tr>
      <w:tr>
        <w:trPr>
          <w:trHeight w:val="180"/>
        </w:trPr>
        <w:tc>
          <w:tcPr>
            <w:tcW w:w="2300" w:type="dxa"/>
            <w:vAlign w:val="bottom"/>
            <w:shd w:val="clear" w:color="auto" w:fill="CFF0FC"/>
          </w:tcPr>
          <w:p>
            <w:pPr>
              <w:spacing w:after="0"/>
              <w:rPr>
                <w:sz w:val="15"/>
                <w:szCs w:val="15"/>
                <w:color w:val="auto"/>
              </w:rPr>
            </w:pPr>
          </w:p>
        </w:tc>
        <w:tc>
          <w:tcPr>
            <w:tcW w:w="76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 of</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6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r>
      <w:tr>
        <w:trPr>
          <w:trHeight w:val="157"/>
        </w:trPr>
        <w:tc>
          <w:tcPr>
            <w:tcW w:w="230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center"/>
              <w:ind w:left="188"/>
              <w:spacing w:after="0" w:line="157" w:lineRule="exact"/>
              <w:rPr>
                <w:sz w:val="20"/>
                <w:szCs w:val="20"/>
                <w:color w:val="auto"/>
              </w:rPr>
            </w:pPr>
            <w:r>
              <w:rPr>
                <w:rFonts w:ascii="Arial" w:cs="Arial" w:eastAsia="Arial" w:hAnsi="Arial"/>
                <w:sz w:val="14"/>
                <w:szCs w:val="14"/>
                <w:color w:val="auto"/>
              </w:rPr>
              <w:t>Stores</w:t>
            </w:r>
          </w:p>
        </w:tc>
        <w:tc>
          <w:tcPr>
            <w:tcW w:w="2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r>
      <w:tr>
        <w:trPr>
          <w:trHeight w:val="169"/>
        </w:trPr>
        <w:tc>
          <w:tcPr>
            <w:tcW w:w="306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4"/>
                <w:szCs w:val="14"/>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5"/>
                <w:szCs w:val="15"/>
                <w:color w:val="auto"/>
              </w:rPr>
            </w:pP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2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r>
      <w:tr>
        <w:trPr>
          <w:trHeight w:val="176"/>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5"/>
                <w:szCs w:val="15"/>
                <w:color w:val="auto"/>
              </w:rPr>
            </w:pPr>
          </w:p>
        </w:tc>
      </w:tr>
      <w:tr>
        <w:trPr>
          <w:trHeight w:val="176"/>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r>
      <w:tr>
        <w:trPr>
          <w:trHeight w:val="169"/>
        </w:trPr>
        <w:tc>
          <w:tcPr>
            <w:tcW w:w="3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FF0FC"/>
          </w:tcPr>
          <w:p>
            <w:pPr>
              <w:spacing w:after="0"/>
              <w:rPr>
                <w:sz w:val="14"/>
                <w:szCs w:val="1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are defined as sales that originate online, including those initiated online at the store level. On a trailing 12-month basis, our direct business increased to 21.2% of our total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at the end of the second quarter of fiscal 2018 as compared to 20.5% at the end of second quarter of fiscal 2017.</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2018 Outlook</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are reaffirming our earnings guidance, which we revised at the end of the first quarter of fiscal 2018 to reflect the savings that we expect from the corporate restructuring. We incurred a charge of $1.6 million in the second quarter of fiscal 2018 for severance and other restructuring charges. In addition, we expect to incur an additional $0.2 million in restructuring charges in the third quarter of fiscal 2018 and, by the end of fiscal 2018, approximately $4.2 million associated with CEO transition costs.</w:t>
      </w:r>
    </w:p>
    <w:p>
      <w:pPr>
        <w:spacing w:after="0" w:line="110"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Our strategy for fiscal 2018 remains focused on customer acquisition, customer retention, and customer re-activation. Our marketing spend for the year is expected to be approximately $24.0 million, which is less than fiscal 2017 spend of approximately $29.5 million, but greater than fiscal 2016 spend of $18.0 million. Compared to fiscal 2017, we are projecting that our total sales for the year will be negatively impacted by one less week of sales and a net decrease in store count of ten stores, worth approximately $5.3 million in sales. Fiscal 2017 included a 53</w:t>
      </w:r>
      <w:r>
        <w:rPr>
          <w:rFonts w:ascii="Arial" w:cs="Arial" w:eastAsia="Arial" w:hAnsi="Arial"/>
          <w:sz w:val="15"/>
          <w:szCs w:val="15"/>
          <w:color w:val="auto"/>
        </w:rPr>
        <w:t>rd</w:t>
      </w:r>
      <w:r>
        <w:rPr>
          <w:rFonts w:ascii="Arial" w:cs="Arial" w:eastAsia="Arial" w:hAnsi="Arial"/>
          <w:sz w:val="19"/>
          <w:szCs w:val="19"/>
          <w:color w:val="auto"/>
        </w:rPr>
        <w:t xml:space="preserve"> week, with sales of $6.9 million and operating income of $1.6 million.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Our guidance for fiscal 2018, based on a 52-week year, is as follows:</w:t>
      </w:r>
    </w:p>
    <w:p>
      <w:pPr>
        <w:spacing w:after="0" w:line="256" w:lineRule="exact"/>
        <w:rPr>
          <w:sz w:val="20"/>
          <w:szCs w:val="20"/>
          <w:color w:val="auto"/>
        </w:rPr>
      </w:pPr>
    </w:p>
    <w:p>
      <w:pPr>
        <w:ind w:left="900" w:hanging="298"/>
        <w:spacing w:after="0"/>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Sales of $462.0 million to $472.0 million, with a total company comparable sales increase of approximately 1.0% to 3.0%.</w:t>
      </w:r>
    </w:p>
    <w:p>
      <w:pPr>
        <w:spacing w:after="0" w:line="119" w:lineRule="exact"/>
        <w:rPr>
          <w:rFonts w:ascii="Arial" w:cs="Arial" w:eastAsia="Arial" w:hAnsi="Arial"/>
          <w:sz w:val="19"/>
          <w:szCs w:val="19"/>
          <w:color w:val="auto"/>
        </w:rPr>
      </w:pPr>
    </w:p>
    <w:p>
      <w:pPr>
        <w:ind w:left="900" w:hanging="298"/>
        <w:spacing w:after="0"/>
        <w:tabs>
          <w:tab w:leader="none" w:pos="900" w:val="left"/>
        </w:tabs>
        <w:numPr>
          <w:ilvl w:val="2"/>
          <w:numId w:val="3"/>
        </w:numPr>
        <w:rPr>
          <w:rFonts w:ascii="Arial" w:cs="Arial" w:eastAsia="Arial" w:hAnsi="Arial"/>
          <w:sz w:val="20"/>
          <w:szCs w:val="20"/>
          <w:color w:val="auto"/>
        </w:rPr>
      </w:pPr>
      <w:r>
        <w:rPr>
          <w:rFonts w:ascii="Arial" w:cs="Arial" w:eastAsia="Arial" w:hAnsi="Arial"/>
          <w:sz w:val="20"/>
          <w:szCs w:val="20"/>
          <w:color w:val="auto"/>
        </w:rPr>
        <w:t>Gross margin rate of approximately 44.5%.</w:t>
      </w:r>
    </w:p>
    <w:p>
      <w:pPr>
        <w:spacing w:after="0" w:line="107" w:lineRule="exact"/>
        <w:rPr>
          <w:rFonts w:ascii="Arial" w:cs="Arial" w:eastAsia="Arial" w:hAnsi="Arial"/>
          <w:sz w:val="20"/>
          <w:szCs w:val="20"/>
          <w:color w:val="auto"/>
        </w:rPr>
      </w:pPr>
    </w:p>
    <w:p>
      <w:pPr>
        <w:ind w:left="900" w:hanging="298"/>
        <w:spacing w:after="0"/>
        <w:tabs>
          <w:tab w:leader="none" w:pos="900" w:val="left"/>
        </w:tabs>
        <w:numPr>
          <w:ilvl w:val="2"/>
          <w:numId w:val="3"/>
        </w:numPr>
        <w:rPr>
          <w:rFonts w:ascii="Arial" w:cs="Arial" w:eastAsia="Arial" w:hAnsi="Arial"/>
          <w:sz w:val="20"/>
          <w:szCs w:val="20"/>
          <w:color w:val="auto"/>
        </w:rPr>
      </w:pPr>
      <w:r>
        <w:rPr>
          <w:rFonts w:ascii="Arial" w:cs="Arial" w:eastAsia="Arial" w:hAnsi="Arial"/>
          <w:sz w:val="20"/>
          <w:szCs w:val="20"/>
          <w:color w:val="auto"/>
        </w:rPr>
        <w:t>Net loss, on a GAAP basis, of $(13.2) to $(18.2) million, or $(0.27) to $(0.37) per diluted share.</w:t>
      </w:r>
    </w:p>
    <w:p>
      <w:pPr>
        <w:spacing w:after="0" w:line="107" w:lineRule="exact"/>
        <w:rPr>
          <w:rFonts w:ascii="Arial" w:cs="Arial" w:eastAsia="Arial" w:hAnsi="Arial"/>
          <w:sz w:val="20"/>
          <w:szCs w:val="20"/>
          <w:color w:val="auto"/>
        </w:rPr>
      </w:pPr>
    </w:p>
    <w:p>
      <w:pPr>
        <w:ind w:left="900" w:hanging="298"/>
        <w:spacing w:after="0" w:line="250" w:lineRule="auto"/>
        <w:tabs>
          <w:tab w:leader="none" w:pos="900" w:val="left"/>
        </w:tabs>
        <w:numPr>
          <w:ilvl w:val="2"/>
          <w:numId w:val="3"/>
        </w:numPr>
        <w:rPr>
          <w:rFonts w:ascii="Arial" w:cs="Arial" w:eastAsia="Arial" w:hAnsi="Arial"/>
          <w:sz w:val="20"/>
          <w:szCs w:val="20"/>
          <w:color w:val="auto"/>
        </w:rPr>
      </w:pPr>
      <w:r>
        <w:rPr>
          <w:rFonts w:ascii="Arial" w:cs="Arial" w:eastAsia="Arial" w:hAnsi="Arial"/>
          <w:sz w:val="20"/>
          <w:szCs w:val="20"/>
          <w:color w:val="auto"/>
        </w:rPr>
        <w:t>Adjusted net loss of $(0.11) to $(0.18) per diluted share. Because we expect to continue providing a full valuation allowance against our deferred tax assets, we do not expect to recognize any income tax benefit in fiscal 2018. This non-GAAP net loss is before restructuring charges and CEO transition costs and assumes a tax rate benefit of 26%. *</w:t>
      </w:r>
    </w:p>
    <w:p>
      <w:pPr>
        <w:spacing w:after="0" w:line="78" w:lineRule="exact"/>
        <w:rPr>
          <w:rFonts w:ascii="Arial" w:cs="Arial" w:eastAsia="Arial" w:hAnsi="Arial"/>
          <w:sz w:val="20"/>
          <w:szCs w:val="20"/>
          <w:color w:val="auto"/>
        </w:rPr>
      </w:pPr>
    </w:p>
    <w:p>
      <w:pPr>
        <w:ind w:left="900" w:hanging="298"/>
        <w:spacing w:after="0"/>
        <w:tabs>
          <w:tab w:leader="none" w:pos="900" w:val="left"/>
        </w:tabs>
        <w:numPr>
          <w:ilvl w:val="2"/>
          <w:numId w:val="3"/>
        </w:numPr>
        <w:rPr>
          <w:rFonts w:ascii="Arial" w:cs="Arial" w:eastAsia="Arial" w:hAnsi="Arial"/>
          <w:sz w:val="19"/>
          <w:szCs w:val="19"/>
          <w:color w:val="auto"/>
        </w:rPr>
      </w:pPr>
      <w:r>
        <w:rPr>
          <w:rFonts w:ascii="Arial" w:cs="Arial" w:eastAsia="Arial" w:hAnsi="Arial"/>
          <w:sz w:val="19"/>
          <w:szCs w:val="19"/>
          <w:color w:val="auto"/>
        </w:rPr>
        <w:t>EBITDA adjusted for restructuring charges and CEO transition costs (“Adjusted EBITDA”) of $20.0 million to $25.0 million.*</w:t>
      </w:r>
    </w:p>
    <w:p>
      <w:pPr>
        <w:spacing w:after="0" w:line="119" w:lineRule="exact"/>
        <w:rPr>
          <w:rFonts w:ascii="Arial" w:cs="Arial" w:eastAsia="Arial" w:hAnsi="Arial"/>
          <w:sz w:val="19"/>
          <w:szCs w:val="19"/>
          <w:color w:val="auto"/>
        </w:rPr>
      </w:pPr>
    </w:p>
    <w:p>
      <w:pPr>
        <w:ind w:left="900" w:right="40" w:hanging="298"/>
        <w:spacing w:after="0" w:line="245" w:lineRule="auto"/>
        <w:tabs>
          <w:tab w:leader="none" w:pos="900" w:val="left"/>
        </w:tabs>
        <w:numPr>
          <w:ilvl w:val="2"/>
          <w:numId w:val="3"/>
        </w:numPr>
        <w:rPr>
          <w:rFonts w:ascii="Arial" w:cs="Arial" w:eastAsia="Arial" w:hAnsi="Arial"/>
          <w:sz w:val="20"/>
          <w:szCs w:val="20"/>
          <w:color w:val="auto"/>
        </w:rPr>
      </w:pPr>
      <w:r>
        <w:rPr>
          <w:rFonts w:ascii="Arial" w:cs="Arial" w:eastAsia="Arial" w:hAnsi="Arial"/>
          <w:sz w:val="20"/>
          <w:szCs w:val="20"/>
          <w:color w:val="auto"/>
        </w:rPr>
        <w:t>Capital expenditures of approximately $11.4 million, $2.1 million of which will be for new and remodeled stores to the DXL format and $9.3 million for digital and infrastructure projects, partially offset by approximately $1.1 million in tenant allowances. We expect to fund our capital expenditures from our operating cash flow.</w:t>
      </w:r>
    </w:p>
    <w:p>
      <w:pPr>
        <w:ind w:left="880" w:right="360" w:hanging="440"/>
        <w:spacing w:after="0" w:line="239" w:lineRule="auto"/>
        <w:tabs>
          <w:tab w:leader="none" w:pos="8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At the end of fiscal 2018, we expect cash flow from operating activities of $20.5 million to $26.5 million (including tenant allowances), resulting in free cash flow after all capital expenditures of approximately $9.1 million to $15.1 million (inclusive of costs associated with restructuring and CEO transition)*.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Reconciliations of these non-GAAP measures to their comparable GAAP measures are provided in the tables below.</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Thursday, August 30, 2018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866-680-2311. Please reference conference ID: 4765506. An archived version of the webcast may be accessed by visiting the "Events" section of the Company's website for up to one year.</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EBITDA, adjusted net income (loss), adjusted net income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Company believes that EBITDA (calculated as earnings before interest, taxes, depreciation and amortization) and Adjusted EBITDA (calculated as EBITDA adjusted to exclude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EBITDA and Adjusted EBITDA as key metrics to measure profitability and economic productivity.</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related to the restructuring charge, costs associated with the CEO transition and asset impairment charges, if applicable, because it provides comparability of results without these charges. Adjusted net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operating activities, less capital expenditures and excludes the mandatory and discretionary repayment of debt.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 xml:space="preserve">Destination XL Group, Inc. is the largest omni-channel specialty retailer of big and tall men's apparel with store locations throughout the United States, London, England and Toronto, Canada. The retailer operates under the following brands: Destination XL®, DXL Men’s Apparel®, Casual Male XL, Rochester Clothing, ShoesXL and LivingXL. The Company also operates an e-commerce site at </w:t>
      </w:r>
      <w:r>
        <w:rPr>
          <w:rFonts w:ascii="Arial" w:cs="Arial" w:eastAsia="Arial" w:hAnsi="Arial"/>
          <w:sz w:val="19"/>
          <w:szCs w:val="19"/>
          <w:u w:val="single" w:color="auto"/>
          <w:color w:val="auto"/>
        </w:rPr>
        <w:t>www.destinationxl.com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the impact of its corporate restructuring on profitability and related costs and savings, capital expenditures, sales, EBITDA, adjusted EBITDA and earnings for fiscal 2018.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including the corporate restructuring,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23, 2018,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03" w:lineRule="exact"/>
        <w:rPr>
          <w:sz w:val="20"/>
          <w:szCs w:val="20"/>
          <w:color w:val="auto"/>
        </w:rPr>
      </w:pPr>
    </w:p>
    <w:p>
      <w:pPr>
        <w:jc w:val="both"/>
        <w:ind w:right="6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10" w:name="page11"/>
    <w:bookmarkEnd w:id="10"/>
    <w:p>
      <w:pPr>
        <w:jc w:val="center"/>
        <w:ind w:right="420"/>
        <w:spacing w:after="0"/>
        <w:rPr>
          <w:sz w:val="20"/>
          <w:szCs w:val="20"/>
          <w:color w:val="auto"/>
        </w:rPr>
      </w:pPr>
      <w:r>
        <w:rPr>
          <w:rFonts w:ascii="Arial" w:cs="Arial" w:eastAsia="Arial" w:hAnsi="Arial"/>
          <w:sz w:val="14"/>
          <w:szCs w:val="14"/>
          <w:color w:val="auto"/>
        </w:rPr>
        <w:t>DESTINATION XL GROUP, INC.</w:t>
      </w:r>
    </w:p>
    <w:p>
      <w:pPr>
        <w:spacing w:after="0" w:line="1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CONSOLIDATED STATEMENTS OF OPERATIONS</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(In thousands, except per share data)</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6"/>
          </w:tcPr>
          <w:p>
            <w:pPr>
              <w:jc w:val="right"/>
              <w:ind w:right="1040"/>
              <w:spacing w:after="0"/>
              <w:rPr>
                <w:sz w:val="20"/>
                <w:szCs w:val="20"/>
                <w:color w:val="auto"/>
              </w:rPr>
            </w:pPr>
            <w:r>
              <w:rPr>
                <w:rFonts w:ascii="Arial" w:cs="Arial" w:eastAsia="Arial" w:hAnsi="Arial"/>
                <w:sz w:val="14"/>
                <w:szCs w:val="14"/>
                <w:color w:val="auto"/>
              </w:rPr>
              <w:t>For the 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6"/>
          </w:tcPr>
          <w:p>
            <w:pPr>
              <w:jc w:val="right"/>
              <w:ind w:right="88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color w:val="auto"/>
              </w:rPr>
              <w:t>August 4,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color w:val="auto"/>
              </w:rPr>
              <w:t>July 29, 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w w:val="99"/>
              </w:rPr>
              <w:t>August 4, 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Sales</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122,206</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121,125</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235,537</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228,754</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 including occupancy</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65,681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65,308</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128,324</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124,249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56,525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55,817</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107,213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104,505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47,795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49,068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93,385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95,236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Corporate restructuring</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240"/>
              <w:spacing w:after="0"/>
              <w:rPr>
                <w:sz w:val="20"/>
                <w:szCs w:val="20"/>
                <w:color w:val="auto"/>
              </w:rPr>
            </w:pPr>
            <w:r>
              <w:rPr>
                <w:rFonts w:ascii="Arial" w:cs="Arial" w:eastAsia="Arial" w:hAnsi="Arial"/>
                <w:sz w:val="14"/>
                <w:szCs w:val="14"/>
                <w:color w:val="auto"/>
              </w:rPr>
              <w:t>Impairment of assets</w:t>
            </w:r>
          </w:p>
        </w:tc>
        <w:tc>
          <w:tcPr>
            <w:tcW w:w="16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7,382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7,903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15,657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56,747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58,689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109,661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112,611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Operating loss</w:t>
            </w:r>
          </w:p>
        </w:tc>
        <w:tc>
          <w:tcPr>
            <w:tcW w:w="16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(222)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(2,872)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(2,448)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(8,106)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(958)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(824)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(1,844)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16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(1,180)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(3,696)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(4,292)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(9,732)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(1,185)</w:t>
            </w:r>
          </w:p>
        </w:tc>
        <w:tc>
          <w:tcPr>
            <w:tcW w:w="34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(3,731)</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(4,295)</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Net loss per share - basic and diluted</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(0.02)</w:t>
            </w:r>
          </w:p>
        </w:tc>
        <w:tc>
          <w:tcPr>
            <w:tcW w:w="34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(0.08)</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(0.09)</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common shares outstanding:</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24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49,060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48,556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48,926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48,556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48,926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49,146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93" w:right="21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4"/>
          <w:szCs w:val="14"/>
          <w:color w:val="auto"/>
        </w:rPr>
        <w:t>DESTINATION XL GROUP, INC.</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CONDENSED CONSOLIDATED BALANCE SHEETS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August 4, 2018, February 3, 2018 and July 29, 2017</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August 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February 3,</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color w:val="auto"/>
              </w:rPr>
              <w:t>July 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40" w:type="dxa"/>
            <w:vAlign w:val="bottom"/>
            <w:gridSpan w:val="2"/>
          </w:tcPr>
          <w:p>
            <w:pPr>
              <w:jc w:val="right"/>
              <w:ind w:right="102"/>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62"/>
              <w:spacing w:after="0"/>
              <w:rPr>
                <w:sz w:val="20"/>
                <w:szCs w:val="20"/>
                <w:color w:val="auto"/>
              </w:rPr>
            </w:pPr>
            <w:r>
              <w:rPr>
                <w:rFonts w:ascii="Arial" w:cs="Arial" w:eastAsia="Arial" w:hAnsi="Arial"/>
                <w:sz w:val="14"/>
                <w:szCs w:val="14"/>
                <w:color w:val="auto"/>
              </w:rPr>
              <w:t>2018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ASSETS</w:t>
            </w:r>
          </w:p>
        </w:tc>
        <w:tc>
          <w:tcPr>
            <w:tcW w:w="150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2640" w:type="dxa"/>
            <w:vAlign w:val="bottom"/>
            <w:gridSpan w:val="2"/>
            <w:shd w:val="clear" w:color="auto" w:fill="CFF0FC"/>
          </w:tcPr>
          <w:p>
            <w:pPr>
              <w:jc w:val="right"/>
              <w:ind w:right="1022"/>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6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5,362</w:t>
            </w:r>
          </w:p>
        </w:tc>
        <w:tc>
          <w:tcPr>
            <w:tcW w:w="46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Inventories</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102,912</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103,332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112,334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15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13,848</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12,973</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103,877</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111,032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120,188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w:t>
            </w:r>
          </w:p>
        </w:tc>
        <w:tc>
          <w:tcPr>
            <w:tcW w:w="15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1,637</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assets</w:t>
            </w:r>
          </w:p>
        </w:tc>
        <w:tc>
          <w:tcPr>
            <w:tcW w:w="15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5,750</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5,885</w:t>
            </w: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assets</w:t>
            </w:r>
          </w:p>
        </w:tc>
        <w:tc>
          <w:tcPr>
            <w:tcW w:w="150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102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234,240</w:t>
            </w:r>
          </w:p>
        </w:tc>
        <w:tc>
          <w:tcPr>
            <w:tcW w:w="24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ind w:right="106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240,405</w:t>
            </w: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260,372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LIABILITIES AND STOCKHOLDERS' EQUITY</w:t>
            </w:r>
          </w:p>
        </w:tc>
        <w:tc>
          <w:tcPr>
            <w:tcW w:w="15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2640" w:type="dxa"/>
            <w:vAlign w:val="bottom"/>
            <w:gridSpan w:val="2"/>
            <w:shd w:val="clear" w:color="auto" w:fill="CFF0FC"/>
          </w:tcPr>
          <w:p>
            <w:pPr>
              <w:jc w:val="right"/>
              <w:ind w:right="1022"/>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32,426</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6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46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Accrued expenses and other liabilities</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62,476</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65,263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15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14,729</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Borrowings under credit facility</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46,430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47,385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Deferred gain on sale-leaseback</w:t>
            </w:r>
          </w:p>
        </w:tc>
        <w:tc>
          <w:tcPr>
            <w:tcW w:w="15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10,990</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11,723</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Stockholders' equity</w:t>
            </w:r>
          </w:p>
        </w:tc>
        <w:tc>
          <w:tcPr>
            <w:tcW w:w="15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67,189</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69,986</w:t>
            </w: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76,726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5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2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234,240</w:t>
            </w:r>
          </w:p>
        </w:tc>
        <w:tc>
          <w:tcPr>
            <w:tcW w:w="2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06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240,405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260,372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INCOME (LOSS) PER DILUTED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7"/>
          </w:tcPr>
          <w:p>
            <w:pPr>
              <w:ind w:left="8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ind w:left="40"/>
              <w:spacing w:after="0"/>
              <w:rPr>
                <w:sz w:val="20"/>
                <w:szCs w:val="20"/>
                <w:color w:val="auto"/>
              </w:rPr>
            </w:pPr>
            <w:r>
              <w:rPr>
                <w:rFonts w:ascii="Arial" w:cs="Arial" w:eastAsia="Arial" w:hAnsi="Arial"/>
                <w:sz w:val="14"/>
                <w:szCs w:val="14"/>
                <w:color w:val="auto"/>
              </w:rPr>
              <w:t>For the 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560"/>
              <w:spacing w:after="0"/>
              <w:rPr>
                <w:sz w:val="20"/>
                <w:szCs w:val="20"/>
                <w:color w:val="auto"/>
              </w:rPr>
            </w:pPr>
            <w:r>
              <w:rPr>
                <w:rFonts w:ascii="Arial" w:cs="Arial" w:eastAsia="Arial" w:hAnsi="Arial"/>
                <w:sz w:val="14"/>
                <w:szCs w:val="14"/>
                <w:color w:val="auto"/>
              </w:rPr>
              <w:t>August 4, 2018</w:t>
            </w:r>
          </w:p>
        </w:tc>
        <w:tc>
          <w:tcPr>
            <w:tcW w:w="16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color w:val="auto"/>
              </w:rPr>
              <w:t>July 29, 2017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4"/>
                <w:szCs w:val="14"/>
                <w:color w:val="auto"/>
              </w:rPr>
              <w:t>August 4,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jc w:val="right"/>
              <w:ind w:right="520"/>
              <w:spacing w:after="0"/>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2"/>
              </w:rPr>
              <w:t>Per diluted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5"/>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Pr>
          <w:p>
            <w:pPr>
              <w:spacing w:after="0"/>
              <w:rPr>
                <w:sz w:val="14"/>
                <w:szCs w:val="14"/>
                <w:color w:val="auto"/>
              </w:rPr>
            </w:pP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share</w:t>
            </w:r>
          </w:p>
        </w:tc>
        <w:tc>
          <w:tcPr>
            <w:tcW w:w="160" w:type="dxa"/>
            <w:vAlign w:val="bottom"/>
          </w:tcPr>
          <w:p>
            <w:pPr>
              <w:spacing w:after="0"/>
              <w:rPr>
                <w:sz w:val="14"/>
                <w:szCs w:val="14"/>
                <w:color w:val="auto"/>
              </w:rPr>
            </w:pP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23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(1,185)</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(0.02)</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(3,731)</w:t>
            </w: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(0.08)</w:t>
            </w:r>
          </w:p>
        </w:tc>
        <w:tc>
          <w:tcPr>
            <w:tcW w:w="26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(4,295)</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(0.09)</w:t>
            </w:r>
          </w:p>
        </w:tc>
        <w:tc>
          <w:tcPr>
            <w:tcW w:w="26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(9,796)</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Adjust: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Add income tax (provision) benefit, assuming a normal tax rate of 26%</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income (loss) (non-GAAP basis)</w:t>
            </w: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0.01</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(1,464)</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(5,930)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 outstanding on a:</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diluted basis for a net loss position</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49,060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48,556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48,926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49,146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diluted basis for a net income position</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49,549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940" w:type="dxa"/>
            <w:vAlign w:val="bottom"/>
            <w:gridSpan w:val="5"/>
          </w:tcPr>
          <w:p>
            <w:pPr>
              <w:jc w:val="right"/>
              <w:ind w:right="478"/>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6"/>
          </w:tcPr>
          <w:p>
            <w:pPr>
              <w:jc w:val="right"/>
              <w:ind w:right="10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4, 2018</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July 29, 2017</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August 4, 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July 29,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3900" w:type="dxa"/>
            <w:vAlign w:val="bottom"/>
          </w:tcPr>
          <w:p>
            <w:pPr>
              <w:spacing w:after="0"/>
              <w:rPr>
                <w:sz w:val="13"/>
                <w:szCs w:val="13"/>
                <w:color w:val="auto"/>
              </w:rPr>
            </w:pPr>
          </w:p>
        </w:tc>
        <w:tc>
          <w:tcPr>
            <w:tcW w:w="1180" w:type="dxa"/>
            <w:vAlign w:val="bottom"/>
            <w:vMerge w:val="restart"/>
          </w:tcPr>
          <w:p>
            <w:pPr>
              <w:jc w:val="right"/>
              <w:ind w:right="1058"/>
              <w:spacing w:after="0"/>
              <w:rPr>
                <w:sz w:val="20"/>
                <w:szCs w:val="20"/>
                <w:color w:val="auto"/>
              </w:rPr>
            </w:pPr>
            <w:r>
              <w:rPr>
                <w:rFonts w:ascii="Arial" w:cs="Arial" w:eastAsia="Arial" w:hAnsi="Arial"/>
                <w:sz w:val="10"/>
                <w:szCs w:val="10"/>
                <w:color w:val="auto"/>
                <w:w w:val="71"/>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7"/>
              </w:rPr>
              <w:t>(1.2)</w:t>
            </w:r>
          </w:p>
        </w:tc>
        <w:tc>
          <w:tcPr>
            <w:tcW w:w="1320" w:type="dxa"/>
            <w:vAlign w:val="bottom"/>
            <w:gridSpan w:val="2"/>
            <w:vMerge w:val="restart"/>
          </w:tcPr>
          <w:p>
            <w:pPr>
              <w:jc w:val="right"/>
              <w:ind w:right="107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(3.7)</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(4.3)</w:t>
            </w:r>
          </w:p>
        </w:tc>
        <w:tc>
          <w:tcPr>
            <w:tcW w:w="34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6"/>
        </w:trPr>
        <w:tc>
          <w:tcPr>
            <w:tcW w:w="462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18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Corporate restructuring</w:t>
            </w:r>
          </w:p>
        </w:tc>
        <w:tc>
          <w:tcPr>
            <w:tcW w:w="1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180" w:type="dxa"/>
            <w:vAlign w:val="bottom"/>
            <w:tcBorders>
              <w:bottom w:val="single" w:sz="8" w:color="auto"/>
            </w:tcBorders>
            <w:shd w:val="clear" w:color="auto" w:fill="CFF0FC"/>
          </w:tcPr>
          <w:p>
            <w:pPr>
              <w:jc w:val="right"/>
              <w:ind w:right="1058"/>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78"/>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right"/>
              <w:ind w:right="34"/>
              <w:spacing w:after="0"/>
              <w:rPr>
                <w:sz w:val="20"/>
                <w:szCs w:val="20"/>
                <w:color w:val="auto"/>
              </w:rPr>
            </w:pPr>
            <w:r>
              <w:rPr>
                <w:rFonts w:ascii="Arial" w:cs="Arial" w:eastAsia="Arial" w:hAnsi="Arial"/>
                <w:sz w:val="14"/>
                <w:szCs w:val="14"/>
                <w:color w:val="auto"/>
              </w:rPr>
              <w:t>For the six months ended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00"/>
              <w:spacing w:after="0"/>
              <w:rPr>
                <w:sz w:val="20"/>
                <w:szCs w:val="20"/>
                <w:color w:val="auto"/>
              </w:rPr>
            </w:pPr>
            <w:r>
              <w:rPr>
                <w:rFonts w:ascii="Arial" w:cs="Arial" w:eastAsia="Arial" w:hAnsi="Arial"/>
                <w:sz w:val="14"/>
                <w:szCs w:val="14"/>
                <w:color w:val="auto"/>
              </w:rPr>
              <w:t>August 4, 2018</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514"/>
              <w:spacing w:after="0"/>
              <w:rPr>
                <w:sz w:val="20"/>
                <w:szCs w:val="20"/>
                <w:color w:val="auto"/>
              </w:rPr>
            </w:pPr>
            <w:r>
              <w:rPr>
                <w:rFonts w:ascii="Arial" w:cs="Arial" w:eastAsia="Arial" w:hAnsi="Arial"/>
                <w:sz w:val="5"/>
                <w:szCs w:val="5"/>
                <w:color w:val="auto"/>
                <w:w w:val="70"/>
              </w:rPr>
              <w:t>$</w:t>
            </w: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20"/>
              <w:spacing w:after="0"/>
              <w:rPr>
                <w:sz w:val="20"/>
                <w:szCs w:val="20"/>
                <w:color w:val="auto"/>
              </w:rPr>
            </w:pPr>
            <w:r>
              <w:rPr>
                <w:rFonts w:ascii="Arial" w:cs="Arial" w:eastAsia="Arial" w:hAnsi="Arial"/>
                <w:sz w:val="14"/>
                <w:szCs w:val="14"/>
                <w:color w:val="auto"/>
              </w:rPr>
              <w:t>Free Cash Flow (non-GAAP basis)</w:t>
            </w: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(0.6)</w:t>
            </w:r>
          </w:p>
        </w:tc>
        <w:tc>
          <w:tcPr>
            <w:tcW w:w="20" w:type="dxa"/>
            <w:vAlign w:val="bottom"/>
            <w:vMerge w:val="continue"/>
          </w:tcPr>
          <w:p>
            <w:pPr>
              <w:spacing w:after="0"/>
              <w:rPr>
                <w:sz w:val="13"/>
                <w:szCs w:val="13"/>
                <w:color w:val="auto"/>
              </w:rPr>
            </w:pPr>
          </w:p>
        </w:tc>
        <w:tc>
          <w:tcPr>
            <w:tcW w:w="580" w:type="dxa"/>
            <w:vAlign w:val="bottom"/>
          </w:tcPr>
          <w:p>
            <w:pPr>
              <w:jc w:val="right"/>
              <w:ind w:right="514"/>
              <w:spacing w:after="0"/>
              <w:rPr>
                <w:sz w:val="20"/>
                <w:szCs w:val="20"/>
                <w:color w:val="auto"/>
              </w:rPr>
            </w:pPr>
            <w:r>
              <w:rPr>
                <w:rFonts w:ascii="Arial" w:cs="Arial" w:eastAsia="Arial" w:hAnsi="Arial"/>
                <w:sz w:val="5"/>
                <w:szCs w:val="5"/>
                <w:color w:val="auto"/>
                <w:w w:val="70"/>
              </w:rPr>
              <w:t>$</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520" w:type="dxa"/>
            <w:vAlign w:val="bottom"/>
            <w:gridSpan w:val="3"/>
          </w:tcPr>
          <w:p>
            <w:pPr>
              <w:jc w:val="right"/>
              <w:ind w:right="988"/>
              <w:spacing w:after="0"/>
              <w:rPr>
                <w:sz w:val="20"/>
                <w:szCs w:val="20"/>
                <w:color w:val="auto"/>
              </w:rPr>
            </w:pPr>
            <w:r>
              <w:rPr>
                <w:rFonts w:ascii="Arial" w:cs="Arial" w:eastAsia="Arial" w:hAnsi="Arial"/>
                <w:sz w:val="20"/>
                <w:szCs w:val="20"/>
                <w:b w:val="1"/>
                <w:bCs w:val="1"/>
                <w:color w:val="auto"/>
              </w:rPr>
              <w:t>2018 FORECAST GAAP TO NON-GAAP RECONCILIATIONS</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 and CEO transition costs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tcPr>
          <w:p>
            <w:pPr>
              <w:jc w:val="right"/>
              <w:spacing w:after="0"/>
              <w:rPr>
                <w:sz w:val="20"/>
                <w:szCs w:val="20"/>
                <w:color w:val="auto"/>
              </w:rPr>
            </w:pPr>
            <w:r>
              <w:rPr>
                <w:rFonts w:ascii="Arial" w:cs="Arial" w:eastAsia="Arial" w:hAnsi="Arial"/>
                <w:sz w:val="14"/>
                <w:szCs w:val="14"/>
                <w:color w:val="auto"/>
              </w:rPr>
              <w:t>0.1</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$20.0-$25.0</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 restructuring charge and CEO transition costs</w:t>
            </w:r>
          </w:p>
        </w:tc>
        <w:tc>
          <w:tcPr>
            <w:tcW w:w="2120" w:type="dxa"/>
            <w:vAlign w:val="bottom"/>
          </w:tcPr>
          <w:p>
            <w:pPr>
              <w:jc w:val="right"/>
              <w:spacing w:after="0"/>
              <w:rPr>
                <w:sz w:val="20"/>
                <w:szCs w:val="20"/>
                <w:color w:val="auto"/>
              </w:rPr>
            </w:pPr>
            <w:r>
              <w:rPr>
                <w:rFonts w:ascii="Arial" w:cs="Arial" w:eastAsia="Arial" w:hAnsi="Arial"/>
                <w:sz w:val="14"/>
                <w:szCs w:val="14"/>
                <w:color w:val="auto"/>
              </w:rPr>
              <w:t>5.9</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2.0 - 3.2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$0.04-$0.07</w:t>
            </w: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 -$(9.1)</w:t>
            </w:r>
          </w:p>
        </w:tc>
        <w:tc>
          <w:tcPr>
            <w:tcW w:w="840" w:type="dxa"/>
            <w:vAlign w:val="bottom"/>
          </w:tcPr>
          <w:p>
            <w:pPr>
              <w:spacing w:after="0"/>
              <w:rPr>
                <w:sz w:val="17"/>
                <w:szCs w:val="17"/>
                <w:color w:val="auto"/>
              </w:rPr>
            </w:pP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$(0.11)-$(0.18)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49.1</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$20.5 -$26.5</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(9.3)</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shd w:val="clear" w:color="auto" w:fill="CFF0FC"/>
          </w:tcPr>
          <w:p>
            <w:pPr>
              <w:jc w:val="right"/>
              <w:ind w:right="728"/>
              <w:spacing w:after="0"/>
              <w:rPr>
                <w:sz w:val="20"/>
                <w:szCs w:val="20"/>
                <w:color w:val="auto"/>
              </w:rPr>
            </w:pPr>
            <w:r>
              <w:rPr>
                <w:rFonts w:ascii="Arial" w:cs="Arial" w:eastAsia="Arial" w:hAnsi="Arial"/>
                <w:sz w:val="14"/>
                <w:szCs w:val="14"/>
                <w:color w:val="auto"/>
              </w:rPr>
              <w:t>(2.1)</w:t>
            </w: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$9.1-$15.1</w:t>
            </w: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2019-12-28T19:21:53Z</dcterms:created>
  <dcterms:modified xsi:type="dcterms:W3CDTF">2019-12-28T19:21:53Z</dcterms:modified>
</cp:coreProperties>
</file>