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36"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52"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or</w:t>
      </w:r>
    </w:p>
    <w:p>
      <w:pPr>
        <w:spacing w:after="0" w:line="28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71"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232"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CASUAL MALE RETAIL GROUP, INC. 401(K) SALARIED SAVINGS PLAN</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i w:val="1"/>
          <w:iCs w:val="1"/>
          <w:color w:val="auto"/>
        </w:rPr>
        <w:t>(Full title of the plan)</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DESTINATION XL GROUP, INC.</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(formerly Casual Male Retail Group, Inc.)</w:t>
      </w:r>
    </w:p>
    <w:p>
      <w:pPr>
        <w:jc w:val="center"/>
        <w:ind w:right="-619"/>
        <w:spacing w:after="0" w:line="230" w:lineRule="auto"/>
        <w:rPr>
          <w:sz w:val="20"/>
          <w:szCs w:val="20"/>
          <w:color w:val="auto"/>
        </w:rPr>
      </w:pPr>
      <w:r>
        <w:rPr>
          <w:rFonts w:ascii="Arial" w:cs="Arial" w:eastAsia="Arial" w:hAnsi="Arial"/>
          <w:sz w:val="22"/>
          <w:szCs w:val="22"/>
          <w:b w:val="1"/>
          <w:bCs w:val="1"/>
          <w:color w:val="auto"/>
        </w:rPr>
        <w:t>555 Turnpike Street</w:t>
      </w:r>
    </w:p>
    <w:p>
      <w:pPr>
        <w:jc w:val="center"/>
        <w:ind w:right="-619"/>
        <w:spacing w:after="0" w:line="231" w:lineRule="auto"/>
        <w:rPr>
          <w:sz w:val="20"/>
          <w:szCs w:val="20"/>
          <w:color w:val="auto"/>
        </w:rPr>
      </w:pPr>
      <w:r>
        <w:rPr>
          <w:rFonts w:ascii="Arial" w:cs="Arial" w:eastAsia="Arial" w:hAnsi="Arial"/>
          <w:sz w:val="22"/>
          <w:szCs w:val="22"/>
          <w:b w:val="1"/>
          <w:bCs w:val="1"/>
          <w:color w:val="auto"/>
        </w:rPr>
        <w:t>Canton, Massachusetts 02021</w:t>
      </w:r>
    </w:p>
    <w:p>
      <w:pPr>
        <w:jc w:val="center"/>
        <w:ind w:right="-619"/>
        <w:spacing w:after="0" w:line="230" w:lineRule="auto"/>
        <w:rPr>
          <w:sz w:val="20"/>
          <w:szCs w:val="20"/>
          <w:color w:val="auto"/>
        </w:rPr>
      </w:pPr>
      <w:r>
        <w:rPr>
          <w:rFonts w:ascii="Arial" w:cs="Arial" w:eastAsia="Arial" w:hAnsi="Arial"/>
          <w:sz w:val="22"/>
          <w:szCs w:val="22"/>
          <w:i w:val="1"/>
          <w:iCs w:val="1"/>
          <w:color w:val="auto"/>
        </w:rPr>
        <w:t>(Name of issuer of the securities held pursuant to the plan and the address</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22"/>
          <w:szCs w:val="22"/>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2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Casual Male Retail Group, Inc. 401(k) Salaried Savings Plan</w:t>
            </w:r>
          </w:p>
        </w:tc>
        <w:tc>
          <w:tcPr>
            <w:tcW w:w="1900" w:type="dxa"/>
            <w:vAlign w:val="bottom"/>
          </w:tcPr>
          <w:p>
            <w:pPr>
              <w:spacing w:after="0"/>
              <w:rPr>
                <w:sz w:val="19"/>
                <w:szCs w:val="19"/>
                <w:color w:val="auto"/>
              </w:rPr>
            </w:pPr>
          </w:p>
        </w:tc>
      </w:tr>
      <w:tr>
        <w:trPr>
          <w:trHeight w:val="358"/>
        </w:trPr>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20" w:type="dxa"/>
            <w:vAlign w:val="bottom"/>
            <w:gridSpan w:val="5"/>
          </w:tcPr>
          <w:p>
            <w:pPr>
              <w:jc w:val="center"/>
              <w:ind w:right="100"/>
              <w:spacing w:after="0"/>
              <w:rPr>
                <w:sz w:val="20"/>
                <w:szCs w:val="20"/>
                <w:color w:val="auto"/>
              </w:rPr>
            </w:pPr>
            <w:r>
              <w:rPr>
                <w:rFonts w:ascii="Arial" w:cs="Arial" w:eastAsia="Arial" w:hAnsi="Arial"/>
                <w:sz w:val="18"/>
                <w:szCs w:val="18"/>
                <w:color w:val="auto"/>
                <w:w w:val="86"/>
              </w:rPr>
              <w:t>Financial Statements and Supplemental Schedule</w:t>
            </w:r>
          </w:p>
        </w:tc>
        <w:tc>
          <w:tcPr>
            <w:tcW w:w="1900" w:type="dxa"/>
            <w:vAlign w:val="bottom"/>
          </w:tcPr>
          <w:p>
            <w:pPr>
              <w:spacing w:after="0"/>
              <w:rPr>
                <w:sz w:val="24"/>
                <w:szCs w:val="24"/>
                <w:color w:val="auto"/>
              </w:rPr>
            </w:pPr>
          </w:p>
        </w:tc>
      </w:tr>
      <w:tr>
        <w:trPr>
          <w:trHeight w:val="222"/>
        </w:trPr>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300" w:type="dxa"/>
            <w:vAlign w:val="bottom"/>
            <w:gridSpan w:val="4"/>
          </w:tcPr>
          <w:p>
            <w:pPr>
              <w:jc w:val="center"/>
              <w:ind w:right="2100"/>
              <w:spacing w:after="0"/>
              <w:rPr>
                <w:sz w:val="20"/>
                <w:szCs w:val="20"/>
                <w:color w:val="auto"/>
              </w:rPr>
            </w:pPr>
            <w:r>
              <w:rPr>
                <w:rFonts w:ascii="Arial" w:cs="Arial" w:eastAsia="Arial" w:hAnsi="Arial"/>
                <w:sz w:val="18"/>
                <w:szCs w:val="18"/>
                <w:color w:val="auto"/>
                <w:w w:val="86"/>
              </w:rPr>
              <w:t>Year Ended December 31, 2012</w:t>
            </w:r>
          </w:p>
        </w:tc>
        <w:tc>
          <w:tcPr>
            <w:tcW w:w="1900" w:type="dxa"/>
            <w:vAlign w:val="bottom"/>
          </w:tcPr>
          <w:p>
            <w:pPr>
              <w:spacing w:after="0"/>
              <w:rPr>
                <w:sz w:val="19"/>
                <w:szCs w:val="19"/>
                <w:color w:val="auto"/>
              </w:rPr>
            </w:pPr>
          </w:p>
        </w:tc>
      </w:tr>
      <w:tr>
        <w:trPr>
          <w:trHeight w:val="378"/>
        </w:trPr>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300" w:type="dxa"/>
            <w:vAlign w:val="bottom"/>
            <w:gridSpan w:val="4"/>
          </w:tcPr>
          <w:p>
            <w:pPr>
              <w:jc w:val="center"/>
              <w:ind w:right="2100"/>
              <w:spacing w:after="0"/>
              <w:rPr>
                <w:sz w:val="20"/>
                <w:szCs w:val="20"/>
                <w:color w:val="auto"/>
              </w:rPr>
            </w:pPr>
            <w:r>
              <w:rPr>
                <w:rFonts w:ascii="Arial" w:cs="Arial" w:eastAsia="Arial" w:hAnsi="Arial"/>
                <w:sz w:val="18"/>
                <w:szCs w:val="18"/>
                <w:b w:val="1"/>
                <w:bCs w:val="1"/>
                <w:color w:val="auto"/>
                <w:w w:val="86"/>
              </w:rPr>
              <w:t>Table of Contents</w:t>
            </w:r>
          </w:p>
        </w:tc>
        <w:tc>
          <w:tcPr>
            <w:tcW w:w="1900" w:type="dxa"/>
            <w:vAlign w:val="bottom"/>
          </w:tcPr>
          <w:p>
            <w:pPr>
              <w:spacing w:after="0"/>
              <w:rPr>
                <w:sz w:val="24"/>
                <w:szCs w:val="24"/>
                <w:color w:val="auto"/>
              </w:rPr>
            </w:pPr>
          </w:p>
        </w:tc>
      </w:tr>
      <w:tr>
        <w:trPr>
          <w:trHeight w:val="380"/>
        </w:trPr>
        <w:tc>
          <w:tcPr>
            <w:tcW w:w="942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04"/>
        </w:trPr>
        <w:tc>
          <w:tcPr>
            <w:tcW w:w="94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2012 and 2011</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04"/>
        </w:trPr>
        <w:tc>
          <w:tcPr>
            <w:tcW w:w="69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 of Changes in Net Assets Available for Benefits for the Year Ended December 31, 2012</w:t>
              </w:r>
            </w:hyperlink>
          </w:p>
        </w:tc>
        <w:tc>
          <w:tcPr>
            <w:tcW w:w="25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42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304"/>
        </w:trPr>
        <w:tc>
          <w:tcPr>
            <w:tcW w:w="2100" w:type="dxa"/>
            <w:vAlign w:val="bottom"/>
            <w:tcBorders>
              <w:top w:val="single" w:sz="8" w:color="0000EE"/>
            </w:tcBorders>
            <w:gridSpan w:val="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Supplemental Schedule</w:t>
              </w:r>
            </w:hyperlink>
          </w:p>
        </w:tc>
        <w:tc>
          <w:tcPr>
            <w:tcW w:w="7320" w:type="dxa"/>
            <w:vAlign w:val="bottom"/>
            <w:gridSpan w:val="5"/>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660" w:type="dxa"/>
            <w:vAlign w:val="bottom"/>
            <w:shd w:val="clear" w:color="auto" w:fill="0000EE"/>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04"/>
        </w:trPr>
        <w:tc>
          <w:tcPr>
            <w:tcW w:w="942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Schedule H, Line 4i – Schedule of Assets (Held at End of Year) as of December 31, 2012</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16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Casual Male Retail Group, Inc. 401(k) Salaried Savings Plan (the “Plan”) as of December 31, 2012 and 2011, and the related statement of changes in net assets available for benefits for the year ended December 31, 2012.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2012 and 2011, and the changes in net assets available for benefits for the year ended December 31, 2012, in conformity with accounting principles generally accepted in the United States of America.</w:t>
      </w:r>
    </w:p>
    <w:p>
      <w:pPr>
        <w:spacing w:after="0" w:line="14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End of Year) as of December 31, 2012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CPAs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Statements of Net Assets Available for Benefits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 (Notes 3, 4 and 5)</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$30,758,147</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$26,546,125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Participants’ contributions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Notes receivable from participants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819,769</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1,805,843</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 reflecting investments at fair value</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32,563,990</w:t>
            </w:r>
          </w:p>
        </w:tc>
        <w:tc>
          <w:tcPr>
            <w:tcW w:w="3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28,388,249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1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(152,763)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(165,700)</w:t>
            </w:r>
          </w:p>
        </w:tc>
        <w:tc>
          <w:tcPr>
            <w:tcW w:w="0" w:type="dxa"/>
            <w:vAlign w:val="bottom"/>
          </w:tcPr>
          <w:p>
            <w:pPr>
              <w:spacing w:after="0"/>
              <w:rPr>
                <w:sz w:val="1"/>
                <w:szCs w:val="1"/>
                <w:color w:val="auto"/>
              </w:rPr>
            </w:pPr>
          </w:p>
        </w:tc>
      </w:tr>
      <w:tr>
        <w:trPr>
          <w:trHeight w:val="330"/>
        </w:trPr>
        <w:tc>
          <w:tcPr>
            <w:tcW w:w="92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32,411,227</w:t>
            </w:r>
          </w:p>
        </w:tc>
        <w:tc>
          <w:tcPr>
            <w:tcW w:w="32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28,222,549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1854"/>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Statement of Changes in Net Assets Available for Benefits</w:t>
      </w:r>
    </w:p>
    <w:p>
      <w:pPr>
        <w:spacing w:after="0" w:line="3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For the Year Ended December 31,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appreciation in fair value of investments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notes receivable from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Participants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Transfers into the Plan (Note 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Benefits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Transfers out of the Plan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deductions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beginning of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ind w:left="1726"/>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ind w:left="172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6" w:hanging="186"/>
        <w:spacing w:after="0"/>
        <w:tabs>
          <w:tab w:leader="none" w:pos="186" w:val="left"/>
        </w:tabs>
        <w:numPr>
          <w:ilvl w:val="0"/>
          <w:numId w:val="3"/>
        </w:numPr>
        <w:rPr>
          <w:rFonts w:ascii="Arial" w:cs="Arial" w:eastAsia="Arial" w:hAnsi="Arial"/>
          <w:sz w:val="15"/>
          <w:szCs w:val="15"/>
          <w:color w:val="auto"/>
        </w:rPr>
      </w:pPr>
      <w:r>
        <w:rPr>
          <w:rFonts w:ascii="Arial" w:cs="Arial" w:eastAsia="Arial" w:hAnsi="Arial"/>
          <w:sz w:val="15"/>
          <w:szCs w:val="15"/>
          <w:color w:val="auto"/>
        </w:rPr>
        <w:t>2,652,910</w:t>
      </w:r>
    </w:p>
    <w:p>
      <w:pPr>
        <w:spacing w:after="0" w:line="49" w:lineRule="exact"/>
        <w:rPr>
          <w:rFonts w:ascii="Arial" w:cs="Arial" w:eastAsia="Arial" w:hAnsi="Arial"/>
          <w:sz w:val="15"/>
          <w:szCs w:val="15"/>
          <w:color w:val="auto"/>
        </w:rPr>
      </w:pPr>
    </w:p>
    <w:p>
      <w:pPr>
        <w:ind w:left="326"/>
        <w:spacing w:after="0"/>
        <w:rPr>
          <w:rFonts w:ascii="Arial" w:cs="Arial" w:eastAsia="Arial" w:hAnsi="Arial"/>
          <w:sz w:val="15"/>
          <w:szCs w:val="15"/>
          <w:color w:val="auto"/>
        </w:rPr>
      </w:pPr>
      <w:r>
        <w:rPr>
          <w:rFonts w:ascii="Arial" w:cs="Arial" w:eastAsia="Arial" w:hAnsi="Arial"/>
          <w:sz w:val="15"/>
          <w:szCs w:val="15"/>
          <w:color w:val="auto"/>
        </w:rPr>
        <w:t>622,473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3,275,383</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38,216</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2,457,834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990,252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281,677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3,729,763</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7,090,250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2,584,011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288,784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2,901,572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4,188,678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auto"/>
        </w:rPr>
        <w:t>28,222,549</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5"/>
          <w:szCs w:val="15"/>
          <w:u w:val="single" w:color="auto"/>
          <w:color w:val="auto"/>
        </w:rPr>
        <w:t>$ 32,411,227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565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9714" w:space="720"/>
            <w:col w:w="886"/>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description of Casual Male Retail Group, Inc. 401(k) Salaried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Plan is a defined contribution plan covering eligible employees of Destination XL Group, Inc. (formerly Casual Male Retail Group, Inc.)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Plan is subject to the provisions of the Employee Retirement Income Security Act of 1974 (“ERISA”).</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Plan is administered by the Company’s Investment Committee (“Committee”), which is a committee made of members of management of the Company. The Committee has overall responsibility for the operation and administration of the Plan. The Committee, along with its investment advisors and trustee, has developed an investment policy to determine the appropriateness of the Plan’s investment offerings, monitors investment performance and reports to the Company’s Board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All salaried employees of the Company who have completed six months of employment and are at least 21 years of age are eligible to participate in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After completing age and service requirements, the employee can enter the Plan on the first day of any subsequent month.</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Casual Male Retail Group, Inc. 401(k) Hourly Savings Plan during the year ended December 31, 2012 were $288,784. Assets transferred from the Casual Male Retail Group, Inc. 401(k) Hourly Savings Plan during the year ended December 31, 2012 were $46,888.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year, participants may contribute up to 80% of annual compensation as defined in the Plan. The participants can elect their contributions to be on a before tax and/or after tax basis. Participants may also contribute amounts representing distributions from other qualified defined benefit or defined contribution plans. Additionally, participants who have attained age 50 before the end of the plan year are eligible to make catch-up contributions. Contributions are subject to certain Internal Revenue Code (“Code”) limitations.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the Safe Harbor Marching provisions permitted under the Pension Protection Act of 2006, the Company matches 100% of the participant’s elective deferral for the first 1% of eligible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plus 50% of the participant’s elective deferral for the next 5% of eligible compensation. Additional amounts may be contributed at the discretion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5% of their compensation automatically deferred unless the employee affirmatively elects a different elective deferral contribution percentage (including a zero percent election). Unless an eligible employee affirmatively elects not to contribute or changes his or her deferral rate, the pre-tax deferral will increase annually by 1% not to exceed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Each participant’s account is credited with the participant’s contributions, the Company’s matching and discretionary contribution, Plan earnings, and charged with an allocation of Plan expenses. The Plan expenses are divided equally to all participants. The benefits to which a participant is entitled are the benefits that can be provided from the participant’s vested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A participant is 100% vested after two years of credited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Amounts forfeited under the Plan are used to reduce future employer contributions and administrative expenses. At December 31, 2012 and 2011, forfeited non-vested accounts totaled $70,826 and $32,249 respectively. In March 2013, the entire balance was used to reduce employer contributions.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participants may direct their elective contribution and Company contributions into various investment options offered by the Plan.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Participants may borrow the lesser of $50,000 reduced by the individual’s highest outstanding loan balance during the preceding twelve months or 50% of the individual’s vested balance with a minimum of $1,000 per loan. Loans are secured by the balance in the participant’s account and bear interest at rates which are commensurate with local prevailing rates as determined by the Plan Administrator. Loan terms range from one to five years unless the loan is used to purchase a primary residence, in which case the loan may be repaid over a ten-year period. Other restrictions, as specified in the Plan agreement, may apply to a participant’s loan transaction. Principal and interest is paid ratably through payroll deductions.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Distribution can be made if requested due to disability, retirement, or termination of employment. On termination of service for any reason, a participant may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Beneficiaries may request a distribution of the vested account balance in the event of death. The account balance will continue to increase or decrease, as appropriate, based on the investment returns until it is distributed.</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lump sum distribution without the participant’s consent. Prior to such distribution, participants still have the right to request that the amount be distributed directly to them in the form of a lump sum payment or to request that it be rolled-over to a different IRA provider or another retirement plan eligible to receive rollover contributions. If the participant fails to request a different treatment of an automatic distribution under the Plan’s cash-out provision, the distribution will be paid over to an IRA provider chosen by the Plan Administrator and invested in a product designed to preserve the principal of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 (continued)</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distribution while still providing a reasonable rate of return and preserving liquidity. The fees assessed against this newly established IRA by its provider will be paid by the participant.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Investments are stated at fair value. Fair value is the price that would be received to sell an asset or paid to transfer a liability in an orderly transaction between market participants at the measurement date. The Committee determines the Plan’s valuation policies utilizing information provided by the investment advisers and trustee. See Note 5 for further discussion of fair value measurements.</w:t>
      </w:r>
    </w:p>
    <w:p>
      <w:pPr>
        <w:spacing w:after="0" w:line="140" w:lineRule="exact"/>
        <w:rPr>
          <w:sz w:val="20"/>
          <w:szCs w:val="20"/>
          <w:color w:val="auto"/>
        </w:rPr>
      </w:pPr>
    </w:p>
    <w:p>
      <w:pPr>
        <w:jc w:val="both"/>
        <w:ind w:right="16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Notes receivable from participants are measured at their unpaid principal balance plus accrued but unpaid interest. Interest income is recorded on the accrual basis. Related fees are recorded as administrative expenses and are expensed when they are incurred. No allowance for credit losses has been recorded as of December 31, 2012 and 2011. If a participant ceases to make loan repayments and the Plan Administrator deems the participant loan to be in default, the participant loan balance is reduced and a benefit payment is recorded.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 Values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Individual participant accounts for the Fidelity Advisor Stable Value Fund, a common/collective trust fund, are maintained on a unit value basis. Participants do not have beneficial ownership in the specific underlying securities or other assets in the fund, but do have an interest therein represented by units valued daily. The fund earns dividends and interest which are automatically reinvested in additional units. Generally, contributions to and withdrawals from each fund are converted to units by dividing the amounts of such transactions by the unit values as last determined, and the participants’ accounts are charged or credited with the number of units properly attributable to each participant.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accordance with the Plan, all administrative expenses may be paid out of the Plan unless paid by the Company. During 2012, there were no expenses paid by the Company. Fees related to the administration of notes receivable from participants are charged directly to the participant’s account and are included in administrative expenses. Investment related expenses are included in net appreciation of fair value of investments.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Fair value measurements</w:t>
      </w:r>
      <w:r>
        <w:rPr>
          <w:rFonts w:ascii="Arial" w:cs="Arial" w:eastAsia="Arial" w:hAnsi="Arial"/>
          <w:sz w:val="18"/>
          <w:szCs w:val="18"/>
          <w:color w:val="auto"/>
        </w:rPr>
        <w:t xml:space="preserve"> – In May 2011, the Financial Accounting Standards Board (“FASB”) issued guidance which amends Accounting Standards Codification (“ASC”) 820. This guidance requires the categorization by level for items that are only required to be disclosed at fair value and information about transfers between Level 1 and Level 2. In addition, it provides guidance on measuring the fair value of financial instruments managed within a portfolio and the application of premiums and discounts on fair value measurements. The guidance requires additional disclosure for Level 3 measurements regarding the sensitivity of fair value to changes in unobservable inputs and any interrelationships between those inputs. The new guidance is effective for reporting periods beginning after December 15, 2011. Net assets available for benefits and changes in net assets available for benefits of the Plan were not affected by the adoption of the new guidance.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 </w:t>
      </w:r>
      <w:r>
        <w:rPr>
          <w:rFonts w:ascii="Arial" w:cs="Arial" w:eastAsia="Arial" w:hAnsi="Arial"/>
          <w:sz w:val="18"/>
          <w:szCs w:val="18"/>
          <w:u w:val="single" w:color="auto"/>
          <w:color w:val="auto"/>
        </w:rPr>
        <w:t>Investments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During 2012, the Plan’s investments (including gains and losses on investments bought and sold, as well as held during the year) appreciated in fair value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$ 2,500,111</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Common Stock</w:t>
            </w:r>
          </w:p>
        </w:tc>
        <w:tc>
          <w:tcPr>
            <w:tcW w:w="38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152,799</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2,652,910</w:t>
            </w:r>
          </w:p>
        </w:tc>
        <w:tc>
          <w:tcPr>
            <w:tcW w:w="1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2000" w:type="dxa"/>
            <w:vAlign w:val="bottom"/>
            <w:gridSpan w:val="5"/>
          </w:tcPr>
          <w:p>
            <w:pPr>
              <w:ind w:left="580"/>
              <w:spacing w:after="0"/>
              <w:rPr>
                <w:sz w:val="20"/>
                <w:szCs w:val="20"/>
                <w:color w:val="auto"/>
              </w:rPr>
            </w:pPr>
            <w:r>
              <w:rPr>
                <w:rFonts w:ascii="Arial" w:cs="Arial" w:eastAsia="Arial" w:hAnsi="Arial"/>
                <w:sz w:val="14"/>
                <w:szCs w:val="14"/>
                <w:color w:val="auto"/>
              </w:rPr>
              <w:t>December 31,</w:t>
            </w:r>
          </w:p>
        </w:tc>
      </w:tr>
      <w:tr>
        <w:trPr>
          <w:trHeight w:val="159"/>
        </w:trPr>
        <w:tc>
          <w:tcPr>
            <w:tcW w:w="9420" w:type="dxa"/>
            <w:vAlign w:val="bottom"/>
          </w:tcPr>
          <w:p>
            <w:pPr>
              <w:spacing w:after="0"/>
              <w:rPr>
                <w:sz w:val="13"/>
                <w:szCs w:val="13"/>
                <w:color w:val="auto"/>
              </w:rPr>
            </w:pPr>
          </w:p>
        </w:tc>
        <w:tc>
          <w:tcPr>
            <w:tcW w:w="800" w:type="dxa"/>
            <w:vAlign w:val="bottom"/>
          </w:tcPr>
          <w:p>
            <w:pPr>
              <w:jc w:val="right"/>
              <w:ind w:right="177"/>
              <w:spacing w:after="0" w:line="159" w:lineRule="exact"/>
              <w:rPr>
                <w:sz w:val="20"/>
                <w:szCs w:val="20"/>
                <w:color w:val="auto"/>
              </w:rPr>
            </w:pPr>
            <w:r>
              <w:rPr>
                <w:rFonts w:ascii="Arial" w:cs="Arial" w:eastAsia="Arial" w:hAnsi="Arial"/>
                <w:sz w:val="14"/>
                <w:szCs w:val="14"/>
                <w:color w:val="auto"/>
              </w:rPr>
              <w:t>2012</w:t>
            </w:r>
          </w:p>
        </w:tc>
        <w:tc>
          <w:tcPr>
            <w:tcW w:w="160" w:type="dxa"/>
            <w:vAlign w:val="bottom"/>
          </w:tcPr>
          <w:p>
            <w:pPr>
              <w:spacing w:after="0"/>
              <w:rPr>
                <w:sz w:val="13"/>
                <w:szCs w:val="13"/>
                <w:color w:val="auto"/>
              </w:rPr>
            </w:pPr>
          </w:p>
        </w:tc>
        <w:tc>
          <w:tcPr>
            <w:tcW w:w="94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210"/>
        </w:trPr>
        <w:tc>
          <w:tcPr>
            <w:tcW w:w="9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Fidelity Advisor Stable Value Fund *</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$4,408,511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$5,024,696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JP Morgan Equity Index</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2,766,814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2,380,736</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New Insights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2,849,576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2,313,480</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Fidelity Advisor Freedom 2005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1,933,355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1,841,309</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Federated Bond Fund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1,859,251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1,626,502</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color w:val="auto"/>
              </w:rPr>
              <w:t>Columbia Acorn International</w:t>
            </w:r>
          </w:p>
        </w:tc>
        <w:tc>
          <w:tcPr>
            <w:tcW w:w="80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1,413,764</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amount represents contract value for this investment.</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Not applicable, investment amount is below 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Non Participant Directed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 in net assets relating to the non participant directed investments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color w:val="auto"/>
              </w:rPr>
              <w:t>December 31,</w:t>
            </w:r>
          </w:p>
        </w:tc>
      </w:tr>
      <w:tr>
        <w:trPr>
          <w:trHeight w:val="159"/>
        </w:trPr>
        <w:tc>
          <w:tcPr>
            <w:tcW w:w="9860" w:type="dxa"/>
            <w:vAlign w:val="bottom"/>
          </w:tcPr>
          <w:p>
            <w:pPr>
              <w:spacing w:after="0"/>
              <w:rPr>
                <w:sz w:val="13"/>
                <w:szCs w:val="13"/>
                <w:color w:val="auto"/>
              </w:rPr>
            </w:pPr>
          </w:p>
        </w:tc>
        <w:tc>
          <w:tcPr>
            <w:tcW w:w="580" w:type="dxa"/>
            <w:vAlign w:val="bottom"/>
            <w:gridSpan w:val="2"/>
          </w:tcPr>
          <w:p>
            <w:pPr>
              <w:jc w:val="right"/>
              <w:ind w:right="82"/>
              <w:spacing w:after="0" w:line="159" w:lineRule="exact"/>
              <w:rPr>
                <w:sz w:val="20"/>
                <w:szCs w:val="20"/>
                <w:color w:val="auto"/>
              </w:rPr>
            </w:pPr>
            <w:r>
              <w:rPr>
                <w:rFonts w:ascii="Arial" w:cs="Arial" w:eastAsia="Arial" w:hAnsi="Arial"/>
                <w:sz w:val="14"/>
                <w:szCs w:val="14"/>
                <w:color w:val="auto"/>
              </w:rPr>
              <w:t>2012</w:t>
            </w: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96"/>
        </w:trPr>
        <w:tc>
          <w:tcPr>
            <w:tcW w:w="9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Assets:</w:t>
            </w: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9860" w:type="dxa"/>
            <w:vAlign w:val="bottom"/>
          </w:tcPr>
          <w:p>
            <w:pPr>
              <w:ind w:left="440"/>
              <w:spacing w:after="0"/>
              <w:rPr>
                <w:sz w:val="20"/>
                <w:szCs w:val="20"/>
                <w:color w:val="auto"/>
              </w:rPr>
            </w:pPr>
            <w:r>
              <w:rPr>
                <w:rFonts w:ascii="Arial" w:cs="Arial" w:eastAsia="Arial" w:hAnsi="Arial"/>
                <w:sz w:val="18"/>
                <w:szCs w:val="18"/>
                <w:color w:val="auto"/>
              </w:rPr>
              <w:t>Fidelity Advisor Stable Value Fund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$70,826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$32,249</w:t>
            </w:r>
          </w:p>
        </w:tc>
        <w:tc>
          <w:tcPr>
            <w:tcW w:w="100" w:type="dxa"/>
            <w:vAlign w:val="bottom"/>
          </w:tcPr>
          <w:p>
            <w:pPr>
              <w:spacing w:after="0"/>
              <w:rPr>
                <w:sz w:val="19"/>
                <w:szCs w:val="19"/>
                <w:color w:val="auto"/>
              </w:rPr>
            </w:pPr>
          </w:p>
        </w:tc>
      </w:tr>
      <w:tr>
        <w:trPr>
          <w:trHeight w:val="334"/>
        </w:trPr>
        <w:tc>
          <w:tcPr>
            <w:tcW w:w="9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Year Ended</w:t>
            </w:r>
          </w:p>
        </w:tc>
      </w:tr>
      <w:tr>
        <w:trPr>
          <w:trHeight w:val="159"/>
        </w:trPr>
        <w:tc>
          <w:tcPr>
            <w:tcW w:w="9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gridSpan w:val="4"/>
          </w:tcPr>
          <w:p>
            <w:pPr>
              <w:spacing w:after="0" w:line="159" w:lineRule="exact"/>
              <w:rPr>
                <w:sz w:val="20"/>
                <w:szCs w:val="20"/>
                <w:color w:val="auto"/>
              </w:rPr>
            </w:pPr>
            <w:r>
              <w:rPr>
                <w:rFonts w:ascii="Arial" w:cs="Arial" w:eastAsia="Arial" w:hAnsi="Arial"/>
                <w:sz w:val="14"/>
                <w:szCs w:val="14"/>
                <w:color w:val="auto"/>
                <w:w w:val="94"/>
              </w:rPr>
              <w:t>December 31, 2012</w:t>
            </w:r>
          </w:p>
        </w:tc>
      </w:tr>
      <w:tr>
        <w:trPr>
          <w:trHeight w:val="196"/>
        </w:trPr>
        <w:tc>
          <w:tcPr>
            <w:tcW w:w="9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Changes in Net Assets:</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860" w:type="dxa"/>
            <w:vAlign w:val="bottom"/>
          </w:tcPr>
          <w:p>
            <w:pPr>
              <w:ind w:left="440"/>
              <w:spacing w:after="0"/>
              <w:rPr>
                <w:sz w:val="20"/>
                <w:szCs w:val="20"/>
                <w:color w:val="auto"/>
              </w:rPr>
            </w:pPr>
            <w:r>
              <w:rPr>
                <w:rFonts w:ascii="Arial" w:cs="Arial" w:eastAsia="Arial" w:hAnsi="Arial"/>
                <w:sz w:val="18"/>
                <w:szCs w:val="18"/>
                <w:color w:val="auto"/>
              </w:rPr>
              <w:t>Dividend income</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r>
      <w:tr>
        <w:trPr>
          <w:trHeight w:val="216"/>
        </w:trPr>
        <w:tc>
          <w:tcPr>
            <w:tcW w:w="9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Year forfeitures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65,045</w:t>
            </w: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ind w:left="440"/>
              <w:spacing w:after="0"/>
              <w:rPr>
                <w:sz w:val="20"/>
                <w:szCs w:val="20"/>
                <w:color w:val="auto"/>
              </w:rPr>
            </w:pPr>
            <w:r>
              <w:rPr>
                <w:rFonts w:ascii="Arial" w:cs="Arial" w:eastAsia="Arial" w:hAnsi="Arial"/>
                <w:sz w:val="18"/>
                <w:szCs w:val="18"/>
                <w:color w:val="auto"/>
              </w:rPr>
              <w:t>Contributions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18"/>
                <w:szCs w:val="18"/>
                <w:color w:val="auto"/>
              </w:rPr>
            </w:pPr>
          </w:p>
        </w:tc>
      </w:tr>
      <w:tr>
        <w:trPr>
          <w:trHeight w:val="216"/>
        </w:trPr>
        <w:tc>
          <w:tcPr>
            <w:tcW w:w="9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Forfeitures used to reduce prior year employer match</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(31,000)</w:t>
            </w:r>
          </w:p>
        </w:tc>
      </w:tr>
      <w:tr>
        <w:trPr>
          <w:trHeight w:val="223"/>
        </w:trPr>
        <w:tc>
          <w:tcPr>
            <w:tcW w:w="9860" w:type="dxa"/>
            <w:vAlign w:val="bottom"/>
          </w:tcPr>
          <w:p>
            <w:pPr>
              <w:ind w:left="440"/>
              <w:spacing w:after="0"/>
              <w:rPr>
                <w:sz w:val="20"/>
                <w:szCs w:val="20"/>
                <w:color w:val="auto"/>
              </w:rPr>
            </w:pPr>
            <w:r>
              <w:rPr>
                <w:rFonts w:ascii="Arial" w:cs="Arial" w:eastAsia="Arial" w:hAnsi="Arial"/>
                <w:sz w:val="18"/>
                <w:szCs w:val="18"/>
                <w:color w:val="auto"/>
              </w:rPr>
              <w:t>Administrative fees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9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38,577</w:t>
            </w:r>
          </w:p>
        </w:tc>
        <w:tc>
          <w:tcPr>
            <w:tcW w:w="100" w:type="dxa"/>
            <w:vAlign w:val="bottom"/>
            <w:shd w:val="clear" w:color="auto" w:fill="CCEEFF"/>
          </w:tcPr>
          <w:p>
            <w:pPr>
              <w:spacing w:after="0"/>
              <w:rPr>
                <w:sz w:val="18"/>
                <w:szCs w:val="18"/>
                <w:color w:val="auto"/>
              </w:rPr>
            </w:pPr>
          </w:p>
        </w:tc>
      </w:tr>
      <w:tr>
        <w:trPr>
          <w:trHeight w:val="20"/>
        </w:trPr>
        <w:tc>
          <w:tcPr>
            <w:tcW w:w="9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Plan measures fair value in accordance with FASB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62" w:lineRule="exact"/>
        <w:rPr>
          <w:sz w:val="20"/>
          <w:szCs w:val="20"/>
          <w:color w:val="auto"/>
        </w:rPr>
      </w:pPr>
    </w:p>
    <w:p>
      <w:pPr>
        <w:ind w:left="920" w:right="280" w:hanging="917"/>
        <w:spacing w:after="0" w:line="268" w:lineRule="auto"/>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Plan has the ability to access.</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117" w:lineRule="exact"/>
        <w:rPr>
          <w:sz w:val="20"/>
          <w:szCs w:val="20"/>
          <w:color w:val="auto"/>
        </w:rPr>
      </w:pPr>
    </w:p>
    <w:p>
      <w:pPr>
        <w:ind w:left="920" w:hanging="2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920" w:hanging="2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117" w:lineRule="exact"/>
        <w:rPr>
          <w:rFonts w:ascii="Arial" w:cs="Arial" w:eastAsia="Arial" w:hAnsi="Arial"/>
          <w:sz w:val="18"/>
          <w:szCs w:val="18"/>
          <w:color w:val="auto"/>
        </w:rPr>
      </w:pPr>
    </w:p>
    <w:p>
      <w:pPr>
        <w:ind w:left="920" w:hanging="2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117" w:lineRule="exact"/>
        <w:rPr>
          <w:rFonts w:ascii="Arial" w:cs="Arial" w:eastAsia="Arial" w:hAnsi="Arial"/>
          <w:sz w:val="18"/>
          <w:szCs w:val="18"/>
          <w:color w:val="auto"/>
        </w:rPr>
      </w:pPr>
    </w:p>
    <w:p>
      <w:pPr>
        <w:ind w:left="5620" w:right="2560" w:hanging="4937"/>
        <w:spacing w:after="0" w:line="440"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 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If the asset or liability has a specified (contractual) term, the Level 2 input must be observable for substantially the full term of the asset or liability.</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2012 and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the closing price reported on the active market on which the individual securities are traded.</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daily closing price as reported by the fund. Mutual funds held by the Plan are open-end mutual funds that are registered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These funds are required to publish their daily Net Asset Value (“NAV”) and to transact at that price. The mutual funds held by the Plan are deemed to be actively traded.</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i w:val="1"/>
          <w:iCs w:val="1"/>
          <w:color w:val="auto"/>
        </w:rPr>
        <w:t xml:space="preserve">Common/collective trust fund: </w:t>
      </w:r>
      <w:r>
        <w:rPr>
          <w:rFonts w:ascii="Arial" w:cs="Arial" w:eastAsia="Arial" w:hAnsi="Arial"/>
          <w:sz w:val="16"/>
          <w:szCs w:val="16"/>
          <w:color w:val="auto"/>
        </w:rPr>
        <w:t>Valued at the NAV of units of a bank collective trust. The NAV, as provided by the trustee, is used as a practical expedient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fair value. The NAV is based on the fair value of the underlying investments held by the fund less its liabilities. This practical expedient is not used when it is determined to be probable that the fund will sell the investment for an amount different than the reported NAV.</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within the fair value hierarchy, the Plan’s investments at fair value as of December 31, 2012 and 2011:</w:t>
      </w: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Investments at Fair Value as of December 31, 2012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Level 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4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6,323,239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w w:val="84"/>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6,323,239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3,121,095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3,121,095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1,000,275</w:t>
            </w:r>
          </w:p>
        </w:tc>
        <w:tc>
          <w:tcPr>
            <w:tcW w:w="8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2,029,576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2,029,576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9,530,473</w:t>
            </w:r>
          </w:p>
        </w:tc>
        <w:tc>
          <w:tcPr>
            <w:tcW w:w="8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9,530,473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3,383,828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3,383,828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860"/>
              <w:spacing w:after="0"/>
              <w:rPr>
                <w:sz w:val="20"/>
                <w:szCs w:val="20"/>
                <w:color w:val="auto"/>
              </w:rPr>
            </w:pPr>
            <w:r>
              <w:rPr>
                <w:rFonts w:ascii="Arial" w:cs="Arial" w:eastAsia="Arial" w:hAnsi="Arial"/>
                <w:sz w:val="18"/>
                <w:szCs w:val="18"/>
                <w:color w:val="auto"/>
              </w:rPr>
              <w:t>Total mutual funds</w:t>
            </w:r>
          </w:p>
        </w:tc>
        <w:tc>
          <w:tcPr>
            <w:tcW w:w="4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020" w:type="dxa"/>
            <w:vAlign w:val="bottom"/>
            <w:vMerge w:val="continue"/>
          </w:tcPr>
          <w:p>
            <w:pPr>
              <w:spacing w:after="0"/>
              <w:rPr>
                <w:sz w:val="19"/>
                <w:szCs w:val="19"/>
                <w:color w:val="auto"/>
              </w:rPr>
            </w:pPr>
          </w:p>
        </w:tc>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25,388,486</w:t>
            </w:r>
          </w:p>
        </w:tc>
        <w:tc>
          <w:tcPr>
            <w:tcW w:w="80" w:type="dxa"/>
            <w:vAlign w:val="bottom"/>
          </w:tcPr>
          <w:p>
            <w:pPr>
              <w:spacing w:after="0"/>
              <w:rPr>
                <w:sz w:val="19"/>
                <w:szCs w:val="19"/>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25,388,486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Retail</w:t>
            </w:r>
          </w:p>
        </w:tc>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808,386</w:t>
            </w:r>
          </w:p>
        </w:tc>
        <w:tc>
          <w:tcPr>
            <w:tcW w:w="80" w:type="dxa"/>
            <w:vAlign w:val="bottom"/>
          </w:tcPr>
          <w:p>
            <w:pPr>
              <w:spacing w:after="0"/>
              <w:rPr>
                <w:sz w:val="19"/>
                <w:szCs w:val="19"/>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808,386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4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4,561,275</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4,561,275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5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26,196,872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4,561,275</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4"/>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30,758,147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40" w:type="dxa"/>
            <w:vAlign w:val="bottom"/>
            <w:gridSpan w:val="2"/>
          </w:tcPr>
          <w:p>
            <w:pPr>
              <w:jc w:val="right"/>
              <w:ind w:right="20"/>
              <w:spacing w:after="0"/>
              <w:rPr>
                <w:sz w:val="20"/>
                <w:szCs w:val="20"/>
                <w:color w:val="auto"/>
              </w:rPr>
            </w:pPr>
            <w:r>
              <w:rPr>
                <w:rFonts w:ascii="Arial" w:cs="Arial" w:eastAsia="Arial" w:hAnsi="Arial"/>
                <w:sz w:val="18"/>
                <w:szCs w:val="18"/>
                <w:color w:val="auto"/>
              </w:rPr>
              <w:t>Investments at Fair Value as of December 31, 2011</w:t>
            </w: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24"/>
                <w:szCs w:val="2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w w:val="88"/>
              </w:rPr>
              <w:t>Level 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4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5,246,121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w w:val="84"/>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5,246,121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2,261,113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2,261,113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829,745</w:t>
            </w:r>
          </w:p>
        </w:tc>
        <w:tc>
          <w:tcPr>
            <w:tcW w:w="8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1,780,992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1,780,992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7,775,938</w:t>
            </w:r>
          </w:p>
        </w:tc>
        <w:tc>
          <w:tcPr>
            <w:tcW w:w="8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7,775,938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2,836,695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2,836,695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860"/>
              <w:spacing w:after="0"/>
              <w:rPr>
                <w:sz w:val="20"/>
                <w:szCs w:val="20"/>
                <w:color w:val="auto"/>
              </w:rPr>
            </w:pPr>
            <w:r>
              <w:rPr>
                <w:rFonts w:ascii="Arial" w:cs="Arial" w:eastAsia="Arial" w:hAnsi="Arial"/>
                <w:sz w:val="18"/>
                <w:szCs w:val="18"/>
                <w:color w:val="auto"/>
              </w:rPr>
              <w:t>Total mutual funds</w:t>
            </w:r>
          </w:p>
        </w:tc>
        <w:tc>
          <w:tcPr>
            <w:tcW w:w="4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020" w:type="dxa"/>
            <w:vAlign w:val="bottom"/>
            <w:vMerge w:val="continue"/>
          </w:tcPr>
          <w:p>
            <w:pPr>
              <w:spacing w:after="0"/>
              <w:rPr>
                <w:sz w:val="19"/>
                <w:szCs w:val="19"/>
                <w:color w:val="auto"/>
              </w:rPr>
            </w:pPr>
          </w:p>
        </w:tc>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20,730,604</w:t>
            </w:r>
          </w:p>
        </w:tc>
        <w:tc>
          <w:tcPr>
            <w:tcW w:w="80" w:type="dxa"/>
            <w:vAlign w:val="bottom"/>
          </w:tcPr>
          <w:p>
            <w:pPr>
              <w:spacing w:after="0"/>
              <w:rPr>
                <w:sz w:val="19"/>
                <w:szCs w:val="19"/>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20,730,604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Retail</w:t>
            </w:r>
          </w:p>
        </w:tc>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625,125</w:t>
            </w:r>
          </w:p>
        </w:tc>
        <w:tc>
          <w:tcPr>
            <w:tcW w:w="80" w:type="dxa"/>
            <w:vAlign w:val="bottom"/>
          </w:tcPr>
          <w:p>
            <w:pPr>
              <w:spacing w:after="0"/>
              <w:rPr>
                <w:sz w:val="19"/>
                <w:szCs w:val="19"/>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4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5,190,396</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5,190,396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5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21,355,729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5,190,396</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4"/>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26,546,125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360" w:type="dxa"/>
            <w:vAlign w:val="bottom"/>
            <w:vMerge w:val="restart"/>
          </w:tcPr>
          <w:p>
            <w:pPr>
              <w:jc w:val="right"/>
              <w:ind w:right="1512"/>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Common Collective Trust Fund</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Fidelity Advisor Stable Value Fund is a common/collective trust fund that is considered to be a stable value fund with underlying investments in investment contracts and is valued at fair value and then adjusted by the issuer to contract value. The net asset value of the stable value fund is the fair market value of its underlying investments and contract value is principal plus accrued interest. The Fidelity Advisor Stable Value Fund is a stable value fund that is an open-end commingled pool dedicated exclusively to the management of assets of defined contribution plans. The Fidelity Advisor Stable Value Fund’s investment objective is to seek preservation of capital and a competitive level of income over time. To achieve its investment objective, the Fidelity Advisor Stable Value Fund invests in underlying assets (typically fixed income securities or bond funds and may include derivative instruments such as futures contracts and swap agreements) and enters into a “wrapper” contract issued by a third party. Participants may ordinarily direct the withdrawal or transfer of all or a portion of their investment at contract value. However, certain events limit the ability of the Plan to transact at contract with the issuer. Such events include the following: (1) amendment to the Plan document (including complete or partial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that any events which would limit the Plan’s ability to transact at contract value with Plan participants are probable of occurring. Contract value represents contributions made to the fund, plus earnings, less participant withdrawals.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common/collective trust fund has certain restrictions on withdrawals and transfers as follows: Withdrawals directed by the Company must be preceded by twelve months written notice to the Trustee; provided, however, that the Trustee may, in its discretion complete any plan-level withdrawals before the expiration of such twelve month period. Withdrawals made in order to accommodate distribution to participants, whether in-service or following termination of employment may be made on any business day. Withdrawals made in order to accommodate a participant-directed exchange to another investment option may be made on any business day, provided that the exchange is not directed to a competing fund (money market funds or certain other types of fixed income funds). Transferred amounts must be held in a non-competing investment option for 90 days before subsequent transfers to a competing fund can occur.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 </w:t>
      </w:r>
      <w:r>
        <w:rPr>
          <w:rFonts w:ascii="Arial" w:cs="Arial" w:eastAsia="Arial" w:hAnsi="Arial"/>
          <w:sz w:val="18"/>
          <w:szCs w:val="18"/>
          <w:u w:val="single" w:color="auto"/>
          <w:color w:val="auto"/>
        </w:rPr>
        <w:t>Related Party and Party-In-Interest Transactions</w:t>
      </w:r>
    </w:p>
    <w:p>
      <w:pPr>
        <w:spacing w:after="0" w:line="15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Plan owned 192,473 and 182,785 shares of Destination XL Group, Inc. valued at $808,386 and $625,125 at December 31, 2012 and 2011, respectively. Additionally, certain Plan investments are shares of mutual funds and units in the Fidelity Advisor Stable Value Fund managed by Fidelity Management Trust Company who is the Trustee as defined by the Plan, and therefore, these transactions qualify as party-in-interest transactions. Fees incurred by the Plan for the investment management services are included in net appreciation in fair value of the investments, as they are paid through revenue sharing, rather than a direct payment.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 </w:t>
      </w:r>
      <w:r>
        <w:rPr>
          <w:rFonts w:ascii="Arial" w:cs="Arial" w:eastAsia="Arial" w:hAnsi="Arial"/>
          <w:sz w:val="18"/>
          <w:szCs w:val="18"/>
          <w:u w:val="single" w:color="auto"/>
          <w:color w:val="auto"/>
        </w:rPr>
        <w:t>Income Tax Status</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2008 stating that the form of the Plan is qualified under Section 401 of the Code and, therefore, the related trust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2012, there are no uncertain positions taken or expected to be taken that would require recognition of a liability (or asset) or disclosure in the financial statements. The Plan is subject to routine audits by taxing jurisdiction. The Plan was examined by the IRS for the year ended December 31, 2008 and in March 2011, the IRS concluded that there were no changes necessary to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 </w:t>
      </w:r>
      <w:r>
        <w:rPr>
          <w:rFonts w:ascii="Arial" w:cs="Arial" w:eastAsia="Arial" w:hAnsi="Arial"/>
          <w:sz w:val="18"/>
          <w:szCs w:val="18"/>
          <w:u w:val="single" w:color="auto"/>
          <w:color w:val="auto"/>
        </w:rPr>
        <w:t>Income Tax Status (continued)</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filed return. There are currently no audits for any tax periods in progress. The Plan Administrator believes it is no longer subject to income tax examinations for years prior to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 </w:t>
      </w:r>
      <w:r>
        <w:rPr>
          <w:rFonts w:ascii="Arial" w:cs="Arial" w:eastAsia="Arial" w:hAnsi="Arial"/>
          <w:sz w:val="18"/>
          <w:szCs w:val="18"/>
          <w:u w:val="single" w:color="auto"/>
          <w:color w:val="auto"/>
        </w:rPr>
        <w:t>Reconciliation of Financial Statement to Form 5500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as of December 31, 2012 and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color w:val="auto"/>
              </w:rPr>
              <w:t>2012</w:t>
            </w:r>
          </w:p>
        </w:tc>
        <w:tc>
          <w:tcPr>
            <w:tcW w:w="1200" w:type="dxa"/>
            <w:vAlign w:val="bottom"/>
            <w:gridSpan w:val="2"/>
          </w:tcPr>
          <w:p>
            <w:pPr>
              <w:jc w:val="right"/>
              <w:ind w:right="21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$ 32,411,227</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$28,222,549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152,763</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32,563,990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28,388,249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is a reconciliation of net appreciation in fair value of investments, dividend income, and interest income on notes receivable from participants for the year ended December 31, 2012 per the financial statements to Form 5500: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w w:val="96"/>
              </w:rPr>
              <w:t>Net appreciation in fair value of investments, dividend income, and interest income on notes receivable from participants per the financial</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500" w:type="dxa"/>
            <w:vAlign w:val="bottom"/>
            <w:shd w:val="clear" w:color="auto" w:fill="CCEEFF"/>
          </w:tcPr>
          <w:p>
            <w:pPr>
              <w:jc w:val="right"/>
              <w:ind w:right="9472"/>
              <w:spacing w:after="0"/>
              <w:rPr>
                <w:sz w:val="20"/>
                <w:szCs w:val="20"/>
                <w:color w:val="auto"/>
              </w:rPr>
            </w:pPr>
            <w:r>
              <w:rPr>
                <w:rFonts w:ascii="Arial" w:cs="Arial" w:eastAsia="Arial" w:hAnsi="Arial"/>
                <w:sz w:val="18"/>
                <w:szCs w:val="18"/>
                <w:color w:val="auto"/>
              </w:rPr>
              <w:t>statements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$3,313,599</w:t>
            </w:r>
          </w:p>
        </w:tc>
        <w:tc>
          <w:tcPr>
            <w:tcW w:w="0" w:type="dxa"/>
            <w:vAlign w:val="bottom"/>
          </w:tcPr>
          <w:p>
            <w:pPr>
              <w:spacing w:after="0"/>
              <w:rPr>
                <w:sz w:val="1"/>
                <w:szCs w:val="1"/>
                <w:color w:val="auto"/>
              </w:rPr>
            </w:pPr>
          </w:p>
        </w:tc>
      </w:tr>
      <w:tr>
        <w:trPr>
          <w:trHeight w:val="322"/>
        </w:trPr>
        <w:tc>
          <w:tcPr>
            <w:tcW w:w="10520" w:type="dxa"/>
            <w:vAlign w:val="bottom"/>
            <w:gridSpan w:val="2"/>
          </w:tcPr>
          <w:p>
            <w:pPr>
              <w:spacing w:after="0"/>
              <w:rPr>
                <w:sz w:val="20"/>
                <w:szCs w:val="20"/>
                <w:color w:val="auto"/>
              </w:rPr>
            </w:pPr>
            <w:r>
              <w:rPr>
                <w:rFonts w:ascii="Arial" w:cs="Arial" w:eastAsia="Arial" w:hAnsi="Arial"/>
                <w:sz w:val="18"/>
                <w:szCs w:val="18"/>
                <w:color w:val="auto"/>
              </w:rPr>
              <w:t>Add: Adjustment from fair value to contract value for fully benefit-responsive investment contracts in 2012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152,763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Less: Adjustment from fair value to contract value for fully benefit-responsive investment contracts in 2011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(165,700)</w:t>
            </w:r>
          </w:p>
        </w:tc>
        <w:tc>
          <w:tcPr>
            <w:tcW w:w="0" w:type="dxa"/>
            <w:vAlign w:val="bottom"/>
          </w:tcPr>
          <w:p>
            <w:pPr>
              <w:spacing w:after="0"/>
              <w:rPr>
                <w:sz w:val="1"/>
                <w:szCs w:val="1"/>
                <w:color w:val="auto"/>
              </w:rPr>
            </w:pPr>
          </w:p>
        </w:tc>
      </w:tr>
      <w:tr>
        <w:trPr>
          <w:trHeight w:val="329"/>
        </w:trPr>
        <w:tc>
          <w:tcPr>
            <w:tcW w:w="10520" w:type="dxa"/>
            <w:vAlign w:val="bottom"/>
            <w:gridSpan w:val="2"/>
          </w:tcPr>
          <w:p>
            <w:pPr>
              <w:spacing w:after="0"/>
              <w:rPr>
                <w:sz w:val="20"/>
                <w:szCs w:val="20"/>
                <w:color w:val="auto"/>
              </w:rPr>
            </w:pPr>
            <w:r>
              <w:rPr>
                <w:rFonts w:ascii="Arial" w:cs="Arial" w:eastAsia="Arial" w:hAnsi="Arial"/>
                <w:sz w:val="18"/>
                <w:szCs w:val="18"/>
                <w:color w:val="auto"/>
                <w:w w:val="97"/>
              </w:rPr>
              <w:t>Net appreciation in fair value of investments, dividend income, and interest income on notes receivable from participants per Form 5500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3,300,662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520" w:type="dxa"/>
            <w:vAlign w:val="bottom"/>
            <w:gridSpan w:val="2"/>
            <w:vMerge w:val="restart"/>
          </w:tcPr>
          <w:p>
            <w:pPr>
              <w:jc w:val="right"/>
              <w:ind w:right="4632"/>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5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Casual Male Retail Group, Inc. 401(k) Salaried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2259"/>
        <w:spacing w:after="0"/>
        <w:rPr>
          <w:sz w:val="20"/>
          <w:szCs w:val="20"/>
          <w:color w:val="auto"/>
        </w:rPr>
      </w:pPr>
      <w:r>
        <w:rPr>
          <w:rFonts w:ascii="Arial" w:cs="Arial" w:eastAsia="Arial" w:hAnsi="Arial"/>
          <w:sz w:val="32"/>
          <w:szCs w:val="32"/>
          <w:b w:val="1"/>
          <w:bCs w:val="1"/>
          <w:color w:val="auto"/>
        </w:rPr>
        <w:t>SUPPLEMENTAL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Casual Male Retail Group, Inc. 401(k) Salaried Savings Plan</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EIN: 04-2623104/Plan Number: 004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Schedule H, Line 4i – Schedule of Assets (Held at End of Year)</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Identity of Issue, Borrower,</w:t>
      </w:r>
    </w:p>
    <w:p>
      <w:pPr>
        <w:spacing w:after="0" w:line="21"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Lessor, or Similar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6985</wp:posOffset>
            </wp:positionV>
            <wp:extent cx="13550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Commingled funds held through Fidelity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Mutual Funds held through Fidelity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Common Stock held through Fidelity Investments: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 Notes receivable from participants: 4.75%—9.25%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Description of investment including</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maturity date, rate of interest, collateral,</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3"/>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par, or maturity value</w:t>
            </w:r>
          </w:p>
        </w:tc>
        <w:tc>
          <w:tcPr>
            <w:tcW w:w="3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Shares/Units</w:t>
            </w:r>
          </w:p>
        </w:tc>
        <w:tc>
          <w:tcPr>
            <w:tcW w:w="520" w:type="dxa"/>
            <w:vAlign w:val="bottom"/>
          </w:tcPr>
          <w:p>
            <w:pPr>
              <w:spacing w:after="0"/>
              <w:rPr>
                <w:sz w:val="21"/>
                <w:szCs w:val="21"/>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Current Value</w:t>
            </w:r>
          </w:p>
        </w:tc>
      </w:tr>
      <w:tr>
        <w:trPr>
          <w:trHeight w:val="411"/>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Stable Value Fund (1)</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4,408,511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4,561,275</w:t>
            </w:r>
          </w:p>
        </w:tc>
      </w:tr>
      <w:tr>
        <w:trPr>
          <w:trHeight w:val="426"/>
        </w:trPr>
        <w:tc>
          <w:tcPr>
            <w:tcW w:w="4260" w:type="dxa"/>
            <w:vAlign w:val="bottom"/>
            <w:gridSpan w:val="2"/>
          </w:tcPr>
          <w:p>
            <w:pPr>
              <w:spacing w:after="0"/>
              <w:rPr>
                <w:sz w:val="20"/>
                <w:szCs w:val="20"/>
                <w:color w:val="auto"/>
              </w:rPr>
            </w:pPr>
            <w:r>
              <w:rPr>
                <w:rFonts w:ascii="Arial" w:cs="Arial" w:eastAsia="Arial" w:hAnsi="Arial"/>
                <w:sz w:val="18"/>
                <w:szCs w:val="18"/>
                <w:color w:val="auto"/>
              </w:rPr>
              <w:t>Cash—interest bearing</w:t>
            </w: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Leveraged Company Stock</w:t>
            </w:r>
          </w:p>
        </w:tc>
        <w:tc>
          <w:tcPr>
            <w:tcW w:w="960" w:type="dxa"/>
            <w:vAlign w:val="bottom"/>
          </w:tcPr>
          <w:p>
            <w:pPr>
              <w:jc w:val="right"/>
              <w:spacing w:after="0"/>
              <w:rPr>
                <w:sz w:val="20"/>
                <w:szCs w:val="20"/>
                <w:color w:val="auto"/>
              </w:rPr>
            </w:pPr>
            <w:r>
              <w:rPr>
                <w:rFonts w:ascii="Arial" w:cs="Arial" w:eastAsia="Arial" w:hAnsi="Arial"/>
                <w:sz w:val="18"/>
                <w:szCs w:val="18"/>
                <w:color w:val="auto"/>
              </w:rPr>
              <w:t>36,181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1,422,267</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2010</w:t>
            </w:r>
          </w:p>
        </w:tc>
        <w:tc>
          <w:tcPr>
            <w:tcW w:w="960" w:type="dxa"/>
            <w:vAlign w:val="bottom"/>
          </w:tcPr>
          <w:p>
            <w:pPr>
              <w:jc w:val="right"/>
              <w:spacing w:after="0"/>
              <w:rPr>
                <w:sz w:val="20"/>
                <w:szCs w:val="20"/>
                <w:color w:val="auto"/>
              </w:rPr>
            </w:pPr>
            <w:r>
              <w:rPr>
                <w:rFonts w:ascii="Arial" w:cs="Arial" w:eastAsia="Arial" w:hAnsi="Arial"/>
                <w:sz w:val="18"/>
                <w:szCs w:val="18"/>
                <w:color w:val="auto"/>
              </w:rPr>
              <w:t>19,566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235,576</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2020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118,261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1,479,444</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2030</w:t>
            </w:r>
          </w:p>
        </w:tc>
        <w:tc>
          <w:tcPr>
            <w:tcW w:w="960" w:type="dxa"/>
            <w:vAlign w:val="bottom"/>
          </w:tcPr>
          <w:p>
            <w:pPr>
              <w:jc w:val="right"/>
              <w:spacing w:after="0"/>
              <w:rPr>
                <w:sz w:val="20"/>
                <w:szCs w:val="20"/>
                <w:color w:val="auto"/>
              </w:rPr>
            </w:pPr>
            <w:r>
              <w:rPr>
                <w:rFonts w:ascii="Arial" w:cs="Arial" w:eastAsia="Arial" w:hAnsi="Arial"/>
                <w:sz w:val="18"/>
                <w:szCs w:val="18"/>
                <w:color w:val="auto"/>
              </w:rPr>
              <w:t>69,199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876,754</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2040</w:t>
            </w:r>
          </w:p>
        </w:tc>
        <w:tc>
          <w:tcPr>
            <w:tcW w:w="960" w:type="dxa"/>
            <w:vAlign w:val="bottom"/>
          </w:tcPr>
          <w:p>
            <w:pPr>
              <w:jc w:val="right"/>
              <w:spacing w:after="0"/>
              <w:rPr>
                <w:sz w:val="20"/>
                <w:szCs w:val="20"/>
                <w:color w:val="auto"/>
              </w:rPr>
            </w:pPr>
            <w:r>
              <w:rPr>
                <w:rFonts w:ascii="Arial" w:cs="Arial" w:eastAsia="Arial" w:hAnsi="Arial"/>
                <w:sz w:val="18"/>
                <w:szCs w:val="18"/>
                <w:color w:val="auto"/>
              </w:rPr>
              <w:t>70,252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899,229</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 Fidelity Advisor Freedom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8,345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91,962</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 Fidelity Advisor New Insights</w:t>
            </w:r>
          </w:p>
        </w:tc>
        <w:tc>
          <w:tcPr>
            <w:tcW w:w="960" w:type="dxa"/>
            <w:vAlign w:val="bottom"/>
          </w:tcPr>
          <w:p>
            <w:pPr>
              <w:jc w:val="right"/>
              <w:spacing w:after="0"/>
              <w:rPr>
                <w:sz w:val="20"/>
                <w:szCs w:val="20"/>
                <w:color w:val="auto"/>
              </w:rPr>
            </w:pPr>
            <w:r>
              <w:rPr>
                <w:rFonts w:ascii="Arial" w:cs="Arial" w:eastAsia="Arial" w:hAnsi="Arial"/>
                <w:sz w:val="18"/>
                <w:szCs w:val="18"/>
                <w:color w:val="auto"/>
              </w:rPr>
              <w:t>125,256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2,849,576</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2005</w:t>
            </w:r>
          </w:p>
        </w:tc>
        <w:tc>
          <w:tcPr>
            <w:tcW w:w="960" w:type="dxa"/>
            <w:vAlign w:val="bottom"/>
          </w:tcPr>
          <w:p>
            <w:pPr>
              <w:jc w:val="right"/>
              <w:spacing w:after="0"/>
              <w:rPr>
                <w:sz w:val="20"/>
                <w:szCs w:val="20"/>
                <w:color w:val="auto"/>
              </w:rPr>
            </w:pPr>
            <w:r>
              <w:rPr>
                <w:rFonts w:ascii="Arial" w:cs="Arial" w:eastAsia="Arial" w:hAnsi="Arial"/>
                <w:sz w:val="18"/>
                <w:szCs w:val="18"/>
                <w:color w:val="auto"/>
              </w:rPr>
              <w:t>167,101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1,933,355</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2015</w:t>
            </w:r>
          </w:p>
        </w:tc>
        <w:tc>
          <w:tcPr>
            <w:tcW w:w="960" w:type="dxa"/>
            <w:vAlign w:val="bottom"/>
          </w:tcPr>
          <w:p>
            <w:pPr>
              <w:jc w:val="right"/>
              <w:spacing w:after="0"/>
              <w:rPr>
                <w:sz w:val="20"/>
                <w:szCs w:val="20"/>
                <w:color w:val="auto"/>
              </w:rPr>
            </w:pPr>
            <w:r>
              <w:rPr>
                <w:rFonts w:ascii="Arial" w:cs="Arial" w:eastAsia="Arial" w:hAnsi="Arial"/>
                <w:sz w:val="18"/>
                <w:szCs w:val="18"/>
                <w:color w:val="auto"/>
              </w:rPr>
              <w:t>67,075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804,896</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2025</w:t>
            </w:r>
          </w:p>
        </w:tc>
        <w:tc>
          <w:tcPr>
            <w:tcW w:w="960" w:type="dxa"/>
            <w:vAlign w:val="bottom"/>
          </w:tcPr>
          <w:p>
            <w:pPr>
              <w:jc w:val="right"/>
              <w:spacing w:after="0"/>
              <w:rPr>
                <w:sz w:val="20"/>
                <w:szCs w:val="20"/>
                <w:color w:val="auto"/>
              </w:rPr>
            </w:pPr>
            <w:r>
              <w:rPr>
                <w:rFonts w:ascii="Arial" w:cs="Arial" w:eastAsia="Arial" w:hAnsi="Arial"/>
                <w:sz w:val="18"/>
                <w:szCs w:val="18"/>
                <w:color w:val="auto"/>
              </w:rPr>
              <w:t>84,852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1,025,857</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2035</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116,152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1,392,663</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2045</w:t>
            </w:r>
          </w:p>
        </w:tc>
        <w:tc>
          <w:tcPr>
            <w:tcW w:w="960" w:type="dxa"/>
            <w:vAlign w:val="bottom"/>
          </w:tcPr>
          <w:p>
            <w:pPr>
              <w:jc w:val="right"/>
              <w:spacing w:after="0"/>
              <w:rPr>
                <w:sz w:val="20"/>
                <w:szCs w:val="20"/>
                <w:color w:val="auto"/>
              </w:rPr>
            </w:pPr>
            <w:r>
              <w:rPr>
                <w:rFonts w:ascii="Arial" w:cs="Arial" w:eastAsia="Arial" w:hAnsi="Arial"/>
                <w:sz w:val="18"/>
                <w:szCs w:val="18"/>
                <w:color w:val="auto"/>
              </w:rPr>
              <w:t>53,160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522,032</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2050</w:t>
            </w:r>
          </w:p>
        </w:tc>
        <w:tc>
          <w:tcPr>
            <w:tcW w:w="960" w:type="dxa"/>
            <w:vAlign w:val="bottom"/>
          </w:tcPr>
          <w:p>
            <w:pPr>
              <w:jc w:val="right"/>
              <w:spacing w:after="0"/>
              <w:rPr>
                <w:sz w:val="20"/>
                <w:szCs w:val="20"/>
                <w:color w:val="auto"/>
              </w:rPr>
            </w:pPr>
            <w:r>
              <w:rPr>
                <w:rFonts w:ascii="Arial" w:cs="Arial" w:eastAsia="Arial" w:hAnsi="Arial"/>
                <w:sz w:val="18"/>
                <w:szCs w:val="18"/>
                <w:color w:val="auto"/>
              </w:rPr>
              <w:t>26,017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253,404</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2055</w:t>
            </w:r>
          </w:p>
        </w:tc>
        <w:tc>
          <w:tcPr>
            <w:tcW w:w="960" w:type="dxa"/>
            <w:vAlign w:val="bottom"/>
          </w:tcPr>
          <w:p>
            <w:pPr>
              <w:jc w:val="right"/>
              <w:spacing w:after="0"/>
              <w:rPr>
                <w:sz w:val="20"/>
                <w:szCs w:val="20"/>
                <w:color w:val="auto"/>
              </w:rPr>
            </w:pPr>
            <w:r>
              <w:rPr>
                <w:rFonts w:ascii="Arial" w:cs="Arial" w:eastAsia="Arial" w:hAnsi="Arial"/>
                <w:sz w:val="18"/>
                <w:szCs w:val="18"/>
                <w:color w:val="auto"/>
              </w:rPr>
              <w:t>1,549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15,301</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Templeton Global Bond Fund</w:t>
            </w:r>
          </w:p>
        </w:tc>
        <w:tc>
          <w:tcPr>
            <w:tcW w:w="960" w:type="dxa"/>
            <w:vAlign w:val="bottom"/>
          </w:tcPr>
          <w:p>
            <w:pPr>
              <w:jc w:val="right"/>
              <w:spacing w:after="0"/>
              <w:rPr>
                <w:sz w:val="20"/>
                <w:szCs w:val="20"/>
                <w:color w:val="auto"/>
              </w:rPr>
            </w:pPr>
            <w:r>
              <w:rPr>
                <w:rFonts w:ascii="Arial" w:cs="Arial" w:eastAsia="Arial" w:hAnsi="Arial"/>
                <w:sz w:val="18"/>
                <w:szCs w:val="18"/>
                <w:color w:val="auto"/>
              </w:rPr>
              <w:t>15,755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210,800</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Federated Bond Fund</w:t>
            </w:r>
          </w:p>
        </w:tc>
        <w:tc>
          <w:tcPr>
            <w:tcW w:w="960" w:type="dxa"/>
            <w:vAlign w:val="bottom"/>
          </w:tcPr>
          <w:p>
            <w:pPr>
              <w:jc w:val="right"/>
              <w:spacing w:after="0"/>
              <w:rPr>
                <w:sz w:val="20"/>
                <w:szCs w:val="20"/>
                <w:color w:val="auto"/>
              </w:rPr>
            </w:pPr>
            <w:r>
              <w:rPr>
                <w:rFonts w:ascii="Arial" w:cs="Arial" w:eastAsia="Arial" w:hAnsi="Arial"/>
                <w:sz w:val="18"/>
                <w:szCs w:val="18"/>
                <w:color w:val="auto"/>
              </w:rPr>
              <w:t>193,269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1,859,251</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Columbia Acorn International</w:t>
            </w:r>
          </w:p>
        </w:tc>
        <w:tc>
          <w:tcPr>
            <w:tcW w:w="960" w:type="dxa"/>
            <w:vAlign w:val="bottom"/>
          </w:tcPr>
          <w:p>
            <w:pPr>
              <w:jc w:val="right"/>
              <w:spacing w:after="0"/>
              <w:rPr>
                <w:sz w:val="20"/>
                <w:szCs w:val="20"/>
                <w:color w:val="auto"/>
              </w:rPr>
            </w:pPr>
            <w:r>
              <w:rPr>
                <w:rFonts w:ascii="Arial" w:cs="Arial" w:eastAsia="Arial" w:hAnsi="Arial"/>
                <w:sz w:val="18"/>
                <w:szCs w:val="18"/>
                <w:color w:val="auto"/>
              </w:rPr>
              <w:t>33,151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1,352,222</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Pioneer Equity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25,263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706,849</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Prudential Jennison Mid Cap Growth Fund</w:t>
            </w:r>
          </w:p>
        </w:tc>
        <w:tc>
          <w:tcPr>
            <w:tcW w:w="960" w:type="dxa"/>
            <w:vAlign w:val="bottom"/>
          </w:tcPr>
          <w:p>
            <w:pPr>
              <w:jc w:val="right"/>
              <w:spacing w:after="0"/>
              <w:rPr>
                <w:sz w:val="20"/>
                <w:szCs w:val="20"/>
                <w:color w:val="auto"/>
              </w:rPr>
            </w:pPr>
            <w:r>
              <w:rPr>
                <w:rFonts w:ascii="Arial" w:cs="Arial" w:eastAsia="Arial" w:hAnsi="Arial"/>
                <w:sz w:val="18"/>
                <w:szCs w:val="18"/>
                <w:color w:val="auto"/>
              </w:rPr>
              <w:t>28,566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892,107</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Allianz NFJ International Value</w:t>
            </w:r>
          </w:p>
        </w:tc>
        <w:tc>
          <w:tcPr>
            <w:tcW w:w="960" w:type="dxa"/>
            <w:vAlign w:val="bottom"/>
          </w:tcPr>
          <w:p>
            <w:pPr>
              <w:jc w:val="right"/>
              <w:spacing w:after="0"/>
              <w:rPr>
                <w:sz w:val="20"/>
                <w:szCs w:val="20"/>
                <w:color w:val="auto"/>
              </w:rPr>
            </w:pPr>
            <w:r>
              <w:rPr>
                <w:rFonts w:ascii="Arial" w:cs="Arial" w:eastAsia="Arial" w:hAnsi="Arial"/>
                <w:sz w:val="18"/>
                <w:szCs w:val="18"/>
                <w:color w:val="auto"/>
              </w:rPr>
              <w:t>31,682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677,354</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American Century Investment Mid Cap Value</w:t>
            </w:r>
          </w:p>
        </w:tc>
        <w:tc>
          <w:tcPr>
            <w:tcW w:w="960" w:type="dxa"/>
            <w:vAlign w:val="bottom"/>
          </w:tcPr>
          <w:p>
            <w:pPr>
              <w:jc w:val="right"/>
              <w:spacing w:after="0"/>
              <w:rPr>
                <w:sz w:val="20"/>
                <w:szCs w:val="20"/>
                <w:color w:val="auto"/>
              </w:rPr>
            </w:pPr>
            <w:r>
              <w:rPr>
                <w:rFonts w:ascii="Arial" w:cs="Arial" w:eastAsia="Arial" w:hAnsi="Arial"/>
                <w:sz w:val="18"/>
                <w:szCs w:val="18"/>
                <w:color w:val="auto"/>
              </w:rPr>
              <w:t>61,960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806,721</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Pioneer Oak Ridge Small Cap Growth Fund</w:t>
            </w:r>
          </w:p>
        </w:tc>
        <w:tc>
          <w:tcPr>
            <w:tcW w:w="960" w:type="dxa"/>
            <w:vAlign w:val="bottom"/>
          </w:tcPr>
          <w:p>
            <w:pPr>
              <w:jc w:val="right"/>
              <w:spacing w:after="0"/>
              <w:rPr>
                <w:sz w:val="20"/>
                <w:szCs w:val="20"/>
                <w:color w:val="auto"/>
              </w:rPr>
            </w:pPr>
            <w:r>
              <w:rPr>
                <w:rFonts w:ascii="Arial" w:cs="Arial" w:eastAsia="Arial" w:hAnsi="Arial"/>
                <w:sz w:val="18"/>
                <w:szCs w:val="18"/>
                <w:color w:val="auto"/>
              </w:rPr>
              <w:t>16,492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491,135</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JP Morgan High Yield Fund</w:t>
            </w:r>
          </w:p>
        </w:tc>
        <w:tc>
          <w:tcPr>
            <w:tcW w:w="960" w:type="dxa"/>
            <w:vAlign w:val="bottom"/>
          </w:tcPr>
          <w:p>
            <w:pPr>
              <w:jc w:val="right"/>
              <w:spacing w:after="0"/>
              <w:rPr>
                <w:sz w:val="20"/>
                <w:szCs w:val="20"/>
                <w:color w:val="auto"/>
              </w:rPr>
            </w:pPr>
            <w:r>
              <w:rPr>
                <w:rFonts w:ascii="Arial" w:cs="Arial" w:eastAsia="Arial" w:hAnsi="Arial"/>
                <w:sz w:val="18"/>
                <w:szCs w:val="18"/>
                <w:color w:val="auto"/>
              </w:rPr>
              <w:t>36,987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299,596</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JP Morgan Equity Index</w:t>
            </w:r>
          </w:p>
        </w:tc>
        <w:tc>
          <w:tcPr>
            <w:tcW w:w="960" w:type="dxa"/>
            <w:vAlign w:val="bottom"/>
          </w:tcPr>
          <w:p>
            <w:pPr>
              <w:jc w:val="right"/>
              <w:spacing w:after="0"/>
              <w:rPr>
                <w:sz w:val="20"/>
                <w:szCs w:val="20"/>
                <w:color w:val="auto"/>
              </w:rPr>
            </w:pPr>
            <w:r>
              <w:rPr>
                <w:rFonts w:ascii="Arial" w:cs="Arial" w:eastAsia="Arial" w:hAnsi="Arial"/>
                <w:sz w:val="18"/>
                <w:szCs w:val="18"/>
                <w:color w:val="auto"/>
              </w:rPr>
              <w:t>85,554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2,766,814</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Perkins Small Cap Value Fund</w:t>
            </w:r>
          </w:p>
        </w:tc>
        <w:tc>
          <w:tcPr>
            <w:tcW w:w="960" w:type="dxa"/>
            <w:vAlign w:val="bottom"/>
          </w:tcPr>
          <w:p>
            <w:pPr>
              <w:jc w:val="right"/>
              <w:spacing w:after="0"/>
              <w:rPr>
                <w:sz w:val="20"/>
                <w:szCs w:val="20"/>
                <w:color w:val="auto"/>
              </w:rPr>
            </w:pPr>
            <w:r>
              <w:rPr>
                <w:rFonts w:ascii="Arial" w:cs="Arial" w:eastAsia="Arial" w:hAnsi="Arial"/>
                <w:sz w:val="18"/>
                <w:szCs w:val="18"/>
                <w:color w:val="auto"/>
              </w:rPr>
              <w:t>24,314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509,140</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Franklin Strategic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53,464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570,995</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Blackrock Inflation Protected Bond Fund</w:t>
            </w:r>
          </w:p>
        </w:tc>
        <w:tc>
          <w:tcPr>
            <w:tcW w:w="960" w:type="dxa"/>
            <w:vAlign w:val="bottom"/>
          </w:tcPr>
          <w:p>
            <w:pPr>
              <w:jc w:val="right"/>
              <w:spacing w:after="0"/>
              <w:rPr>
                <w:sz w:val="20"/>
                <w:szCs w:val="20"/>
                <w:color w:val="auto"/>
              </w:rPr>
            </w:pPr>
            <w:r>
              <w:rPr>
                <w:rFonts w:ascii="Arial" w:cs="Arial" w:eastAsia="Arial" w:hAnsi="Arial"/>
                <w:sz w:val="18"/>
                <w:szCs w:val="18"/>
                <w:color w:val="auto"/>
              </w:rPr>
              <w:t>37,077</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441,953</w:t>
            </w:r>
          </w:p>
        </w:tc>
      </w:tr>
      <w:tr>
        <w:trPr>
          <w:trHeight w:val="433"/>
        </w:trPr>
        <w:tc>
          <w:tcPr>
            <w:tcW w:w="4260" w:type="dxa"/>
            <w:vAlign w:val="bottom"/>
            <w:gridSpan w:val="2"/>
          </w:tcPr>
          <w:p>
            <w:pPr>
              <w:spacing w:after="0"/>
              <w:rPr>
                <w:sz w:val="20"/>
                <w:szCs w:val="20"/>
                <w:color w:val="auto"/>
              </w:rPr>
            </w:pPr>
            <w:r>
              <w:rPr>
                <w:rFonts w:ascii="Arial" w:cs="Arial" w:eastAsia="Arial" w:hAnsi="Arial"/>
                <w:sz w:val="18"/>
                <w:szCs w:val="18"/>
                <w:color w:val="auto"/>
              </w:rPr>
              <w:t>* Destination XL Group, Inc.</w:t>
            </w:r>
          </w:p>
        </w:tc>
        <w:tc>
          <w:tcPr>
            <w:tcW w:w="960" w:type="dxa"/>
            <w:vAlign w:val="bottom"/>
          </w:tcPr>
          <w:p>
            <w:pPr>
              <w:jc w:val="right"/>
              <w:spacing w:after="0"/>
              <w:rPr>
                <w:sz w:val="20"/>
                <w:szCs w:val="20"/>
                <w:color w:val="auto"/>
              </w:rPr>
            </w:pPr>
            <w:r>
              <w:rPr>
                <w:rFonts w:ascii="Arial" w:cs="Arial" w:eastAsia="Arial" w:hAnsi="Arial"/>
                <w:sz w:val="18"/>
                <w:szCs w:val="18"/>
                <w:color w:val="auto"/>
              </w:rPr>
              <w:t>192,473</w:t>
            </w:r>
          </w:p>
        </w:tc>
        <w:tc>
          <w:tcPr>
            <w:tcW w:w="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808,386</w:t>
            </w: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30,758,147</w:t>
            </w:r>
          </w:p>
        </w:tc>
      </w:tr>
      <w:tr>
        <w:trPr>
          <w:trHeight w:val="223"/>
        </w:trPr>
        <w:tc>
          <w:tcPr>
            <w:tcW w:w="3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819,769</w:t>
            </w:r>
          </w:p>
        </w:tc>
      </w:tr>
      <w:tr>
        <w:trPr>
          <w:trHeight w:val="223"/>
        </w:trPr>
        <w:tc>
          <w:tcPr>
            <w:tcW w:w="3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31,577,916</w:t>
            </w: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-4999355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-4724400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-4450080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-4175760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-3901440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-3627120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-3352800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-3077845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-2803525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-2529205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-2254885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-1980565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-1706245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-1431290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-1156970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-882650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-608330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-316865</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680"/>
            <w:col w:w="6820"/>
          </w:cols>
          <w:pgMar w:left="240" w:top="459"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Indicates party-in-interest to the Plan.</w:t>
      </w:r>
    </w:p>
    <w:p>
      <w:pPr>
        <w:spacing w:after="0" w:line="15" w:lineRule="exact"/>
        <w:rPr>
          <w:sz w:val="20"/>
          <w:szCs w:val="20"/>
          <w:color w:val="auto"/>
        </w:rPr>
      </w:pPr>
    </w:p>
    <w:p>
      <w:pPr>
        <w:ind w:left="5620" w:right="2560" w:hanging="5612"/>
        <w:spacing w:after="0" w:line="711" w:lineRule="auto"/>
        <w:tabs>
          <w:tab w:leader="none" w:pos="21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$70,826 of non participant-directed, unallocated forfeitures for which historical cost approximates current value. 17</w:t>
      </w:r>
    </w:p>
    <w:p>
      <w:pPr>
        <w:sectPr>
          <w:pgSz w:w="11900" w:h="16838" w:orient="portrait"/>
          <w:cols w:equalWidth="0" w:num="1">
            <w:col w:w="11320"/>
          </w:cols>
          <w:pgMar w:left="240" w:top="459"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 401(k) Salaried Savings Plan</w:t>
      </w:r>
    </w:p>
    <w:p>
      <w:pPr>
        <w:spacing w:after="0" w:line="26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 Executive Vice President, Chief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Chief Operating Officer of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 the Plan 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59"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(No. 333-112218) on Form S-8 of our report dated June 28, 2013, relating to the statements of net assets available for benefits of Casual Male Retail Group, Inc. 401(k) Salaried Savings Plan as of December 31, 2012, and 2011, the related statement of changes in net assets available for benefits for the year ended December 31, 2012, and the related supplemental schedule as of December 31, 2012, which report appears in the December 31, 2012 annual report on Form 11-K of Casual Male Retail Group, Inc. 401(k) Salaried Savings Plan.</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Mayer Hoffman McCann CPAs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2019-12-06T01:16:37Z</dcterms:created>
  <dcterms:modified xsi:type="dcterms:W3CDTF">2019-12-06T01:16:37Z</dcterms:modified>
</cp:coreProperties>
</file>