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60331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603313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AWM Investment Company, Inc.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527 MADISON AVENUE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2600</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10022</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3740" w:type="dxa"/>
            <w:vAlign w:val="bottom"/>
            <w:gridSpan w:val="3"/>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DESTINATION XL GROUP,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DXLG</w:t>
            </w:r>
          </w:p>
        </w:tc>
        <w:tc>
          <w:tcPr>
            <w:tcW w:w="170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3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X</w:t>
            </w: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
        </w:trPr>
        <w:tc>
          <w:tcPr>
            <w:tcW w:w="80" w:type="dxa"/>
            <w:vAlign w:val="bottom"/>
          </w:tcPr>
          <w:p>
            <w:pPr>
              <w:spacing w:after="0" w:line="20" w:lineRule="exact"/>
              <w:rPr>
                <w:sz w:val="1"/>
                <w:szCs w:val="1"/>
                <w:color w:val="auto"/>
              </w:rPr>
            </w:pPr>
          </w:p>
        </w:tc>
        <w:tc>
          <w:tcPr>
            <w:tcW w:w="120" w:type="dxa"/>
            <w:vAlign w:val="bottom"/>
            <w:shd w:val="clear" w:color="auto" w:fill="0000EE"/>
          </w:tcPr>
          <w:p>
            <w:pPr>
              <w:spacing w:after="0"/>
              <w:rPr>
                <w:rFonts w:ascii="Times New Roman" w:cs="Times New Roman" w:eastAsia="Times New Roman" w:hAnsi="Times New Roman"/>
                <w:sz w:val="1"/>
                <w:szCs w:val="1"/>
                <w:color w:val="auto"/>
              </w:rPr>
            </w:pPr>
            <w:hyperlink r:id="rId13">
              <w:r>
                <w:rPr>
                  <w:rFonts w:ascii="Times New Roman" w:cs="Times New Roman" w:eastAsia="Times New Roman" w:hAnsi="Times New Roman"/>
                  <w:sz w:val="1"/>
                  <w:szCs w:val="1"/>
                  <w:color w:val="auto"/>
                </w:rPr>
                <w:t>]</w:t>
              </w:r>
            </w:hyperlink>
          </w:p>
        </w:tc>
        <w:tc>
          <w:tcPr>
            <w:tcW w:w="288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360" w:type="dxa"/>
            <w:vAlign w:val="bottom"/>
            <w:vMerge w:val="continue"/>
          </w:tcPr>
          <w:p>
            <w:pPr>
              <w:spacing w:after="0" w:line="20" w:lineRule="exact"/>
              <w:rPr>
                <w:sz w:val="1"/>
                <w:szCs w:val="1"/>
                <w:color w:val="auto"/>
              </w:rPr>
            </w:pPr>
          </w:p>
        </w:tc>
        <w:tc>
          <w:tcPr>
            <w:tcW w:w="1240" w:type="dxa"/>
            <w:vAlign w:val="bottom"/>
            <w:vMerge w:val="restart"/>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6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360" w:type="dxa"/>
            <w:vAlign w:val="bottom"/>
          </w:tcPr>
          <w:p>
            <w:pPr>
              <w:spacing w:after="0"/>
              <w:rPr>
                <w:sz w:val="18"/>
                <w:szCs w:val="18"/>
                <w:color w:val="auto"/>
              </w:rPr>
            </w:pPr>
          </w:p>
        </w:tc>
        <w:tc>
          <w:tcPr>
            <w:tcW w:w="1240" w:type="dxa"/>
            <w:vAlign w:val="bottom"/>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3"/>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88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200" w:type="dxa"/>
            <w:vAlign w:val="bottom"/>
          </w:tcPr>
          <w:p>
            <w:pPr>
              <w:spacing w:after="0"/>
              <w:rPr>
                <w:sz w:val="9"/>
                <w:szCs w:val="9"/>
                <w:color w:val="auto"/>
              </w:rPr>
            </w:pPr>
          </w:p>
        </w:tc>
        <w:tc>
          <w:tcPr>
            <w:tcW w:w="1500" w:type="dxa"/>
            <w:vAlign w:val="bottom"/>
          </w:tcPr>
          <w:p>
            <w:pPr>
              <w:ind w:left="400"/>
              <w:spacing w:after="0" w:line="113" w:lineRule="exact"/>
              <w:rPr>
                <w:sz w:val="20"/>
                <w:szCs w:val="20"/>
                <w:color w:val="auto"/>
              </w:rPr>
            </w:pPr>
            <w:r>
              <w:rPr>
                <w:rFonts w:ascii="Arial" w:cs="Arial" w:eastAsia="Arial" w:hAnsi="Arial"/>
                <w:sz w:val="13"/>
                <w:szCs w:val="13"/>
                <w:color w:val="auto"/>
              </w:rPr>
              <w:t>below)</w:t>
            </w:r>
          </w:p>
        </w:tc>
        <w:tc>
          <w:tcPr>
            <w:tcW w:w="360" w:type="dxa"/>
            <w:vAlign w:val="bottom"/>
          </w:tcPr>
          <w:p>
            <w:pPr>
              <w:spacing w:after="0"/>
              <w:rPr>
                <w:sz w:val="9"/>
                <w:szCs w:val="9"/>
                <w:color w:val="auto"/>
              </w:rPr>
            </w:pPr>
          </w:p>
        </w:tc>
        <w:tc>
          <w:tcPr>
            <w:tcW w:w="1240" w:type="dxa"/>
            <w:vAlign w:val="bottom"/>
          </w:tcPr>
          <w:p>
            <w:pPr>
              <w:ind w:left="100"/>
              <w:spacing w:after="0" w:line="11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0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04/19/2022</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88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3100" w:type="dxa"/>
            <w:vAlign w:val="bottom"/>
            <w:tcBorders>
              <w:bottom w:val="single" w:sz="8" w:color="2C2C2C"/>
            </w:tcBorders>
            <w:gridSpan w:val="3"/>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0"/>
          <w:szCs w:val="20"/>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22" w:lineRule="exact"/>
        <w:rPr>
          <w:sz w:val="20"/>
          <w:szCs w:val="20"/>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220" w:type="dxa"/>
            <w:vAlign w:val="bottom"/>
          </w:tcPr>
          <w:p>
            <w:pPr>
              <w:ind w:left="12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260" w:type="dxa"/>
            <w:vAlign w:val="bottom"/>
            <w:gridSpan w:val="4"/>
          </w:tcPr>
          <w:p>
            <w:pPr>
              <w:ind w:left="220"/>
              <w:spacing w:after="0"/>
              <w:rPr>
                <w:sz w:val="20"/>
                <w:szCs w:val="20"/>
                <w:color w:val="auto"/>
              </w:rPr>
            </w:pPr>
            <w:r>
              <w:rPr>
                <w:rFonts w:ascii="Arial" w:cs="Arial" w:eastAsia="Arial" w:hAnsi="Arial"/>
                <w:sz w:val="12"/>
                <w:szCs w:val="12"/>
                <w:b w:val="1"/>
                <w:bCs w:val="1"/>
                <w:color w:val="auto"/>
              </w:rPr>
              <w:t>4. Securities Acquired (A) or</w:t>
            </w:r>
          </w:p>
        </w:tc>
        <w:tc>
          <w:tcPr>
            <w:tcW w:w="10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6.</w:t>
            </w:r>
          </w:p>
        </w:tc>
        <w:tc>
          <w:tcPr>
            <w:tcW w:w="1460" w:type="dxa"/>
            <w:vAlign w:val="bottom"/>
            <w:gridSpan w:val="4"/>
          </w:tcPr>
          <w:p>
            <w:pPr>
              <w:ind w:left="1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29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 5)</w:t>
            </w:r>
          </w:p>
        </w:tc>
        <w:tc>
          <w:tcPr>
            <w:tcW w:w="10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1460" w:type="dxa"/>
            <w:vAlign w:val="bottom"/>
            <w:gridSpan w:val="4"/>
          </w:tcPr>
          <w:p>
            <w:pPr>
              <w:ind w:left="160"/>
              <w:spacing w:after="0" w:line="133"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14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1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Form: Direct</w:t>
            </w:r>
          </w:p>
        </w:tc>
        <w:tc>
          <w:tcPr>
            <w:tcW w:w="1460" w:type="dxa"/>
            <w:vAlign w:val="bottom"/>
            <w:gridSpan w:val="4"/>
          </w:tcPr>
          <w:p>
            <w:pPr>
              <w:ind w:left="160"/>
              <w:spacing w:after="0" w:line="133" w:lineRule="exact"/>
              <w:rPr>
                <w:sz w:val="20"/>
                <w:szCs w:val="20"/>
                <w:color w:val="auto"/>
              </w:rPr>
            </w:pPr>
            <w:r>
              <w:rPr>
                <w:rFonts w:ascii="Arial" w:cs="Arial" w:eastAsia="Arial" w:hAnsi="Arial"/>
                <w:sz w:val="12"/>
                <w:szCs w:val="12"/>
                <w:b w:val="1"/>
                <w:bCs w:val="1"/>
                <w:color w:val="auto"/>
              </w:rPr>
              <w:t>Ownership (Instr.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7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02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180" w:type="dxa"/>
            <w:vAlign w:val="bottom"/>
          </w:tcPr>
          <w:p>
            <w:pPr>
              <w:spacing w:after="0"/>
              <w:rPr>
                <w:sz w:val="6"/>
                <w:szCs w:val="6"/>
                <w:color w:val="auto"/>
              </w:rPr>
            </w:pPr>
          </w:p>
        </w:tc>
        <w:tc>
          <w:tcPr>
            <w:tcW w:w="80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Indirect (I)</w:t>
            </w: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2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w:t>
            </w:r>
          </w:p>
        </w:tc>
        <w:tc>
          <w:tcPr>
            <w:tcW w:w="800" w:type="dxa"/>
            <w:vAlign w:val="bottom"/>
          </w:tcPr>
          <w:p>
            <w:pPr>
              <w:spacing w:after="0"/>
              <w:rPr>
                <w:sz w:val="11"/>
                <w:szCs w:val="11"/>
                <w:color w:val="auto"/>
              </w:rPr>
            </w:pPr>
          </w:p>
        </w:tc>
        <w:tc>
          <w:tcPr>
            <w:tcW w:w="10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1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V</w:t>
            </w:r>
          </w:p>
        </w:tc>
        <w:tc>
          <w:tcPr>
            <w:tcW w:w="84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w:t>
            </w:r>
          </w:p>
        </w:tc>
        <w:tc>
          <w:tcPr>
            <w:tcW w:w="10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Pr>
          <w:p>
            <w:pPr>
              <w:spacing w:after="0"/>
              <w:rPr>
                <w:sz w:val="21"/>
                <w:szCs w:val="21"/>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04/19/2022</w:t>
            </w: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vMerge w:val="restart"/>
          </w:tcPr>
          <w:p>
            <w:pPr>
              <w:jc w:val="center"/>
              <w:ind w:left="233"/>
              <w:spacing w:after="0"/>
              <w:rPr>
                <w:sz w:val="20"/>
                <w:szCs w:val="20"/>
                <w:color w:val="auto"/>
              </w:rPr>
            </w:pPr>
            <w:r>
              <w:rPr>
                <w:rFonts w:ascii="Times New Roman" w:cs="Times New Roman" w:eastAsia="Times New Roman" w:hAnsi="Times New Roman"/>
                <w:sz w:val="17"/>
                <w:szCs w:val="17"/>
                <w:color w:val="0000FF"/>
                <w:w w:val="99"/>
              </w:rPr>
              <w:t>2,409</w:t>
            </w:r>
          </w:p>
        </w:tc>
        <w:tc>
          <w:tcPr>
            <w:tcW w:w="200" w:type="dxa"/>
            <w:vAlign w:val="bottom"/>
          </w:tcPr>
          <w:p>
            <w:pPr>
              <w:spacing w:after="0"/>
              <w:rPr>
                <w:sz w:val="21"/>
                <w:szCs w:val="21"/>
                <w:color w:val="auto"/>
              </w:rPr>
            </w:pPr>
          </w:p>
        </w:tc>
        <w:tc>
          <w:tcPr>
            <w:tcW w:w="4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5.275</w:t>
            </w:r>
            <w:r>
              <w:rPr>
                <w:rFonts w:ascii="Times New Roman" w:cs="Times New Roman" w:eastAsia="Times New Roman" w:hAnsi="Times New Roman"/>
                <w:sz w:val="22"/>
                <w:szCs w:val="22"/>
                <w:color w:val="008000"/>
                <w:w w:val="95"/>
                <w:vertAlign w:val="superscript"/>
              </w:rPr>
              <w:t>(1)</w:t>
            </w:r>
          </w:p>
        </w:tc>
        <w:tc>
          <w:tcPr>
            <w:tcW w:w="1020" w:type="dxa"/>
            <w:vAlign w:val="bottom"/>
            <w:gridSpan w:val="2"/>
            <w:vMerge w:val="restart"/>
          </w:tcPr>
          <w:p>
            <w:pPr>
              <w:jc w:val="center"/>
              <w:ind w:left="130"/>
              <w:spacing w:after="0"/>
              <w:rPr>
                <w:sz w:val="20"/>
                <w:szCs w:val="20"/>
                <w:color w:val="auto"/>
              </w:rPr>
            </w:pPr>
            <w:r>
              <w:rPr>
                <w:rFonts w:ascii="Times New Roman" w:cs="Times New Roman" w:eastAsia="Times New Roman" w:hAnsi="Times New Roman"/>
                <w:sz w:val="17"/>
                <w:szCs w:val="17"/>
                <w:color w:val="0000FF"/>
              </w:rPr>
              <w:t>11,079,384</w:t>
            </w:r>
          </w:p>
        </w:tc>
        <w:tc>
          <w:tcPr>
            <w:tcW w:w="180" w:type="dxa"/>
            <w:vAlign w:val="bottom"/>
          </w:tcPr>
          <w:p>
            <w:pPr>
              <w:spacing w:after="0"/>
              <w:rPr>
                <w:sz w:val="21"/>
                <w:szCs w:val="21"/>
                <w:color w:val="auto"/>
              </w:rPr>
            </w:pPr>
          </w:p>
        </w:tc>
        <w:tc>
          <w:tcPr>
            <w:tcW w:w="800" w:type="dxa"/>
            <w:vAlign w:val="bottom"/>
            <w:vMerge w:val="restart"/>
          </w:tcPr>
          <w:p>
            <w:pPr>
              <w:jc w:val="center"/>
              <w:ind w:left="32"/>
              <w:spacing w:after="0"/>
              <w:rPr>
                <w:sz w:val="20"/>
                <w:szCs w:val="20"/>
                <w:color w:val="auto"/>
              </w:rPr>
            </w:pPr>
            <w:r>
              <w:rPr>
                <w:rFonts w:ascii="Times New Roman" w:cs="Times New Roman" w:eastAsia="Times New Roman" w:hAnsi="Times New Roman"/>
                <w:sz w:val="17"/>
                <w:szCs w:val="17"/>
                <w:color w:val="0000FF"/>
              </w:rPr>
              <w:t>I</w:t>
            </w:r>
          </w:p>
        </w:tc>
        <w:tc>
          <w:tcPr>
            <w:tcW w:w="146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By Limited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88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460" w:type="dxa"/>
            <w:vAlign w:val="bottom"/>
            <w:gridSpan w:val="4"/>
            <w:vMerge w:val="restart"/>
          </w:tcPr>
          <w:p>
            <w:pPr>
              <w:ind w:left="160"/>
              <w:spacing w:after="0"/>
              <w:rPr>
                <w:sz w:val="20"/>
                <w:szCs w:val="20"/>
                <w:color w:val="auto"/>
              </w:rPr>
            </w:pPr>
            <w:r>
              <w:rPr>
                <w:rFonts w:ascii="Times New Roman" w:cs="Times New Roman" w:eastAsia="Times New Roman" w:hAnsi="Times New Roman"/>
                <w:sz w:val="17"/>
                <w:szCs w:val="17"/>
                <w:color w:val="0000FF"/>
              </w:rPr>
              <w:t>Partnerships</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4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Pr>
          <w:p>
            <w:pPr>
              <w:spacing w:after="0"/>
              <w:rPr>
                <w:sz w:val="21"/>
                <w:szCs w:val="21"/>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04/19/2022</w:t>
            </w: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vMerge w:val="restart"/>
          </w:tcPr>
          <w:p>
            <w:pPr>
              <w:jc w:val="center"/>
              <w:ind w:left="233"/>
              <w:spacing w:after="0"/>
              <w:rPr>
                <w:sz w:val="20"/>
                <w:szCs w:val="20"/>
                <w:color w:val="auto"/>
              </w:rPr>
            </w:pPr>
            <w:r>
              <w:rPr>
                <w:rFonts w:ascii="Times New Roman" w:cs="Times New Roman" w:eastAsia="Times New Roman" w:hAnsi="Times New Roman"/>
                <w:sz w:val="17"/>
                <w:szCs w:val="17"/>
                <w:color w:val="0000FF"/>
                <w:w w:val="98"/>
              </w:rPr>
              <w:t>52,636</w:t>
            </w:r>
          </w:p>
        </w:tc>
        <w:tc>
          <w:tcPr>
            <w:tcW w:w="200" w:type="dxa"/>
            <w:vAlign w:val="bottom"/>
          </w:tcPr>
          <w:p>
            <w:pPr>
              <w:spacing w:after="0"/>
              <w:rPr>
                <w:sz w:val="21"/>
                <w:szCs w:val="21"/>
                <w:color w:val="auto"/>
              </w:rPr>
            </w:pPr>
          </w:p>
        </w:tc>
        <w:tc>
          <w:tcPr>
            <w:tcW w:w="4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5.3593</w:t>
            </w:r>
            <w:r>
              <w:rPr>
                <w:rFonts w:ascii="Times New Roman" w:cs="Times New Roman" w:eastAsia="Times New Roman" w:hAnsi="Times New Roman"/>
                <w:sz w:val="22"/>
                <w:szCs w:val="22"/>
                <w:color w:val="008000"/>
                <w:w w:val="95"/>
                <w:vertAlign w:val="superscript"/>
              </w:rPr>
              <w:t>(1)</w:t>
            </w:r>
          </w:p>
        </w:tc>
        <w:tc>
          <w:tcPr>
            <w:tcW w:w="1020" w:type="dxa"/>
            <w:vAlign w:val="bottom"/>
            <w:gridSpan w:val="2"/>
            <w:vMerge w:val="restart"/>
          </w:tcPr>
          <w:p>
            <w:pPr>
              <w:jc w:val="center"/>
              <w:ind w:left="130"/>
              <w:spacing w:after="0"/>
              <w:rPr>
                <w:sz w:val="20"/>
                <w:szCs w:val="20"/>
                <w:color w:val="auto"/>
              </w:rPr>
            </w:pPr>
            <w:r>
              <w:rPr>
                <w:rFonts w:ascii="Times New Roman" w:cs="Times New Roman" w:eastAsia="Times New Roman" w:hAnsi="Times New Roman"/>
                <w:sz w:val="17"/>
                <w:szCs w:val="17"/>
                <w:color w:val="0000FF"/>
              </w:rPr>
              <w:t>11,026,748</w:t>
            </w:r>
          </w:p>
        </w:tc>
        <w:tc>
          <w:tcPr>
            <w:tcW w:w="180" w:type="dxa"/>
            <w:vAlign w:val="bottom"/>
          </w:tcPr>
          <w:p>
            <w:pPr>
              <w:spacing w:after="0"/>
              <w:rPr>
                <w:sz w:val="21"/>
                <w:szCs w:val="21"/>
                <w:color w:val="auto"/>
              </w:rPr>
            </w:pPr>
          </w:p>
        </w:tc>
        <w:tc>
          <w:tcPr>
            <w:tcW w:w="800" w:type="dxa"/>
            <w:vAlign w:val="bottom"/>
            <w:vMerge w:val="restart"/>
          </w:tcPr>
          <w:p>
            <w:pPr>
              <w:jc w:val="center"/>
              <w:ind w:left="32"/>
              <w:spacing w:after="0"/>
              <w:rPr>
                <w:sz w:val="20"/>
                <w:szCs w:val="20"/>
                <w:color w:val="auto"/>
              </w:rPr>
            </w:pPr>
            <w:r>
              <w:rPr>
                <w:rFonts w:ascii="Times New Roman" w:cs="Times New Roman" w:eastAsia="Times New Roman" w:hAnsi="Times New Roman"/>
                <w:sz w:val="17"/>
                <w:szCs w:val="17"/>
                <w:color w:val="0000FF"/>
              </w:rPr>
              <w:t>I</w:t>
            </w:r>
          </w:p>
        </w:tc>
        <w:tc>
          <w:tcPr>
            <w:tcW w:w="146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By Limited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88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460" w:type="dxa"/>
            <w:vAlign w:val="bottom"/>
            <w:gridSpan w:val="4"/>
            <w:vMerge w:val="restart"/>
          </w:tcPr>
          <w:p>
            <w:pPr>
              <w:ind w:left="160"/>
              <w:spacing w:after="0"/>
              <w:rPr>
                <w:sz w:val="20"/>
                <w:szCs w:val="20"/>
                <w:color w:val="auto"/>
              </w:rPr>
            </w:pPr>
            <w:r>
              <w:rPr>
                <w:rFonts w:ascii="Times New Roman" w:cs="Times New Roman" w:eastAsia="Times New Roman" w:hAnsi="Times New Roman"/>
                <w:sz w:val="17"/>
                <w:szCs w:val="17"/>
                <w:color w:val="0000FF"/>
              </w:rPr>
              <w:t>Partnerships</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4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Pr>
          <w:p>
            <w:pPr>
              <w:spacing w:after="0"/>
              <w:rPr>
                <w:sz w:val="21"/>
                <w:szCs w:val="21"/>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04/20/2022</w:t>
            </w: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vMerge w:val="restart"/>
          </w:tcPr>
          <w:p>
            <w:pPr>
              <w:jc w:val="center"/>
              <w:ind w:left="233"/>
              <w:spacing w:after="0"/>
              <w:rPr>
                <w:sz w:val="20"/>
                <w:szCs w:val="20"/>
                <w:color w:val="auto"/>
              </w:rPr>
            </w:pPr>
            <w:r>
              <w:rPr>
                <w:rFonts w:ascii="Times New Roman" w:cs="Times New Roman" w:eastAsia="Times New Roman" w:hAnsi="Times New Roman"/>
                <w:sz w:val="17"/>
                <w:szCs w:val="17"/>
                <w:color w:val="0000FF"/>
                <w:w w:val="98"/>
              </w:rPr>
              <w:t>50,000</w:t>
            </w:r>
          </w:p>
        </w:tc>
        <w:tc>
          <w:tcPr>
            <w:tcW w:w="200" w:type="dxa"/>
            <w:vAlign w:val="bottom"/>
          </w:tcPr>
          <w:p>
            <w:pPr>
              <w:spacing w:after="0"/>
              <w:rPr>
                <w:sz w:val="21"/>
                <w:szCs w:val="21"/>
                <w:color w:val="auto"/>
              </w:rPr>
            </w:pPr>
          </w:p>
        </w:tc>
        <w:tc>
          <w:tcPr>
            <w:tcW w:w="4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5.1095</w:t>
            </w:r>
            <w:r>
              <w:rPr>
                <w:rFonts w:ascii="Times New Roman" w:cs="Times New Roman" w:eastAsia="Times New Roman" w:hAnsi="Times New Roman"/>
                <w:sz w:val="22"/>
                <w:szCs w:val="22"/>
                <w:color w:val="008000"/>
                <w:w w:val="95"/>
                <w:vertAlign w:val="superscript"/>
              </w:rPr>
              <w:t>(1)</w:t>
            </w:r>
          </w:p>
        </w:tc>
        <w:tc>
          <w:tcPr>
            <w:tcW w:w="1020" w:type="dxa"/>
            <w:vAlign w:val="bottom"/>
            <w:gridSpan w:val="2"/>
            <w:vMerge w:val="restart"/>
          </w:tcPr>
          <w:p>
            <w:pPr>
              <w:jc w:val="center"/>
              <w:ind w:left="130"/>
              <w:spacing w:after="0"/>
              <w:rPr>
                <w:sz w:val="20"/>
                <w:szCs w:val="20"/>
                <w:color w:val="auto"/>
              </w:rPr>
            </w:pPr>
            <w:r>
              <w:rPr>
                <w:rFonts w:ascii="Times New Roman" w:cs="Times New Roman" w:eastAsia="Times New Roman" w:hAnsi="Times New Roman"/>
                <w:sz w:val="17"/>
                <w:szCs w:val="17"/>
                <w:color w:val="0000FF"/>
              </w:rPr>
              <w:t>10,976,748</w:t>
            </w:r>
          </w:p>
        </w:tc>
        <w:tc>
          <w:tcPr>
            <w:tcW w:w="180" w:type="dxa"/>
            <w:vAlign w:val="bottom"/>
          </w:tcPr>
          <w:p>
            <w:pPr>
              <w:spacing w:after="0"/>
              <w:rPr>
                <w:sz w:val="21"/>
                <w:szCs w:val="21"/>
                <w:color w:val="auto"/>
              </w:rPr>
            </w:pPr>
          </w:p>
        </w:tc>
        <w:tc>
          <w:tcPr>
            <w:tcW w:w="800" w:type="dxa"/>
            <w:vAlign w:val="bottom"/>
            <w:vMerge w:val="restart"/>
          </w:tcPr>
          <w:p>
            <w:pPr>
              <w:jc w:val="center"/>
              <w:ind w:left="32"/>
              <w:spacing w:after="0"/>
              <w:rPr>
                <w:sz w:val="20"/>
                <w:szCs w:val="20"/>
                <w:color w:val="auto"/>
              </w:rPr>
            </w:pPr>
            <w:r>
              <w:rPr>
                <w:rFonts w:ascii="Times New Roman" w:cs="Times New Roman" w:eastAsia="Times New Roman" w:hAnsi="Times New Roman"/>
                <w:sz w:val="17"/>
                <w:szCs w:val="17"/>
                <w:color w:val="0000FF"/>
              </w:rPr>
              <w:t>I</w:t>
            </w:r>
          </w:p>
        </w:tc>
        <w:tc>
          <w:tcPr>
            <w:tcW w:w="146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By Limited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88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460" w:type="dxa"/>
            <w:vAlign w:val="bottom"/>
            <w:gridSpan w:val="4"/>
            <w:vMerge w:val="restart"/>
          </w:tcPr>
          <w:p>
            <w:pPr>
              <w:ind w:left="160"/>
              <w:spacing w:after="0"/>
              <w:rPr>
                <w:sz w:val="20"/>
                <w:szCs w:val="20"/>
                <w:color w:val="auto"/>
              </w:rPr>
            </w:pPr>
            <w:r>
              <w:rPr>
                <w:rFonts w:ascii="Times New Roman" w:cs="Times New Roman" w:eastAsia="Times New Roman" w:hAnsi="Times New Roman"/>
                <w:sz w:val="17"/>
                <w:szCs w:val="17"/>
                <w:color w:val="0000FF"/>
              </w:rPr>
              <w:t>Partnerships</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4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Pr>
          <w:p>
            <w:pPr>
              <w:spacing w:after="0"/>
              <w:rPr>
                <w:sz w:val="21"/>
                <w:szCs w:val="21"/>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04/21/2022</w:t>
            </w: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1040" w:type="dxa"/>
            <w:vAlign w:val="bottom"/>
            <w:gridSpan w:val="2"/>
            <w:vMerge w:val="restart"/>
          </w:tcPr>
          <w:p>
            <w:pPr>
              <w:jc w:val="center"/>
              <w:ind w:left="33"/>
              <w:spacing w:after="0"/>
              <w:rPr>
                <w:sz w:val="20"/>
                <w:szCs w:val="20"/>
                <w:color w:val="auto"/>
              </w:rPr>
            </w:pPr>
            <w:r>
              <w:rPr>
                <w:rFonts w:ascii="Times New Roman" w:cs="Times New Roman" w:eastAsia="Times New Roman" w:hAnsi="Times New Roman"/>
                <w:sz w:val="34"/>
                <w:szCs w:val="34"/>
                <w:color w:val="0000FF"/>
                <w:w w:val="86"/>
                <w:vertAlign w:val="subscript"/>
              </w:rPr>
              <w:t>6,314</w:t>
            </w:r>
            <w:r>
              <w:rPr>
                <w:rFonts w:ascii="Times New Roman" w:cs="Times New Roman" w:eastAsia="Times New Roman" w:hAnsi="Times New Roman"/>
                <w:sz w:val="11"/>
                <w:szCs w:val="11"/>
                <w:color w:val="008000"/>
                <w:w w:val="86"/>
              </w:rPr>
              <w:t>(2)(3)</w:t>
            </w:r>
          </w:p>
        </w:tc>
        <w:tc>
          <w:tcPr>
            <w:tcW w:w="4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5.11</w:t>
            </w:r>
            <w:r>
              <w:rPr>
                <w:rFonts w:ascii="Times New Roman" w:cs="Times New Roman" w:eastAsia="Times New Roman" w:hAnsi="Times New Roman"/>
                <w:sz w:val="22"/>
                <w:szCs w:val="22"/>
                <w:color w:val="008000"/>
                <w:w w:val="95"/>
                <w:vertAlign w:val="superscript"/>
              </w:rPr>
              <w:t>(1)</w:t>
            </w:r>
          </w:p>
        </w:tc>
        <w:tc>
          <w:tcPr>
            <w:tcW w:w="12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10,970,434</w:t>
            </w:r>
            <w:r>
              <w:rPr>
                <w:rFonts w:ascii="Times New Roman" w:cs="Times New Roman" w:eastAsia="Times New Roman" w:hAnsi="Times New Roman"/>
                <w:sz w:val="22"/>
                <w:szCs w:val="22"/>
                <w:color w:val="008000"/>
                <w:w w:val="93"/>
                <w:vertAlign w:val="superscript"/>
              </w:rPr>
              <w:t>(2)(3)</w:t>
            </w:r>
          </w:p>
        </w:tc>
        <w:tc>
          <w:tcPr>
            <w:tcW w:w="800" w:type="dxa"/>
            <w:vAlign w:val="bottom"/>
            <w:vMerge w:val="restart"/>
          </w:tcPr>
          <w:p>
            <w:pPr>
              <w:jc w:val="center"/>
              <w:ind w:left="12"/>
              <w:spacing w:after="0"/>
              <w:rPr>
                <w:sz w:val="20"/>
                <w:szCs w:val="20"/>
                <w:color w:val="auto"/>
              </w:rPr>
            </w:pPr>
            <w:r>
              <w:rPr>
                <w:rFonts w:ascii="Times New Roman" w:cs="Times New Roman" w:eastAsia="Times New Roman" w:hAnsi="Times New Roman"/>
                <w:sz w:val="34"/>
                <w:szCs w:val="34"/>
                <w:color w:val="0000FF"/>
                <w:w w:val="96"/>
                <w:vertAlign w:val="subscript"/>
              </w:rPr>
              <w:t>I</w:t>
            </w:r>
            <w:r>
              <w:rPr>
                <w:rFonts w:ascii="Times New Roman" w:cs="Times New Roman" w:eastAsia="Times New Roman" w:hAnsi="Times New Roman"/>
                <w:sz w:val="11"/>
                <w:szCs w:val="11"/>
                <w:color w:val="008000"/>
                <w:w w:val="96"/>
              </w:rPr>
              <w:t>(2)(3)</w:t>
            </w:r>
          </w:p>
        </w:tc>
        <w:tc>
          <w:tcPr>
            <w:tcW w:w="146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By Limited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88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1200" w:type="dxa"/>
            <w:vAlign w:val="bottom"/>
            <w:gridSpan w:val="3"/>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1460" w:type="dxa"/>
            <w:vAlign w:val="bottom"/>
            <w:gridSpan w:val="4"/>
            <w:vMerge w:val="restart"/>
          </w:tcPr>
          <w:p>
            <w:pPr>
              <w:ind w:left="160"/>
              <w:spacing w:after="0"/>
              <w:rPr>
                <w:sz w:val="20"/>
                <w:szCs w:val="20"/>
                <w:color w:val="auto"/>
              </w:rPr>
            </w:pPr>
            <w:r>
              <w:rPr>
                <w:rFonts w:ascii="Times New Roman" w:cs="Times New Roman" w:eastAsia="Times New Roman" w:hAnsi="Times New Roman"/>
                <w:sz w:val="17"/>
                <w:szCs w:val="17"/>
                <w:color w:val="0000FF"/>
              </w:rPr>
              <w:t>Partnerships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122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46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400" w:type="dxa"/>
            <w:vAlign w:val="bottom"/>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8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2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22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1020" w:type="dxa"/>
            <w:vAlign w:val="bottom"/>
            <w:gridSpan w:val="2"/>
          </w:tcPr>
          <w:p>
            <w:pPr>
              <w:ind w:left="200"/>
              <w:spacing w:after="0"/>
              <w:rPr>
                <w:sz w:val="20"/>
                <w:szCs w:val="20"/>
                <w:color w:val="auto"/>
              </w:rPr>
            </w:pPr>
            <w:r>
              <w:rPr>
                <w:rFonts w:ascii="Arial" w:cs="Arial" w:eastAsia="Arial" w:hAnsi="Arial"/>
                <w:sz w:val="12"/>
                <w:szCs w:val="12"/>
                <w:b w:val="1"/>
                <w:bCs w:val="1"/>
                <w:color w:val="auto"/>
              </w:rPr>
              <w:t>4.</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rPr>
              <w:t>7. Title and</w:t>
            </w:r>
          </w:p>
        </w:tc>
        <w:tc>
          <w:tcPr>
            <w:tcW w:w="240" w:type="dxa"/>
            <w:vAlign w:val="bottom"/>
          </w:tcPr>
          <w:p>
            <w:pPr>
              <w:spacing w:after="0"/>
              <w:rPr>
                <w:sz w:val="15"/>
                <w:szCs w:val="15"/>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spacing w:after="0"/>
              <w:rPr>
                <w:sz w:val="20"/>
                <w:szCs w:val="20"/>
                <w:color w:val="auto"/>
              </w:rPr>
            </w:pPr>
            <w:r>
              <w:rPr>
                <w:rFonts w:ascii="Arial" w:cs="Arial" w:eastAsia="Arial" w:hAnsi="Arial"/>
                <w:sz w:val="12"/>
                <w:szCs w:val="12"/>
                <w:b w:val="1"/>
                <w:bCs w:val="1"/>
                <w:color w:val="auto"/>
              </w:rPr>
              <w:t>10.</w:t>
            </w: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42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2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140" w:type="dxa"/>
            <w:vAlign w:val="bottom"/>
          </w:tcPr>
          <w:p>
            <w:pPr>
              <w:spacing w:after="0"/>
              <w:rPr>
                <w:sz w:val="11"/>
                <w:szCs w:val="11"/>
                <w:color w:val="auto"/>
              </w:rPr>
            </w:pP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224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  8)</w:t>
            </w: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2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7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20" w:type="dxa"/>
            <w:vAlign w:val="bottom"/>
            <w:gridSpan w:val="3"/>
          </w:tcPr>
          <w:p>
            <w:pPr>
              <w:ind w:left="5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20" w:type="dxa"/>
            <w:vAlign w:val="bottom"/>
            <w:gridSpan w:val="3"/>
          </w:tcPr>
          <w:p>
            <w:pPr>
              <w:ind w:left="5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8"/>
              </w:rPr>
              <w:t>Expiration</w:t>
            </w:r>
          </w:p>
        </w:tc>
        <w:tc>
          <w:tcPr>
            <w:tcW w:w="80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1820" w:type="dxa"/>
            <w:vAlign w:val="bottom"/>
            <w:gridSpan w:val="3"/>
          </w:tcPr>
          <w:p>
            <w:pPr>
              <w:ind w:left="120"/>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is a weighted average price.</w:t>
      </w:r>
    </w:p>
    <w:p>
      <w:pPr>
        <w:spacing w:after="0" w:line="50" w:lineRule="exact"/>
        <w:rPr>
          <w:rFonts w:ascii="Times New Roman" w:cs="Times New Roman" w:eastAsia="Times New Roman" w:hAnsi="Times New Roman"/>
          <w:sz w:val="13"/>
          <w:szCs w:val="13"/>
          <w:color w:val="008000"/>
        </w:rPr>
      </w:pPr>
    </w:p>
    <w:p>
      <w:pPr>
        <w:ind w:left="40" w:right="2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AWM Investment Company, Inc., a Delaware corporation (AWM), is the investment adviser to Special Situations Fund III QP, L.P. (SSFQP), Special Situations Cayman Fund, L.P. (Cay) and Special Situations Private Equity Fund, L.P. (SSPE). (SSPE and together with SSFQP and Cay, the Funds). As the investment adviser to the Funds, AWM holds sole voting and investment power over 6,578,108 shares of Common Stock of the Issuer (the Shares) held by SSFQP, 2,231,647 Shares held by Cay and 2,160,679 Shares held by SSPE.</w:t>
      </w:r>
    </w:p>
    <w:p>
      <w:pPr>
        <w:spacing w:after="0" w:line="20" w:lineRule="exact"/>
        <w:rPr>
          <w:rFonts w:ascii="Times New Roman" w:cs="Times New Roman" w:eastAsia="Times New Roman" w:hAnsi="Times New Roman"/>
          <w:sz w:val="13"/>
          <w:szCs w:val="13"/>
          <w:color w:val="008000"/>
        </w:rPr>
      </w:pPr>
    </w:p>
    <w:p>
      <w:pPr>
        <w:ind w:left="40" w:right="2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Austin W. Marxe (Marxe), David M. Greenhouse (Greenhouse) and Adam C. Stettner (Stettner) are the controlling principals of AWM. The reporting person disclaims beneficial ownership of the Shares, except to the extent of its pecuniary interest therein. This report shall not be deemed an admission that the reporting person is the beneficial owner of the securities reported herein for purposes of Section 16 of the Securities Exchange Act of 1934, as amended, or for any other purpose.</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Adam Stettner</w:t>
            </w: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04/21/2022</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35264"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2022-04-21T15:54:31Z</dcterms:created>
  <dcterms:modified xsi:type="dcterms:W3CDTF">2022-04-21T15:54:31Z</dcterms:modified>
</cp:coreProperties>
</file>