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8,707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3,868,873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3,865,973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3,865,273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3,864,373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3,864,273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3,864,173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3,863,873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3,863,459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3,862,873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3,861,473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3,860,973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14.11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3,860,473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3,860,273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3,859,973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3,859,673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3,853,965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3,850,065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3,846,565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3,844,165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3,838,165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7,096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3,831,069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3,830,169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3,826,165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3,790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3,822,375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3,821,175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810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3,820,365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14.11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3,819,365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3,819,065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09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900" w:type="dxa"/>
            <w:vAlign w:val="bottom"/>
            <w:gridSpan w:val="17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8000"/>
              </w:rPr>
              <w:t>The shares were sold pursuant to a pre-arranged stock trading plan pursuant to Rule 10b5-1 under the Exchange Act, which plan was executed on April 17, 2006.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Richard</w:t>
            </w: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00"/>
                <w:w w:val="82"/>
                <w:vertAlign w:val="subscript"/>
              </w:rPr>
              <w:t>Title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 xml:space="preserve"> Huffsmith,</w:t>
            </w: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0000"/>
                <w:w w:val="82"/>
                <w:vertAlign w:val="subscript"/>
              </w:rPr>
              <w:t>Shares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2"/>
              </w:rPr>
              <w:t>12/12/2006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9"/>
              </w:rPr>
              <w:t>in-Fact for Seymour Holtzman</w:t>
            </w: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22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2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2019-12-16T04:34:54Z</dcterms:created>
  <dcterms:modified xsi:type="dcterms:W3CDTF">2019-12-16T04:34:54Z</dcterms:modified>
</cp:coreProperties>
</file>