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480" w:right="1000" w:hanging="3459"/>
        <w:spacing w:after="0" w:line="266" w:lineRule="auto"/>
        <w:tabs>
          <w:tab w:leader="none" w:pos="14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1, 2025 (Fiscal 2024)</w:t>
      </w:r>
    </w:p>
    <w:p>
      <w:pPr>
        <w:spacing w:after="0" w:line="172" w:lineRule="exact"/>
        <w:rPr>
          <w:sz w:val="24"/>
          <w:szCs w:val="24"/>
          <w:color w:val="auto"/>
        </w:rPr>
      </w:pPr>
    </w:p>
    <w:p>
      <w:pPr>
        <w:ind w:left="820" w:hanging="799"/>
        <w:spacing w:after="0"/>
        <w:tabs>
          <w:tab w:leader="none" w:pos="8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352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DESTINATION XL GROUP, INC.</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780" w:type="dxa"/>
            <w:vAlign w:val="bottom"/>
            <w:gridSpan w:val="4"/>
          </w:tcPr>
          <w:p>
            <w:pPr>
              <w:jc w:val="center"/>
              <w:ind w:left="331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20" w:type="dxa"/>
            <w:vAlign w:val="bottom"/>
            <w:gridSpan w:val="2"/>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gridSpan w:val="2"/>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04-2623104</w:t>
            </w:r>
          </w:p>
        </w:tc>
        <w:tc>
          <w:tcPr>
            <w:tcW w:w="0" w:type="dxa"/>
            <w:vAlign w:val="bottom"/>
          </w:tcPr>
          <w:p>
            <w:pPr>
              <w:spacing w:after="0"/>
              <w:rPr>
                <w:sz w:val="1"/>
                <w:szCs w:val="1"/>
                <w:color w:val="auto"/>
              </w:rPr>
            </w:pPr>
          </w:p>
        </w:tc>
      </w:tr>
      <w:tr>
        <w:trPr>
          <w:trHeight w:val="190"/>
        </w:trPr>
        <w:tc>
          <w:tcPr>
            <w:tcW w:w="4820" w:type="dxa"/>
            <w:vAlign w:val="bottom"/>
            <w:gridSpan w:val="2"/>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6420" w:type="dxa"/>
            <w:vAlign w:val="bottom"/>
            <w:gridSpan w:val="4"/>
          </w:tcPr>
          <w:p>
            <w:pPr>
              <w:jc w:val="center"/>
              <w:ind w:left="843"/>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69"/>
        </w:trPr>
        <w:tc>
          <w:tcPr>
            <w:tcW w:w="4820" w:type="dxa"/>
            <w:vAlign w:val="bottom"/>
            <w:gridSpan w:val="2"/>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9"/>
              </w:rPr>
              <w:t>555 Turnpike Street, Canton, MA</w:t>
            </w:r>
          </w:p>
        </w:tc>
        <w:tc>
          <w:tcPr>
            <w:tcW w:w="2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60" w:type="dxa"/>
            <w:vAlign w:val="bottom"/>
            <w:gridSpan w:val="2"/>
          </w:tcPr>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02021</w:t>
            </w:r>
          </w:p>
        </w:tc>
        <w:tc>
          <w:tcPr>
            <w:tcW w:w="0" w:type="dxa"/>
            <w:vAlign w:val="bottom"/>
          </w:tcPr>
          <w:p>
            <w:pPr>
              <w:spacing w:after="0"/>
              <w:rPr>
                <w:sz w:val="1"/>
                <w:szCs w:val="1"/>
                <w:color w:val="auto"/>
              </w:rPr>
            </w:pPr>
          </w:p>
        </w:tc>
      </w:tr>
      <w:tr>
        <w:trPr>
          <w:trHeight w:val="190"/>
        </w:trPr>
        <w:tc>
          <w:tcPr>
            <w:tcW w:w="4820" w:type="dxa"/>
            <w:vAlign w:val="bottom"/>
            <w:gridSpan w:val="2"/>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2"/>
          </w:tcPr>
          <w:p>
            <w:pPr>
              <w:jc w:val="center"/>
              <w:ind w:right="195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2"/>
        </w:trPr>
        <w:tc>
          <w:tcPr>
            <w:tcW w:w="3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80" w:type="dxa"/>
            <w:vAlign w:val="bottom"/>
          </w:tcPr>
          <w:p>
            <w:pPr>
              <w:jc w:val="center"/>
              <w:ind w:right="1043"/>
              <w:spacing w:after="0"/>
              <w:rPr>
                <w:sz w:val="20"/>
                <w:szCs w:val="20"/>
                <w:color w:val="auto"/>
              </w:rPr>
            </w:pPr>
            <w:r>
              <w:rPr>
                <w:rFonts w:ascii="Times New Roman" w:cs="Times New Roman" w:eastAsia="Times New Roman" w:hAnsi="Times New Roman"/>
                <w:sz w:val="18"/>
                <w:szCs w:val="18"/>
                <w:b w:val="1"/>
                <w:bCs w:val="1"/>
                <w:color w:val="auto"/>
                <w:w w:val="99"/>
              </w:rPr>
              <w:t>(781) 828-9300</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2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ind w:right="1023"/>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1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102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DXLG</w:t>
            </w: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533"/>
        </w:trPr>
        <w:tc>
          <w:tcPr>
            <w:tcW w:w="8420" w:type="dxa"/>
            <w:vAlign w:val="bottom"/>
            <w:gridSpan w:val="5"/>
          </w:tcPr>
          <w:p>
            <w:pPr>
              <w:jc w:val="center"/>
              <w:ind w:left="269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640" w:type="dxa"/>
            <w:vAlign w:val="bottom"/>
            <w:vMerge w:val="restart"/>
          </w:tcPr>
          <w:p>
            <w:pPr>
              <w:spacing w:after="0" w:line="21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tc>
        <w:tc>
          <w:tcPr>
            <w:tcW w:w="2820" w:type="dxa"/>
            <w:vAlign w:val="bottom"/>
            <w:vMerge w:val="restart"/>
          </w:tcPr>
          <w:p>
            <w:pPr>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r>
        <w:trPr>
          <w:trHeight w:val="226"/>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40" w:type="dxa"/>
            <w:vAlign w:val="bottom"/>
            <w:vMerge w:val="continue"/>
          </w:tcPr>
          <w:p>
            <w:pPr>
              <w:spacing w:after="0"/>
              <w:rPr>
                <w:sz w:val="19"/>
                <w:szCs w:val="19"/>
                <w:color w:val="auto"/>
              </w:rPr>
            </w:pPr>
          </w:p>
        </w:tc>
        <w:tc>
          <w:tcPr>
            <w:tcW w:w="2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40" w:type="dxa"/>
            <w:vAlign w:val="bottom"/>
          </w:tcPr>
          <w:p>
            <w:pPr>
              <w:ind w:left="140"/>
              <w:spacing w:after="0" w:line="215" w:lineRule="exact"/>
              <w:rPr>
                <w:sz w:val="20"/>
                <w:szCs w:val="20"/>
                <w:color w:val="auto"/>
              </w:rPr>
            </w:pPr>
            <w:r>
              <w:rPr>
                <w:rFonts w:ascii="Times New Roman" w:cs="Times New Roman" w:eastAsia="Times New Roman" w:hAnsi="Times New Roman"/>
                <w:sz w:val="16"/>
                <w:szCs w:val="16"/>
                <w:color w:val="auto"/>
              </w:rPr>
              <w:t xml:space="preserve">Yes </w:t>
            </w:r>
            <w:r>
              <w:rPr>
                <w:rFonts w:ascii="Arial Unicode MS" w:cs="Arial Unicode MS" w:eastAsia="Arial Unicode MS" w:hAnsi="Arial Unicode MS"/>
                <w:sz w:val="16"/>
                <w:szCs w:val="16"/>
                <w:color w:val="auto"/>
              </w:rPr>
              <w:t>☐</w:t>
            </w:r>
          </w:p>
        </w:tc>
        <w:tc>
          <w:tcPr>
            <w:tcW w:w="2820" w:type="dxa"/>
            <w:vAlign w:val="bottom"/>
          </w:tcPr>
          <w:p>
            <w:pPr>
              <w:ind w:left="140"/>
              <w:spacing w:after="0" w:line="215" w:lineRule="exact"/>
              <w:rPr>
                <w:sz w:val="20"/>
                <w:szCs w:val="20"/>
                <w:color w:val="auto"/>
              </w:rPr>
            </w:pP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jc w:val="both"/>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3" w:lineRule="exact"/>
        <w:rPr>
          <w:sz w:val="24"/>
          <w:szCs w:val="24"/>
          <w:color w:val="auto"/>
        </w:rPr>
      </w:pPr>
    </w:p>
    <w:p>
      <w:pPr>
        <w:ind w:right="40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tbl>
      <w:tblPr>
        <w:tblLayout w:type="fixed"/>
        <w:tblInd w:w="860" w:type="dxa"/>
        <w:tblCellMar>
          <w:top w:w="0" w:type="dxa"/>
          <w:left w:w="0" w:type="dxa"/>
          <w:bottom w:w="0" w:type="dxa"/>
          <w:right w:w="0" w:type="dxa"/>
        </w:tblCellMar>
      </w:tblP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70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700"/>
              <w:spacing w:after="0" w:line="202" w:lineRule="exact"/>
              <w:rPr>
                <w:sz w:val="20"/>
                <w:szCs w:val="20"/>
                <w:color w:val="auto"/>
              </w:rPr>
            </w:pPr>
            <w:r>
              <w:rPr>
                <w:rFonts w:ascii="Arial Unicode MS" w:cs="Arial Unicode MS" w:eastAsia="Arial Unicode MS" w:hAnsi="Arial Unicode MS"/>
                <w:sz w:val="16"/>
                <w:szCs w:val="16"/>
                <w:color w:val="auto"/>
              </w:rPr>
              <w:t>☐</w:t>
            </w:r>
          </w:p>
        </w:tc>
        <w:tc>
          <w:tcPr>
            <w:tcW w:w="32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202"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2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74"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7"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320"/>
        <w:spacing w:after="0" w:line="216"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215" w:lineRule="exact"/>
        <w:tabs>
          <w:tab w:leader="none" w:pos="684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29" w:lineRule="exact"/>
        <w:rPr>
          <w:sz w:val="24"/>
          <w:szCs w:val="24"/>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As of August 2, 2024, the aggregate market value of the Common Stock held by non-affiliates of the registrant was approximately $128.0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53,524,864 shares of Common Stock, $0.01 par value, outstanding as of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Portions of the Proxy Statement for the 2025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217805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702310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60" w:type="dxa"/>
            <w:vAlign w:val="bottom"/>
            <w:gridSpan w:val="20"/>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DESTINATION XL GROUP, INC.</w:t>
            </w:r>
          </w:p>
        </w:tc>
        <w:tc>
          <w:tcPr>
            <w:tcW w:w="560" w:type="dxa"/>
            <w:vAlign w:val="bottom"/>
          </w:tcPr>
          <w:p>
            <w:pPr>
              <w:spacing w:after="0"/>
              <w:rPr>
                <w:sz w:val="20"/>
                <w:szCs w:val="20"/>
                <w:color w:val="auto"/>
              </w:rPr>
            </w:pPr>
          </w:p>
        </w:tc>
      </w:tr>
      <w:tr>
        <w:trPr>
          <w:trHeight w:val="203"/>
        </w:trPr>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95"/>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60" w:type="dxa"/>
            <w:vAlign w:val="bottom"/>
            <w:gridSpan w:val="21"/>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560" w:type="dxa"/>
            <w:vAlign w:val="bottom"/>
          </w:tcPr>
          <w:p>
            <w:pPr>
              <w:spacing w:after="0"/>
              <w:rPr>
                <w:sz w:val="24"/>
                <w:szCs w:val="24"/>
                <w:color w:val="auto"/>
              </w:rPr>
            </w:pPr>
          </w:p>
        </w:tc>
      </w:tr>
      <w:tr>
        <w:trPr>
          <w:trHeight w:val="238"/>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1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Year Ended February 1, 2025</w:t>
            </w:r>
          </w:p>
        </w:tc>
        <w:tc>
          <w:tcPr>
            <w:tcW w:w="560" w:type="dxa"/>
            <w:vAlign w:val="bottom"/>
          </w:tcPr>
          <w:p>
            <w:pPr>
              <w:spacing w:after="0"/>
              <w:rPr>
                <w:sz w:val="20"/>
                <w:szCs w:val="20"/>
                <w:color w:val="auto"/>
              </w:rPr>
            </w:pPr>
          </w:p>
        </w:tc>
      </w:tr>
      <w:tr>
        <w:trPr>
          <w:trHeight w:val="36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456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0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5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580" w:type="dxa"/>
            <w:vAlign w:val="bottom"/>
            <w:gridSpan w:val="2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880" w:type="dxa"/>
            <w:vAlign w:val="bottom"/>
            <w:gridSpan w:val="3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80" w:type="dxa"/>
            <w:vAlign w:val="bottom"/>
            <w:gridSpan w:val="2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52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5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12"/>
          </w:tcPr>
          <w:p>
            <w:pPr>
              <w:spacing w:after="0"/>
              <w:rPr>
                <w:sz w:val="24"/>
                <w:szCs w:val="24"/>
                <w:color w:val="auto"/>
              </w:rPr>
            </w:pPr>
          </w:p>
        </w:tc>
        <w:tc>
          <w:tcPr>
            <w:tcW w:w="31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1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3"/>
          </w:tcPr>
          <w:p>
            <w:pPr>
              <w:spacing w:after="0"/>
              <w:rPr>
                <w:sz w:val="24"/>
                <w:szCs w:val="24"/>
                <w:color w:val="auto"/>
              </w:rPr>
            </w:pPr>
          </w:p>
        </w:tc>
        <w:tc>
          <w:tcPr>
            <w:tcW w:w="7860" w:type="dxa"/>
            <w:vAlign w:val="bottom"/>
            <w:gridSpan w:val="2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7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8"/>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4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52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3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16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4"/>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60" w:type="dxa"/>
            <w:vAlign w:val="bottom"/>
          </w:tcPr>
          <w:p>
            <w:pPr>
              <w:spacing w:after="0"/>
              <w:rPr>
                <w:sz w:val="24"/>
                <w:szCs w:val="24"/>
                <w:color w:val="auto"/>
              </w:rPr>
            </w:pPr>
          </w:p>
        </w:tc>
      </w:tr>
      <w:tr>
        <w:trPr>
          <w:trHeight w:val="31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1240" w:type="dxa"/>
            <w:vAlign w:val="bottom"/>
            <w:gridSpan w:val="6"/>
          </w:tcPr>
          <w:p>
            <w:pPr>
              <w:spacing w:after="0"/>
              <w:rPr>
                <w:sz w:val="24"/>
                <w:szCs w:val="24"/>
                <w:color w:val="auto"/>
              </w:rPr>
            </w:pPr>
          </w:p>
        </w:tc>
        <w:tc>
          <w:tcPr>
            <w:tcW w:w="720" w:type="dxa"/>
            <w:vAlign w:val="bottom"/>
            <w:tcBorders>
              <w:top w:val="single" w:sz="8" w:color="0000FF"/>
            </w:tcBorders>
            <w:gridSpan w:val="6"/>
          </w:tcPr>
          <w:p>
            <w:pPr>
              <w:spacing w:after="0"/>
              <w:rPr>
                <w:sz w:val="24"/>
                <w:szCs w:val="24"/>
                <w:color w:val="auto"/>
              </w:rPr>
            </w:pPr>
          </w:p>
        </w:tc>
        <w:tc>
          <w:tcPr>
            <w:tcW w:w="450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806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8"/>
        </w:trPr>
        <w:tc>
          <w:tcPr>
            <w:tcW w:w="1060" w:type="dxa"/>
            <w:vAlign w:val="bottom"/>
          </w:tcPr>
          <w:p>
            <w:pPr>
              <w:spacing w:after="0"/>
              <w:rPr>
                <w:sz w:val="24"/>
                <w:szCs w:val="24"/>
                <w:color w:val="auto"/>
              </w:rPr>
            </w:pPr>
          </w:p>
        </w:tc>
        <w:tc>
          <w:tcPr>
            <w:tcW w:w="96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695"/>
        </w:trPr>
        <w:tc>
          <w:tcPr>
            <w:tcW w:w="10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40" w:type="dxa"/>
            <w:vAlign w:val="bottom"/>
            <w:gridSpan w:val="18"/>
          </w:tcPr>
          <w:p>
            <w:pPr>
              <w:jc w:val="center"/>
              <w:ind w:left="337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our ability to grow market share, the impact of our strategic growth initiatives, including our ability to build brand awareness, develop new stores and create and expand alliances and collaborations, our ability to grow our top line and maintain profitability, our expected capital expenditures in 2025, our expected marketing spend in 2025, expected store openings in 2025 and beyond, and our ability to meet our liquidity needs.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our ability to successfully implement our business strategy and grow our market share, increasing our digital presence and expanding existing and entering into new alliances and collaborations, and managing our store portfolio; loss or disruption in our operations and supply chain, including labor costs and shortages; increases in certain raw material costs and freight costs; the impact of macroeconomic factors, such as inflation, ongoing global conflicts, consumer confidence, imposition of new tariffs and high interest rates; as well as those risks and uncertainties set forth below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Readers are encouraged to review these risks and uncertainties carefully.</w:t>
      </w:r>
    </w:p>
    <w:p>
      <w:pPr>
        <w:spacing w:after="0" w:line="3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17"/>
          <w:szCs w:val="17"/>
          <w:color w:val="auto"/>
        </w:rPr>
        <w:t>Destination XL Group, Inc., together with its subsidiaries (the “Company”), is the leading specialty retailer of big + tall men’s apparel with retail locations throughout the United States. We operate under the trade names of Destination 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DXL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DXL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Big + Tall, DXL Men’s Apparel, DXL outlets, Casual Male 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Casual Male XL outlets. At February 1, 2025, we operated 247 DXL retail stores, 15 DXL outlet stores, 7 Casual Male XL retail stores, 19 Casual Male XL outlet stores, and a digital business, including an e-commerce site at </w:t>
      </w:r>
      <w:r>
        <w:rPr>
          <w:rFonts w:ascii="Times New Roman" w:cs="Times New Roman" w:eastAsia="Times New Roman" w:hAnsi="Times New Roman"/>
          <w:sz w:val="17"/>
          <w:szCs w:val="17"/>
          <w:i w:val="1"/>
          <w:iCs w:val="1"/>
          <w:color w:val="auto"/>
        </w:rPr>
        <w:t>www.dxl.com,</w:t>
      </w:r>
      <w:r>
        <w:rPr>
          <w:rFonts w:ascii="Times New Roman" w:cs="Times New Roman" w:eastAsia="Times New Roman" w:hAnsi="Times New Roman"/>
          <w:sz w:val="17"/>
          <w:szCs w:val="17"/>
          <w:color w:val="auto"/>
        </w:rPr>
        <w:t xml:space="preserve"> a mobile site </w:t>
      </w:r>
      <w:r>
        <w:rPr>
          <w:rFonts w:ascii="Times New Roman" w:cs="Times New Roman" w:eastAsia="Times New Roman" w:hAnsi="Times New Roman"/>
          <w:sz w:val="17"/>
          <w:szCs w:val="17"/>
          <w:i w:val="1"/>
          <w:iCs w:val="1"/>
          <w:color w:val="auto"/>
        </w:rPr>
        <w:t>m.destinationXL.com</w:t>
      </w:r>
      <w:r>
        <w:rPr>
          <w:rFonts w:ascii="Times New Roman" w:cs="Times New Roman" w:eastAsia="Times New Roman" w:hAnsi="Times New Roman"/>
          <w:sz w:val="17"/>
          <w:szCs w:val="17"/>
          <w:color w:val="auto"/>
        </w:rPr>
        <w:t xml:space="preserve"> and mobile app.</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“ours,” “us” and “the Company” refer to Destination XL Group, Inc. and our consolidated subsidiaries. We refer to our fiscal years ended February 1, 2025, February 3, 2024 and January 28, 2023 as “fiscal 2024,” “fiscal 2023” and “fiscal 2022,”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define the big + tall men’s clothing market as starting at a waist size for pants of 38” and greater, as well as tops sized 1XL and greater. With our proprietary fit and extensive selection of exclusive brands, we believe that we can grow market share as an integrated commerce retailer able to target a broad market, attracting customers from various income, age and lifestyle segments, offering the underserved consumer the widest selection of sizes and styles.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Company was incorporated in the State of Delaware in 1976 under the name "Kara Enterprises, Inc." and subsequently operated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 tall market in the United States. As a result of the acquisition, on August 8, 2002, we changed our name to “Casual Male Retail Group, Inc.”</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fiscal 2010, we launched a new store concept, Destination XL (“DXL”). The DXL store concept offers our customers an extensive assortment of products, ranging from value-oriented to luxury-oriented with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larger fitting rooms and professional, trained associates providing personal attention. With the initial success of this store format, we made a similar change to our e-commerce business in fiscal 2011 when we launched our DestinationXL.com website (now dxl.com).</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operate as an integrated commerce retailer of big + tall men’s clothing and footwear. Through our multiple brands, which include both national brands and our own brands, we provide a premium, personalized shopping experience, whether in-store or digitally, with a broad range of merchandise at varying price points, catering from the value-oriented customer to the luxury customer. Our objective is to appeal to all of our customers by providing a good, better, best array of product assortments in all primary lifestyles with multiple and convenient ways to shop.</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What is unique about our business is our proprietary fit, our ability to manage an array of sizes and optimize our in-stock position throughout each season. Our best-selling pant has 58 size combinations and a unique fit specification as compared to an average retailer who may have as few as 15 to 20 different size combinations. We maintain a consolidated inventory assortment across all channels that enables us to manage our in-stock position of all sizes effectively, ultimately improving customer service. Moreover, our planning and allocation methodologies help to optimize each location’s market potential without carrying excessive inventory levels.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DXL retail stores, e-commerce site, dxl.com, and mobile app cater to all income demographics and offer our customers merchandise to fit a variety of lifestyles from casual to business, young to mature, in all price ranges and in all large sizes from XL and up. In addition, we offer a selection of footwear in sizes 10W to 17W on our website at dxl.com. Our Casual Male XL retail stores primarily carry moderate-priced national brands and our own brands of casual sportswear and dresswear. We also operate Casual Male XL outlets and DXL outlets for our value-oriented customers. Through digital marketplaces, we are able to extend our reach by providing a select offering of our merchandise to new customers who may not be current DXL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transformed our business, investing in our customer relationship capabilities, our data infrastructure and our data analytics capabilities. We have achieved a heightened level of operational excellence, recapitalized our balance sheet to provide a greater level of financial flexibility, made investments in our technical capabilities, and upgraded our leadership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Progress on Our Long-Range Plan and Future Growth Strategy</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fiscal 2024, we made meaningful progress with many aspects of our long-term strategic growth initiatives, and we continue to believe that these initiatives will give us the opportunity to build greater brand awareness and a greater opportunity for long-term growth over time. However, we believe the men's apparel market has faced significant macroeconomic and sector headwinds that have contributed to weak consumer demand for Big + Tall apparel. With the continued downward cyclical pressure on sales, we have paused certain objectives to focus on protecting our existing business and mitigating erosion in free cash flow. While we still remain committed to our long-range plan, we believe adjusting the timeline for aspects of our initiatives is prudent to ensure that we remain fiscally responsible with our investment spending and focused on near-term profitability and generating free cash flow. As we head into fiscal 2025, we will remain focused on executing this strategic plan, but in light of weak consumer demand, we are prioritizing operational efficiency as we aim to enhance profitability:</w:t>
      </w:r>
    </w:p>
    <w:p>
      <w:pPr>
        <w:spacing w:after="0" w:line="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Marketing and Brand Building. </w:t>
      </w:r>
      <w:r>
        <w:rPr>
          <w:rFonts w:ascii="Times New Roman" w:cs="Times New Roman" w:eastAsia="Times New Roman" w:hAnsi="Times New Roman"/>
          <w:sz w:val="18"/>
          <w:szCs w:val="18"/>
          <w:color w:val="auto"/>
        </w:rPr>
        <w:t>We launched our new brand advertising campaign in the second quarter of fiscal 2024 to build awareness of our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campaign ran in a three-matched-market test in Boston, Detroit, and St. Louis and the results were positive in all three markets, with increases in traffic, transactions, and new customer acquisition. However, given the soft sales trends in fiscal 2024 and our year-over-year decline in profitability, we did not believe it was prudent to continue to invest in our brand awareness initiative in the second half of fiscal 2024. While the initial test provided important insight and was directionally positive, the results were not accretive enough to pursue in the current environment. Instead, we invested in several direct, working marketing initiatives to appeal to our customer who may be feeling the financial stress and pulling back on discretionary spending. Our marketing spend plan for fiscal 2025, which we expect to be approximately 6% of sales, does not include any brand awareness advertising.</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Store Development. </w:t>
      </w:r>
      <w:r>
        <w:rPr>
          <w:rFonts w:ascii="Times New Roman" w:cs="Times New Roman" w:eastAsia="Times New Roman" w:hAnsi="Times New Roman"/>
          <w:sz w:val="18"/>
          <w:szCs w:val="18"/>
          <w:color w:val="auto"/>
        </w:rPr>
        <w:t>While we have stores in every major metropolitan market across the United States, there are geographic voids in certain markets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big + tall consumers are not being served by a DXL store. Our consumer research has indicated that 44% of big + tall men self-reported that they do not shop with us because a store is not located near them, while 35% self-reported that they do not shop with us because a store location is not convenient. During fiscal 2024, we opened seven new stores, with eight additional stores scheduled to open in fiscal 2025. Store expansion will continue to be a key component of our long-term growth strategy, but until the men's retail apparel business improves and DXL consumer demand recovers, we plan to pause the opening of new stores in fiscal 2026. All new store and conversion investments are subject to rigorous ROIC hurdles that are informed by our prior experience.</w:t>
      </w:r>
    </w:p>
    <w:p>
      <w:pPr>
        <w:spacing w:after="0" w:line="75"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Website Platform. </w:t>
      </w:r>
      <w:r>
        <w:rPr>
          <w:rFonts w:ascii="Times New Roman" w:cs="Times New Roman" w:eastAsia="Times New Roman" w:hAnsi="Times New Roman"/>
          <w:sz w:val="18"/>
          <w:szCs w:val="18"/>
          <w:color w:val="auto"/>
        </w:rPr>
        <w:t>During fiscal 2024, we started the transition to a new and improved e-commerce platform, with 100% of the site traffic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diverted to our new platform. This project will be completed by April 2025. The platform addresses friction online and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5" w:name="page6"/>
    <w:bookmarkEnd w:id="5"/>
    <w:p>
      <w:pPr>
        <w:ind w:right="40"/>
        <w:spacing w:after="0" w:line="266" w:lineRule="auto"/>
        <w:rPr>
          <w:sz w:val="20"/>
          <w:szCs w:val="20"/>
          <w:color w:val="auto"/>
        </w:rPr>
      </w:pPr>
      <w:r>
        <w:rPr>
          <w:rFonts w:ascii="Times New Roman" w:cs="Times New Roman" w:eastAsia="Times New Roman" w:hAnsi="Times New Roman"/>
          <w:sz w:val="18"/>
          <w:szCs w:val="18"/>
          <w:color w:val="auto"/>
        </w:rPr>
        <w:t>will drive a richer and simpler consumer experience, with measurably greater speed and agility. Our customers will also see significant improvement with product detail pages, the checkout process and search experience. This new platform will enable us to respond faster and more effectively to make changes in the future.</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Alliances/Collaborations. </w:t>
      </w:r>
      <w:r>
        <w:rPr>
          <w:rFonts w:ascii="Times New Roman" w:cs="Times New Roman" w:eastAsia="Times New Roman" w:hAnsi="Times New Roman"/>
          <w:sz w:val="18"/>
          <w:szCs w:val="18"/>
          <w:color w:val="auto"/>
        </w:rPr>
        <w:t>We strongly believe that our "fit authority" is one of our greatest assets and that we can develop successful collaborations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brands that are interested in finding a cost-effective way to expand their offering to include big + tall men's apparel. In the second quarter of fiscal 2024, we launched our DXL Big + Tall merchandise assortment on Nordstrom's digital marketplace platform. We believe this collaboration will allow us to bring the DXL experience beyond our four walls and directly to the Nordstrom customer, thereby further extending our relationship with the female consumer. During the first quarter of fiscal 2025, we will be launching TravisMathew, Fit by DXL online and in select stores. In addition to these collaborations, we are continually looking to expand upon our exclusivity with national brands. We believe our heritage of providing a world-class consumer shopping experience makes DXL ideal for collaborations and alliances.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Initiatives for Fiscal 2025</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plans for fiscal 2025 include several initiatives aimed to enhance our market position by specifically appealing to our value-driven customers who are more price sensitive and less inclined to shop during this downward economic cycle.</w:t>
      </w:r>
    </w:p>
    <w:p>
      <w:pPr>
        <w:spacing w:after="0" w:line="52"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DXL Rewards Program. </w:t>
      </w:r>
      <w:r>
        <w:rPr>
          <w:rFonts w:ascii="Times New Roman" w:cs="Times New Roman" w:eastAsia="Times New Roman" w:hAnsi="Times New Roman"/>
          <w:sz w:val="18"/>
          <w:szCs w:val="18"/>
          <w:color w:val="auto"/>
        </w:rPr>
        <w:t>At the start of fiscal 2025, we introduced our new DXL Rewards program, with compelling benefits to deepen engagement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 base. The new program provides our customers with a simplified program that rewards our best customers with benefits and perks that matter to them. It further allows us greater flexibility in using the program as a fundamental driver of value, reducing pressure on broad-based promotion.</w:t>
      </w:r>
    </w:p>
    <w:p>
      <w:pPr>
        <w:spacing w:after="0" w:line="6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Improving our Value Proposition. </w:t>
      </w:r>
      <w:r>
        <w:rPr>
          <w:rFonts w:ascii="Times New Roman" w:cs="Times New Roman" w:eastAsia="Times New Roman" w:hAnsi="Times New Roman"/>
          <w:sz w:val="18"/>
          <w:szCs w:val="18"/>
          <w:color w:val="auto"/>
        </w:rPr>
        <w:t>In late fiscal 2024, we announced a price-match guarantee program, and in early fiscal 2025, we introduced our 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by DXL program, which provides our customers the ability to come to our store and donate clothes that no longer fit in exchange for a promotional discount. We have also introduced a discount for active-duty military, veterans, first responders and teachers. One of our key priorities for fiscal 2025 will be to leverage strategic promotions to stay competitive and deliver a better value proposition. Lastly, we are also expanding our opening price point in our merchandise assortment by adding several new brands and expanding the assortment of some of our well-established brands.</w:t>
      </w:r>
    </w:p>
    <w:p>
      <w:pPr>
        <w:spacing w:after="0" w:line="8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i w:val="1"/>
          <w:iCs w:val="1"/>
          <w:color w:val="auto"/>
        </w:rPr>
        <w:t>FiTMAP</w:t>
      </w:r>
      <w:r>
        <w:rPr>
          <w:rFonts w:ascii="Times New Roman" w:cs="Times New Roman" w:eastAsia="Times New Roman" w:hAnsi="Times New Roman"/>
          <w:sz w:val="24"/>
          <w:szCs w:val="24"/>
          <w:i w:val="1"/>
          <w:iCs w:val="1"/>
          <w:color w:val="auto"/>
          <w:vertAlign w:val="superscript"/>
        </w:rPr>
        <w:t>SM</w:t>
      </w:r>
      <w:r>
        <w:rPr>
          <w:rFonts w:ascii="Times New Roman" w:cs="Times New Roman" w:eastAsia="Times New Roman" w:hAnsi="Times New Roman"/>
          <w:sz w:val="18"/>
          <w:szCs w:val="18"/>
          <w:color w:val="auto"/>
        </w:rPr>
        <w:t>. Over the past two years, we have been working with and testing a proprietary FiTMAP Sizing Technology for which we have an 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for Big + Tall men until 2030. This innovative, contactless, digital scanning technology captures 242 unique measurements and offers custom clothing options for all our customers, and size recommendations across the variety of brands for a great fit. FiTMAP offers a unique experience for our customers, whether selecting from our Ready-to-Wear (RTW) clothing or opting for custom garments. This technology currently provides recommended sizes in all of our private label brands, as well as 15 of our exclusive national brands. We believe this technology will enhance customer engagement, attract new customers and establish DXL as a technology leader in men's big + tall apparel. FiTMAP is currently in 25 DXL retail locations with plans to add another 25 stores in early fiscal 2025. We are in the preliminary stage of deploying a mobile app for this technology which will enable our customers to scan themselves at home. We expect that this will drive sales in our direct business.</w:t>
      </w:r>
    </w:p>
    <w:p>
      <w:pPr>
        <w:spacing w:after="0" w:line="9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we head into fiscal 2025, we will continue to look for new opportunities to support our customer during this downward economic cycle and endeavor to enhance and build brand affinity.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w:t>
      </w:r>
    </w:p>
    <w:p>
      <w:pPr>
        <w:spacing w:after="0" w:line="3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offer our customers an extensive assortment of apparel consisting of both our own brands and over 100 well-known national brands, within our “good,” “better” and “best” price points. Regardless of our customers’ age, socioeconomic status, or lifestyle preference, we are able to assemble a wardrobe to fit their apparel needs. With over 5,000 styles available, we carry an extensive selection of tops in sizes up to 8XL and 8XLT, bottoms with waist sizes 38” to 66”, and footwear in sizes 10W to 17W.</w:t>
      </w:r>
    </w:p>
    <w:p>
      <w:pPr>
        <w:spacing w:after="0" w:line="7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proprietary fit sets us apart from our competitors. Our merchandise is not just an extension of regular sizes. The fit is constructed from unique specifications for every size and style, with specific design features for the big + tall customer.</w:t>
      </w:r>
    </w:p>
    <w:p>
      <w:pPr>
        <w:spacing w:after="0" w:line="5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stores are merchandised to showcase entire outfits by lifestyle, including traditional, active, modern, tailored and denim.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Merchandise assortments in our DXL stores are organized not only by lifestyle, but within each lifestyle, the assortments are shown in a “good,” “better” and “best” visual presentation. With the “best” merchandise assortments featured most prominently in the DXL store, our customers can visualize current fashion trends and select their wardrobes within their desired price points in a convenient manner.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right="40"/>
        <w:spacing w:after="0" w:line="255" w:lineRule="auto"/>
        <w:rPr>
          <w:sz w:val="20"/>
          <w:szCs w:val="20"/>
          <w:color w:val="auto"/>
        </w:rPr>
      </w:pPr>
      <w:r>
        <w:rPr>
          <w:rFonts w:ascii="Times New Roman" w:cs="Times New Roman" w:eastAsia="Times New Roman" w:hAnsi="Times New Roman"/>
          <w:sz w:val="18"/>
          <w:szCs w:val="18"/>
          <w:color w:val="auto"/>
        </w:rPr>
        <w:t>Big + tall is all we do, and through our own brands and exclusivity with national brands, we estimate that more than 80% of our inventory assortment, in units, is not available elsewhere. Several of the national brands that we carry in sizes 2XL and above are sold exclusively by us in our stores and on our website and may otherwise only be available on the brand’s website, if at all. In addition to our exclusive brands, we also work with several other national brands to offer a unique, curated merchandise assortment in sizes 2XL and above that are sold exclusively in our stores and on our website and are not available on the brand’s own website. These offerings are a subset of the larger merchandise offering that we carry for these respective brands. The penetration of national brands in a specific DXL store can range from 39% to 80%, depending on several factors, but on average, approximately half of the assortment is branded apparel.</w:t>
      </w:r>
    </w:p>
    <w:p>
      <w:pPr>
        <w:spacing w:after="0" w:line="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we will be launching the brand TravisMathew, Fit by DXL online and in select stores. TravisMathew is a premium men’s lifestyle apparel brand that blends performance, casual, and golf-inspired styles. We continue to explore strategic collaborations with other brands that are widely recognized and that could complement our curated assortment.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Value-Priced Apparel - “Good” Merchandise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value-oriented customers, we carry Champion, Lee, Wrangler and Reebok. In addition, we carry the following value-priced private label lines:</w:t>
      </w:r>
    </w:p>
    <w:p>
      <w:pPr>
        <w:spacing w:after="0" w:line="11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Harbor Bay</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our first proprietary brand and it is a traditional line that continues to represent a significant portion of our business, specifically in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core basic merchandise.</w:t>
      </w:r>
    </w:p>
    <w:p>
      <w:pPr>
        <w:spacing w:after="0" w:line="5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Oak Hill</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premium line catering to those customers looking for slightly more style and quality than our</w:t>
      </w:r>
      <w:r>
        <w:rPr>
          <w:rFonts w:ascii="Times New Roman" w:cs="Times New Roman" w:eastAsia="Times New Roman" w:hAnsi="Times New Roman"/>
          <w:sz w:val="18"/>
          <w:szCs w:val="18"/>
          <w:i w:val="1"/>
          <w:iCs w:val="1"/>
          <w:color w:val="auto"/>
        </w:rPr>
        <w:t xml:space="preserve"> Harbor Bay </w:t>
      </w:r>
      <w:r>
        <w:rPr>
          <w:rFonts w:ascii="Times New Roman" w:cs="Times New Roman" w:eastAsia="Times New Roman" w:hAnsi="Times New Roman"/>
          <w:sz w:val="18"/>
          <w:szCs w:val="18"/>
          <w:color w:val="auto"/>
        </w:rPr>
        <w:t>line, but still in a traditional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lifestyle.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Synrgy™ </w:t>
      </w:r>
      <w:r>
        <w:rPr>
          <w:rFonts w:ascii="Times New Roman" w:cs="Times New Roman" w:eastAsia="Times New Roman" w:hAnsi="Times New Roman"/>
          <w:sz w:val="18"/>
          <w:szCs w:val="18"/>
          <w:color w:val="auto"/>
        </w:rPr>
        <w:t>targets the customer looking for a contemporary/modern look.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True Nation</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denim-inspired line consisting of vintage-screen t-shirts and wovens and is geared towards our younger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Society of One</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an activewear brand that offers versatile styling options and is grounded by performance technology.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Moderate-Priced Apparel - “Better” Merchandise</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offer our customers an extensive selection of quality sportswear and dress clothing at moderate prices carrying well-known brands, such as Levi's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Columbia, Carhartt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Jockey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Our exclusive brands in this price range include O’Neill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Nautica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Adidas Golf</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vineyard vines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Within our product assortment for Callaway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Majestic and Tommy Bahama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we also offer exclusive styles specially curated for our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Higher-End Fashion Apparel - “Best” Merchandise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Within this higher-end price range, we carry a broad selection of quality apparel from well-known branded manufacturers, such as The North Face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Polo Ralph Lauren</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Jack Victor</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Boss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Faherty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Original Penguin Golf</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Michael Kors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 Tallia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Our exclusive brands in this price range include Brooks Brothers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JOE’S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Jeans, 7 for all Mankind</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Boss</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Faherty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Original Penguin Golf</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Robert Barakett</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Within our product assortment for Psycho Bunny</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Lucky and Robert Graham</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we also offer exclusive styles specially curated for our customers. Polo Ralph Lauren builds one collection each quarter for our customers that is exclusive to DXL.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Footwear</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DXL website offers an assortment of footwear, with a broad selection from casual to formal, in varying price points. We currently have a selection of more than 200 styles of footwear, ranging in sizes from 10W to 17W, including designer brands such as Cole Haan®, Timberland®, Sketchers®, New Balance®, Reebok® and Deerstags.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CHANNEL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DXL Men’s Apparel Stores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February 1, 2025, we operated 247 DXL retail stores that cater to our diverse customer base, with merchandise representing all price points, from our higher-end brands to value-oriented brands, and all lifestyles, from business to denim. The size of our DXL stores averages 7,300 square feet. Depending on the customers in each respective market, we can adjust the appropriate mix of merchandise, with varying selections from each of our price points, to cater to each demographic market. Our DXL stores are located on real estate that is highly visible, often adjacent to high-performing regional malls or other high-traffic shopping areas.</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 w:name="page8"/>
    <w:bookmarkEnd w:id="7"/>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2024, we opened seven new DXL stores, re-located two DXL stores, converted eight Casual Male XL stores to the DXL format and completed five DXL store remodels. These new DXL stores offer an updated look and feel both inside and outside, with the store layout focusing on improving our customer engagement and their overall shopping experience. We have plans to open eight new stores in fiscal 2025 after which we intend to pause our new store development program in fiscal 2026 as we prioritize our focus on profitability and free cash flow generation given the current headwinds we are facing. We believe that our store portfolio is a vital asset to our business strategy and we believe there is still opportunity to open additional DXL stores across the country once the current downward economic cycle recovers.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Casual Male XL Retail Stores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February 1, 2025, we operated 7 Casual Male XL full-price retail stores, which are located primarily in strip centers or stand-alone locations. The majority of the merchandise carried in our Casual Male XL stores consists of moderate-priced basic or fashion-neutral items, such as jeans, casual pants, t-shirts, polo shirts, dress shirts and suit separates. These stores also carry a full complement of our own brand collections. The average Casual Male XL retail store is approximately 3,100 square feet.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DXL Outlet /Casual Male XL Outlet Stores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we operated 15 DXL outlet stores and 19 Casual Male XL outlet stores designed to offer a wide range of casual clothing for the big</w:t>
      </w:r>
    </w:p>
    <w:p>
      <w:pPr>
        <w:spacing w:after="0" w:line="27" w:lineRule="exact"/>
        <w:rPr>
          <w:sz w:val="20"/>
          <w:szCs w:val="20"/>
          <w:color w:val="auto"/>
        </w:rPr>
      </w:pPr>
    </w:p>
    <w:p>
      <w:pPr>
        <w:jc w:val="both"/>
        <w:ind w:right="100" w:firstLine="8"/>
        <w:spacing w:after="0" w:line="253" w:lineRule="auto"/>
        <w:tabs>
          <w:tab w:leader="none" w:pos="1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tall customer at prices that are generally 20-25% lower than our moderate-priced merchandise. Much of the merchandise in our outlet stores is offered at discounted prices to cater to the value-oriented customer. In addition to our own brands and national brands at our “good” price tier, our outlets also carry clearance product obtained from DXL and Casual Male XL stores, offering the outlet customer the ability to purchase brand and fashion product for a reduced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DXL outlet is approximately 5,100 square feet and the average Casual Male XL outlet store is approximately 3,000 square feet.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CHANNEL</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direct business is a critical channel for growing sales and market share through new customer acquisition and digital engagement of the active file. Since fiscal 2019, comparable sales from our direct business in fiscal 2024 have grown 33%, with our total direct business representing 30.3% of our total retail sales in fiscal 2024, as compared to 23.1% of our total retail sales in fiscal 2019.</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define our direct business as sales that originate online, whether through our website, our app, online at the store level, our Guest Engagement Center, or a third-party marketplace. We want to serve our customers wherever and however they want to shop, whether in-person at a store, over the telephone, or online via a computer, smartphone or tablet.</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key to being a successful integrated commerce retailer is having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DXL Website and App</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DXL website and app have been instrumental in our growth as we continue to see our consumers shift to online shopping helping to drive higher new customer acquisition for the website business.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fiscal 2024, we upgraded our website from our legacy infrastructure to a new, modern e-commerce platform, with various features and functionality, with final migration efforts scheduled to be completed by April 2025. This upgrade provided immediate performance improvements and we believe that the customer experience has improved by eliminating friction points, optimizing search capability, and enhancing speed and response times. The new platform is engineered by a leading e-commerce technology provider and will position us to respond faster and more effectively to make changes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Sales at Store Level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support of our integrated commerce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 online by store and pick-up the item in store on the same day.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Marketplaces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extend our reach through digital, third-party marketplaces. A portion of our assortment remains available on Amazon.com and Walmart.com. Digital marketplaces provide us an opportunity to drive awareness, grow our customer base and introduce new customers to our brand.</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2024, we launched our DXL Big + Tall merchandise assortment on Nordstrom's digital marketplace platform and are pleased with the initial success. We currently have 37 brands and over 2,200 styles available on the platform. To date, customers have primarily discovered our product offering through site search, but in fiscal 2025, we will be executing a marketing plan, in collaboration with Nordstrom, which will include email, seller pages, personalized DXL/Brand content, Men’s department landing page, programmatic marketing, and, while our product is offered only on the Marketplace, in-store training and education for sales staff and personal stylists. We believe this collaboration will allow us to bring the DXL experience beyond our four walls and directly to the Nordstrom customer, thereby further extending our relationship with the female consumer.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MERCHANDISE PLANNING AND ALLOCATION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each store and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7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evergreen merchandise made up approximately 43% of our merchandise assortment in fiscal 2024.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merchandise planning and allocation team utilizes a set of specific universal reporting tools in fulfilling their daily, weekly and monthly roles and responsibilities. These reporting tools provide focused and actionable views of the business to optimize the overall assortment by category and by store. We are confident that our inventory performance is optimized by having all members of the merchandise planning and allocation team follow a standardized set of processes with the use of standardized reporting tools.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our store associates are critical to creating the highest quality experience for our guests. The culture in our stores is to be guest-centric—to engage and build a relationship with each of our customers. Our overall goal is to accomplish three key initiatives in our stores. The first is that we strive to build relationships with all of our guests. The second is that we believe our stores need to be clean, neat and organized in an effort to allow the “just-looking” customer to find what he needs with ease. The third is that our stores serve as mini-distribution centers. The majority of our stores are able to fulfill customer orders that were placed online in one of our digital channels. Our associates are well versed in not only the product selection carried in their specific store, but also the product selection carried online. With a point-of-sale system that can access items online for the guest who is physically in the store, our associates are able to fulfill all of their customers’ needs.</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multi-unit field management team receives extensive training on recruiting associates who are the correct fit for our stores. All store associates participate in our DXL FIT Expert Training and Certification program as part of our commitment to deliver a great guest experience. All new DXL store management team hires are trained extensively through senior peer trainers throughout the country. We believe having a mix of internal promotions (store manager to Regional Sales Manager) as well as external hires with extensive multi-unit background gives us a Regional Sales management team that reflects our customer base. Regional Vice Presidents give us touchpoints in the field in addition to our Regional Sales Managers and store management team to ensure consistency in executing our standards and all programs and processes we deem important to our success.</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new member of the store management team goes through extensive training with their Regional Sales Manager and a peer Store Manager. We believe our training system, together with monitoring sales metrics to help identify opportunities for further training, will improve sales productivity and strengthen our customers’ brand loyalty.</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field organization is overseen by our Chief Stores and Real Estate Officer, VP Store Operations, Regional Vice Presidents, Regional Sales Managers, and a Store Operations Team, who provide management development and guidance to individual store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 w:name="page10"/>
    <w:bookmarkEnd w:id="9"/>
    <w:p>
      <w:pPr>
        <w:ind w:right="200"/>
        <w:spacing w:after="0" w:line="261" w:lineRule="auto"/>
        <w:rPr>
          <w:sz w:val="20"/>
          <w:szCs w:val="20"/>
          <w:color w:val="auto"/>
        </w:rPr>
      </w:pPr>
      <w:r>
        <w:rPr>
          <w:rFonts w:ascii="Times New Roman" w:cs="Times New Roman" w:eastAsia="Times New Roman" w:hAnsi="Times New Roman"/>
          <w:sz w:val="18"/>
          <w:szCs w:val="18"/>
          <w:color w:val="auto"/>
        </w:rPr>
        <w:t>managers. Each Regional Sales Manager is responsible for hiring and developing store managers at the stores assigned to that Regional Sales Manager’s market, and for the overall operations and profitability of those stores. Each store is staffed with a store manager, assistant manager and key holders. The store manager is responsible for achieving certain sales and operational targets. Our stores have an incentive-based commission plan for managers and selling staff to encourage associates to focus on our customer’s wardrobing needs and sales productivity.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w:t>
      </w:r>
    </w:p>
    <w:p>
      <w:pPr>
        <w:spacing w:after="0" w:line="12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believe that our marketing initiatives are critical to driving our sales growth by increasing traffic to our stores, website and app. Our brand initiatives invite our customer to experience not only the depth of our assortment, but also the breadth of exclusivity across our brands by offering brands and styles that are not available elsewhere. We are providing him with the freedom to choose his own style and wear what he wants. Big + Tall is all we do, and we trade on the belief that we offer superior fit, assortment, and experience to him and through these initiatives we are eager to develop relationships with our customers that are built on respect, trust, and belonging.</w:t>
      </w:r>
    </w:p>
    <w:p>
      <w:pPr>
        <w:spacing w:after="0" w:line="7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Building brand awareness remains our greatest opportunity for the long term. However, until consumer spending in the men’s apparel sector begins to improve, our marketing efforts will remain more targeted and personalized, enabling us to engage differently with each of our customers based on their shopping behaviors across all our buying channels. Our ongoing work on enhancing our customer segmentation will ultimately drive our long-term marketing strategy, enabling us to create targeted and personalized content and messaging to our various customer segments. We maintain a stringent, analytical perspective to our marketing program, focusing on understanding incremental outcomes in addition to the “return on ad spend” throughout all our programs. This data-driven philosophy extends across all our marketing initiatives as we look at new ways to engage our customers.</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marketing programs include email, direct mail, direct marketing, digital marketing, social media, and streaming media, among others. We ended our legacy loyalty program at the end of fiscal 2024 and, in February 2025, we launched our new DXL Rewards program on a new platform. The new DXL Rewards program introduces new loyalty elements, such as more compelling benefits, based on tier migration through spend rather than through points or other loyalty currencies. Because we are not highly promotional, our loyalty program provides a strong value to our customers.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fiscal 2025, we expect our marketing costs to be approximately 6.0% of sales as compared to 6.8% for fiscal 2024 due primarily to the temporary pause on brand awareness spending.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SOURCING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global sourcing strategy is a balanced approach, which considers quality, cost and lead-time, depending on the requirements of the program. We believe our current sourcing structure meets our operating requirements and provides capacity for growth. The growth and effectiveness of our global direct sourcing program is a key component to the strength of merchandise margins.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built a strong internal team with extensive experience that is responsible for managing an international network of vendors and suppliers across the globe. We have established strong relationships with many of the leading factories and mills across the globe. Our sourcing network consists of over 30 factories in nine countries that are experts in big + tall sizing and production. In fiscal 2024, approximately 52% of all our product needs were sourced directly. We manufacture a significant percentage of our own brand merchandise in Bangladesh, India, and Southeast Asian countries, including Vietnam and Cambodia. We continue to reduce dependency on China, with less than 5% of our own brands sourced from China, inclusive of our raw materials and trims, and have moved certain programs into countries in the Western Hemisphere that have duty-free opportunities such as Nicaragua and Mexico.</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effort to minimize foreign currency risk, all payments to our direct sourced vendors are made in U.S. dollars with payment on account.</w:t>
      </w:r>
    </w:p>
    <w:p>
      <w:pPr>
        <w:spacing w:after="0" w:line="115"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See "Item 1A. </w:t>
      </w:r>
      <w:r>
        <w:rPr>
          <w:rFonts w:ascii="Times New Roman" w:cs="Times New Roman" w:eastAsia="Times New Roman" w:hAnsi="Times New Roman"/>
          <w:sz w:val="18"/>
          <w:szCs w:val="18"/>
          <w:i w:val="1"/>
          <w:iCs w:val="1"/>
          <w:color w:val="auto"/>
        </w:rPr>
        <w:t>Risk Factors, Operational Risks That May Affect Our Business"</w:t>
      </w:r>
      <w:r>
        <w:rPr>
          <w:rFonts w:ascii="Times New Roman" w:cs="Times New Roman" w:eastAsia="Times New Roman" w:hAnsi="Times New Roman"/>
          <w:sz w:val="18"/>
          <w:szCs w:val="18"/>
          <w:color w:val="auto"/>
        </w:rPr>
        <w:t xml:space="preserve"> for a discussion of the risks associated with the imposition of pending tariffs.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"Sustainability" below for a discussion of our environmental, ethical and social audits.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primarily fulfilled by our distribution center and, if an order cannot be fulfilled by our distribution center, the order is completed at the store level.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0" w:name="page11"/>
    <w:bookmarkEnd w:id="10"/>
    <w:p>
      <w:pPr>
        <w:ind w:right="420"/>
        <w:spacing w:after="0" w:line="282" w:lineRule="auto"/>
        <w:rPr>
          <w:sz w:val="20"/>
          <w:szCs w:val="20"/>
          <w:color w:val="auto"/>
        </w:rPr>
      </w:pPr>
      <w:r>
        <w:rPr>
          <w:rFonts w:ascii="Times New Roman" w:cs="Times New Roman" w:eastAsia="Times New Roman" w:hAnsi="Times New Roman"/>
          <w:sz w:val="18"/>
          <w:szCs w:val="18"/>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warehousing application and labor management system enable us to streamline our distribution processes, enhance our in-transit times, and reduce our distribution costs. We will continually work to make improvements and upgrades to our software.</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store shipments and domestic customer deliveries, we use large national carriers. We are able to track all deliveries from the warehouse to our individual stores, including the status of in-transit shipments. In addition, we are able to provide our direct customers with Authorized Return Service and Web labels, making returns more convenient for them.</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infrastructure of our management information systems is a priority to us. We believe that the investments we have made in this regard have improved our overall efficiency and improved our access to information, enabling timely, data-driven decisions.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to manage our business. Our direct and retail channels maintain a shared inventory system and we operate a single-system platform for our DXL and Casual Male XL stores to deliver improved efficiencies.</w:t>
      </w:r>
    </w:p>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an effort to improve our inventory management, we have created a standardized set of "best practices" for both our merchandise planning and allocation groups. Using a retail business intelligence solution, we are able to integrate data from several sources and provide enterprise-wide analytics reporting. We have developed a custom Assortment Suite application to leverage business intelligence and predictive analytics to provide high-impact insights into core merchandising tasks.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faces competition from a variety of sources, including department stores, mass merchandisers, other specialty stores and discount and off-price retailers that sell big + tall men’s clothing. While we have successfully competed on the basis of merchandise assortment, comfort and fit, customer service and desirable store locations, there can be no assurance that other retailers, including e-commerce retailers, will not adopt purchasing and marketing concepts similar to ours. Discount retailers with significant buying power, such as Walmart, Kohl's and J.C. Penney, represent a source of competition for us. The direct business has many competitors, including the King Size catalog and website as well as online marketplaces, such as Amazon.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United States big + tall men’s clothing market is highly competitive with many national and regional department stores, specialty apparel retailers, single market operators and discount stores offering a broad range of apparel products intended for big +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 tall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in our operating income, net income, and free cash flow. Traditionally, a significant portion of our operating income, net income, and free cash flow is generated in the second and fourth quarters. Our inventory is typically at peak levels by the end of the first and third quarters, which represents a significant use of cash, which is then relieved in the second and fourth quarter as we sell-down our inventory through the spring and holiday shopping seasons.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TRADEMARKS/TRADEMARK LICENSE AGREEMENTS</w:t>
      </w:r>
    </w:p>
    <w:p>
      <w:pPr>
        <w:spacing w:after="0" w:line="128" w:lineRule="exact"/>
        <w:rPr>
          <w:sz w:val="20"/>
          <w:szCs w:val="20"/>
          <w:color w:val="auto"/>
        </w:rPr>
      </w:pPr>
    </w:p>
    <w:p>
      <w:pPr>
        <w:ind w:right="80"/>
        <w:spacing w:after="0" w:line="233" w:lineRule="exact"/>
        <w:rPr>
          <w:sz w:val="20"/>
          <w:szCs w:val="20"/>
          <w:color w:val="auto"/>
        </w:rPr>
      </w:pPr>
      <w:r>
        <w:rPr>
          <w:rFonts w:ascii="Times New Roman" w:cs="Times New Roman" w:eastAsia="Times New Roman" w:hAnsi="Times New Roman"/>
          <w:sz w:val="18"/>
          <w:szCs w:val="18"/>
          <w:color w:val="auto"/>
        </w:rPr>
        <w:t>We own several service marks and trademarks relating to our businesses, including, among others, “Destination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 Men's Apparel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“Big on Being Better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“Harbor Bay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“Oak Hill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“Continuous Comfort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“Synrgy™”, “Society of One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“True Nation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“Wear What You Want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We also hold a U.S. patent for an extendable collar system, which is marketed as “Neck-Relaxer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a U.S. copyright for a no-iron hang tag.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GOVERNANCE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recognize the importance of addressing and prioritizing environmental, social and governance ("ESG") issues throughout our business, including recognizing and addressing specific climate-related risks. During fiscal 2021, we formed the Sustainability and Governance Committee, consisting of a cross-disciplinary team from corporate management and engaged with a third-party firm to assist us in the development of the Company's initial ESG strategy and initiatives. The Sustainability and Governance Committee reports to the senior management team of the Company and to the Nominating and Corporate Governance Committee of our Board of Directors (the "Board"), which is responsible for the oversight of our initiatives. We are working to develop short-term and long-term ESG goals, as well as an action plan.</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Since 2019, we have been a member of a leading ethical trade service provider to increase our social, environmental and ethical sustainability, and we participate in their Ethical Trade Audit platform. Since fiscal 2020, we have retained LRQA (formerly Elevate) which is a global leader in supply chain assessment, and we have instituted 4-Pillar audits of our supply chain factories. Our intent is to increase our social, environmental and ethical sustainability by utilizing LRQA’s audit tool, "ERSA", which stands for "Elevate Responsible Sourcing Assessment." ERSA 3.0 covers social compliance, human rights, environmental business ethics, and worker’s sentiment surveys. All audits can be found on LRQA's EIQ tool which is a web-based analytical system on which we participate in their Ethical Trade Audit platform. In fiscal 2023, we added environment assessment audits to LRQA’s services. Through collaboration with LRQA and Bureau Veritas, we are pursuing what we call a "5-Pillar Audit", which includes traceability of both raw materials and the equipment used to produce finished goods.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February 1, 2025, we employed 1,447 people. We hire additional temporary associates during the peak holiday season. None of our associates are represented by a collective bargaining agreement. Our associates are our greatest asset, and we are committed to providing them with a safe and healthy work environment. Each associate is required to sign a set of policies that includes, among others, the code of ethics, anti-harassment policy, and procedures for raising a complaint. Our policies also include protection of human rights and prohibit the use of child labor or forced, bonded, or indentured labor.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People-First, Purpose-Driven</w:t>
      </w:r>
    </w:p>
    <w:p>
      <w:pPr>
        <w:spacing w:after="0" w:line="14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a People-First organization that believes in inclusion, belonging, connection, understanding, a strong culture, and quality leadership, all while defending the rights of our associates.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2017, we have had an initiative called "Normalizing the Brand." Under that umbrella, our "Including You!" committee delivers programs to raise awareness of unconscious bias and highlights the benefits of inclusion, diversity, and belonging in the workplace. We have policies, required training, and other educational resources in place related to anti-discrimination, anti-harassment, and belonging. Our associates also have access to an anonymous hotline for reporting concerns. In 2021, we joined the SHRM CEO Action for Inclusion &amp; Diversity, which is a coalition of over 2,500 CEOs pledging to promote inclusion and diversity in the workplace. By joining the SHRM CEO Action for Inclusion &amp; Diversity, we pledged to cultivate an environment of belonging and genuine connection for every member of our team, guests, and communities in which diverse perspectives and experiences are welcomed and respected.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Culture, and Career Development</w:t>
      </w:r>
    </w:p>
    <w:p>
      <w:pPr>
        <w:spacing w:after="0" w:line="14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are committed to providing our associates with an environment where they have the opportunity to offer input on issues affecting the Company’s workforce and the employer-associate relationship. Periodically throughout the year, we encourage feedback and ideas from our associates through our annual engagement surveys, organizational performance profile survey, and the always-available “What’s on Your Mind” feedback link in stores. The information gathered through these channels helps us make a positive impact on the associate work experience and overall organizational culture.</w:t>
      </w:r>
    </w:p>
    <w:p>
      <w:pPr>
        <w:spacing w:after="0" w:line="11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associates are invited to participate in multiple employee resource groups, which exist to foster a positive culture and a sense of belonging through internal networking, mentoring, and development opportunities.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Perhaps most importantly, we promote professional development, career growth, and mentorship programs. Since 2014, we have offered our associates the opportunity to participate in our DXLG Mentor Program, which pairs mentees with mentors for one-year periods. The DXL Leadership Group was formed in fiscal 2016 with a mission of "Associates supporting, educating, and empowering each other @ DXLG." It started as a pilot program and quickly expanded to include over 40 leaders, including both people and process managers, located in the corporate office and the field.</w:t>
      </w:r>
    </w:p>
    <w:p>
      <w:pPr>
        <w:spacing w:after="0" w:line="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to our learning management system, which provides a wide array of online learning opportunities, we also engage with Leadercast, which provides a platform that offers additional online leadership training as well as content for in-person shared events. In fiscal 2024, we continued to focus on development by launching a New Manager Cohort, designed for associates new 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supervising others. This program provides associates with an opportunity to learn together and from each other on a variety of leadership topics.</w:t>
      </w:r>
    </w:p>
    <w:p>
      <w:pPr>
        <w:spacing w:after="0" w:line="15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Associate Engagement &amp; Development Committee organizes a series of "Lunch, Learn, Lead" and "Coffee Talk" sessions throughout the year to provide our associates with opportunities to learn as a group and gain insight on a variety of topics, such as leadership, DXL’s social responsibility initiatives, financial well-being, TED Talks, department-specific learning, Normalizing the Brand, technology, and more.</w:t>
      </w:r>
    </w:p>
    <w:p>
      <w:pPr>
        <w:spacing w:after="0" w:line="9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give associates the opportunity to continue their formal education, we have partnered with Marist College to provide a 25% discount on online tuition costs for our DXL associates and their immediate adult family members.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Associate Safety</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Associate safety and well-being are a critical component of our culture. We have a comprehensive employee safety program along with policies and procedures that support this initiative. Our safety manual provides direction and best practices for ensuring associate safety. We take pride in the preventative measures we take, including evacuation/shelter-in-place drills as well as our partnership with certified safety experts who help us proactively address potential risks and assist us in the creation of training modules to roll out to our associates. Policies are routinely communicated and training is provided to associates, as appropriate.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compensation programs are designed to pay our associates competitively in the market based on their skills, qualifications, role, and abilities. Our benefits are designed to help employees and their families stay healthy while balancing their work and personal lives. These benefits include health and wellness programs, paid time off, employee assistance, competitive pay, career growth opportunities, paid volunteer time, product discounts, and a culture of recognition. We are continually looking for programs and opportunities to offer our associates to ensure their physical and mental wellness. We also highlight mental health awareness as part of our "Lunch, Learn, Lead" series and provide relevant content within our learning management system. Additionally, we offer an Employee Assistance Program, which provides 24/7 assistance to associates and their family members for a variety of issues such as stress, family, grief, parenting, and finances.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corporate website is www.dxl.com. Our investor relations site is http://investor.dxl.com. We make available through our website, free of charge, our Annual Reports on Form 10-K, Quarterly Reports on Form 10-Q, Current Reports on Form 8-K and all amendments to such reports filed or furnished pursuant to Section 13(a) of the Securities Exchange Act of 1934, as amended (the "Exchange Act") as soon as reasonably practicable after we have electronically filed such material with, or furnished such materials to, the Securities and Exchange Commission (the "SEC"). The SEC maintains an internet site that contains reports, proxy and information statements, and other information for issuers that file electronically with the SEC at http://www.sec.gov.</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risk factors are the important factors that we are aware could cause actual results, performance or achievements to differ materially from those expressed in any of our forward-looking statements. We operate in a continually changing business environment and new risk factors emerge from time-to-time. Other unknown or unpredictable factors also could have material adverse effects on our future results, performance or achievements. We cannot assure you that our projected results or events will be achieved or will occur.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 THAT MAY AFFECT OUR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not be successful in executing our long-term strategy and growing our market share.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us to be successful in the future and maintain growth, we must be able to grow our share of the big + tall men’s apparel market. Our growth is dependent on our ability to continue to build upon our DXL brand, maintain our existing customers and attract new customers. We have developed and are implementing long-term strategic initiatives to grow our business, but the timeline of these initiatives is dependent, to a degree, on overall market conditions.</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failure to execute our long-term strategy successfully could prevent or delay us from growing our market share, which could have a material adverse effect on our results of operations, cash flows and financial position, including if we are unable to:</w:t>
      </w:r>
    </w:p>
    <w:p>
      <w:pPr>
        <w:spacing w:after="0" w:line="270" w:lineRule="exact"/>
        <w:rPr>
          <w:sz w:val="20"/>
          <w:szCs w:val="20"/>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store portfolio;</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brand awareness to drive increased store and online traffic;</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successful collaborations and alliances, similar to our alliances with UNTUCKit and Nordstrom;</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DXL digital business;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state-of-the-art website;</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 and respond to fashion trends, while offering our customers a broad selection of merchandise in an extended selection of sizes;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existing customer base;</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qualified store management and store associates;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and then sustain the number of transactions, units-per-transaction and share of wallet;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at appropriate operating margins.</w:t>
      </w:r>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marketing programs and efforts to drive traffic and convert that traffic into an increased loyal customer base are critical to achieving market share growth within the big + tall men’s apparel market and may not be successful.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share of the big + tall men’s apparel market is largely dependent on effectively marketing our brand and merchandise to all of our target customers in several diverse market segments so that they will become loyal shoppers who spend a greater portion of their wallets on our product offerings. In order to grow our market share, we depend on the success of our marketing and advertising in a variety of ways, including streaming media advertising, advertising events, our loyalty program, direct mail, and digital marketing, including social media and customer prospecting. Our business is directly impacted by the success of these efforts and those of our vendors. Future marketing efforts by us, our vendors or our other licensors, may be more costly than prior years and, if not successful, may negatively affect our ability to meet our sales goals and gain market share.</w:t>
      </w:r>
    </w:p>
    <w:p>
      <w:pPr>
        <w:spacing w:after="0" w:line="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our marketing campaigns and strategies are unable to drive traffic to our stores and website, the marketing costs incurred will have a negative impact on the Company's profitability.</w:t>
      </w:r>
    </w:p>
    <w:p>
      <w:pPr>
        <w:spacing w:after="0" w:line="26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direct business is a component of our growth strategy and the failure to develop our digital infrastructure could disrupt our business and negatively impact our sales.</w:t>
      </w:r>
    </w:p>
    <w:p>
      <w:pPr>
        <w:spacing w:after="0" w:line="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made significant investments in capital spending and labor to develop our direct channels and increased investments in digital marketing to attract new customers. The growth of our overall sales is dependent on customers’ continuing to expand their online purchases in addition to in-store purchases. While it is our objective to continue to grow this business, there can be no assurance that this growth will continue or be sustainable.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4" w:name="page15"/>
    <w:bookmarkEnd w:id="14"/>
    <w:p>
      <w:pPr>
        <w:ind w:right="140"/>
        <w:spacing w:after="0" w:line="261" w:lineRule="auto"/>
        <w:rPr>
          <w:sz w:val="20"/>
          <w:szCs w:val="20"/>
          <w:color w:val="auto"/>
        </w:rPr>
      </w:pPr>
      <w:r>
        <w:rPr>
          <w:rFonts w:ascii="Times New Roman" w:cs="Times New Roman" w:eastAsia="Times New Roman" w:hAnsi="Times New Roman"/>
          <w:sz w:val="18"/>
          <w:szCs w:val="18"/>
          <w:color w:val="auto"/>
        </w:rPr>
        <w:t>Our success in growing our direct business will depend in part upon our development of an increasingly sophisticated e-commerce experience and infrastructure. Increasing sophistication requires that we provide additional website features, functionality and messaging in order to be competitive in the marketplace and maintain market share. By the end of fiscal 2024, we were in the final stages of launching our new updated e-commerce platform. There can be no assurance that this change will drive additional traffic and conversion or that our customers will respond positively to the changes.</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appropriately could reduce our direct sales, increase our costs and diminish our growth prospects, which could negatively affect our operating results.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If we are unable to develop and implement our integrated commerce initiatives successfully, our market share and financial results could be adversely affected.</w:t>
      </w:r>
    </w:p>
    <w:p>
      <w:pPr>
        <w:spacing w:after="0" w:line="5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customer’s shopping behavior continues to evolve across multiple channels and we are working to meet his needs, with real time store inventory visibility, our mobile app, and BOPIS (buy online pick-up in stores). We consider ourselves a customer-centric integrated commerce retailer, and we continue to make ongoing investments in our information technology systems to support these evolving capabilities.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Integrated commerce is rapidly evolving and our success depends on our ability to anticipate and implement innovations in sales and marketing technology and logistics in order to appeal to existing and potential customers who increasingly rely on multiple channels to meet their shopping needs. Our competitors are also investing in these initiatives, some of which may be more successful than our initiatives.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the investment in our integrated commerce initiatives is not successful, if our systems are unable to support such initiatives, or if our competitors are more successful, our financial results and our market penetration may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adversely affected if we are unable to manage and grow our store portfolio successfully.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lease all of our store locations. Renewing and renegotiating these leases at acceptable lease terms is critical to the profitability of our stores. We worked closely with our landlords to renegotiate and restructure a majority of our lease portfolio from the onset of the COVID-19 pandemic; however, many of these renegotiated lease terms have renewed or are due to renew at higher rates than we had during the COVID-19 pandemic. If we are unable to renegotiate terms to optimize a store's profitability, we may choose not to renew certain locations when the opportunity arises.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One of our long-term strategic initiatives is to grow our store portfolio over the next several years and we have identified multiple white space opportunities in new or underpenetrated markets. We are also actively reviewing opportunities to relocate or convert the majority of our remaining Casual Male XL stores to DXL. If we are unable to find locations or obtain favorable lease terms, we may not be able to grow or maintain our current store base and the lack of store growth could negatively affect our ability to grow revenue and market share. Depending on market conditions and our Company's performance, the pace at which we open store locations may have to be slowed or paused.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 THAT MAY AFFECT OUR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adversely affected due to disruptions in the global supply chain.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Disruptions in the global supply chain in foreign ports, the impact of climate change and shortages of vessels and shipping containers may impact our ability to import inventory in a timely manner. Instability in the Middle East has made accessing the Suez Canal a risk, thereby prompting vessels to avoid this route, which adds time and cost. In addition, statements from the current administration regarding potential tariffs, sanctions, import/export restrictions and future actions may have a negative impact on the supply chain and may limit the availability of certain raw materials and result in an increase of associated cost.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loss of sales and an adverse impact on our results of operations. Furthermore, we may continue to incur incremental freight costs, which could negatively harm our gross margin rates.</w:t>
      </w:r>
    </w:p>
    <w:p>
      <w:pPr>
        <w:spacing w:after="0" w:line="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recent discussion of tariffs on various products by the United States and other countries may create greater uncertainty with respect to trade policies and government regulations affecting trade between the United States and other countries. Furthermore, it is possible that other forms of trade restriction, including tariffs, quotas and customs restrictions, will be put into place in the United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ind w:right="60"/>
        <w:spacing w:after="0" w:line="258" w:lineRule="auto"/>
        <w:rPr>
          <w:sz w:val="20"/>
          <w:szCs w:val="20"/>
          <w:color w:val="auto"/>
        </w:rPr>
      </w:pPr>
      <w:r>
        <w:rPr>
          <w:rFonts w:ascii="Times New Roman" w:cs="Times New Roman" w:eastAsia="Times New Roman" w:hAnsi="Times New Roman"/>
          <w:sz w:val="18"/>
          <w:szCs w:val="18"/>
          <w:color w:val="auto"/>
        </w:rPr>
        <w:t>States or in countries from which we source our products. We cannot predict whether any of the countries in which our merchandise currently is manufactured or may be manufactured in the future will be subject to additional trade restrictions imposed by the United States or other foreign governments, including the likelihood, type, or effect of any such restrictions. Any of these actions, if ultimately enacted, could adversely affect our results of operations or profitability. Further, any emerging nationalist trends in specific countries could alter the trade environment and consumer purchasing behavior which, in turn, could have a material effect on our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loss of, or disruption in, our centralized distribution center could negatively impact our business and operations.</w:t>
      </w:r>
    </w:p>
    <w:p>
      <w:pPr>
        <w:spacing w:after="0" w:line="12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labor shortages, severe weather, the impact of climate change or disruptions in our distribution center, could result in delays in the delivery of merchandise to our stores or directly to our customers.</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With all of our management information systems centralized in our corporate headquarters, any disruption or destruction of our system infrastructure could materially affect our business. This type of disaster would be mitigated by our offsite storage and disaster recovery plans, but we would still incur business interruption that may impact our business for a significant period of time.</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Although we maintain business interruption and property insurance, we cannot be sure that our insurance will be sufficient or that insurance proceeds will be timely paid to us in the event that our distribution center is shut down for any reason or we incur higher costs and longer lead times in connection with a disruption relating to our distribution center.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are dependent on third parties to manufacture the merchandise that we sell.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private-label merchandise would negatively impact proper inventory levels, sales and gross margin rates, and ultimately, our results of operations.</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manufacturers who produce products of inferior quality, then our brand and customer satisfaction would likely suffer which would negatively impact our business. These manufacturers may also increase the cost to us of the products we purchase from them.</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United States Treasury Department has placed sanctions on China’s Xinjiang Production and Construction Corporation ("XPCC") for serious human rights abuses against ethnic minorities in China’s Xinjiang Uyghur Autonomous Region. In addition, in January 2021, the U.S. Customs and Border Protection issued a Withhold Release Order on products made in Xinjiang. In response to the problems in Xinjiang, we developed a Compliance Certificate of Traceability for our cotton vendors. Although we prohibit our vendors from doing business with XPCC, we could be subject to penalties, fines or sanctions and our brand could be harmed if any of the vendors from which we purchase product is found to have done business, directly or indirectly, with XPCC.</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work with a third-party audit vendor to ensure a responsible and ethical supply chain. We are and will continue to pursue our corporate responsibilities and create a positive effect on human rights as well as the environment. The Company publishes a Vendor Code of Conduct, which is a part of every agreement requiring compliance by the manufacturing facilities. If, despite third-party audits, the manufacturing facilities engage in workplace or human rights violations and we are unable to identify or correct it, it may negatively affect our business and harm our brand.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highly competitive, and competitive factors may reduce our revenues and profit margins.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United States big +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 tall men’s merchandise operating in outlet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ind w:right="120"/>
        <w:spacing w:after="0" w:line="261" w:lineRule="auto"/>
        <w:rPr>
          <w:sz w:val="20"/>
          <w:szCs w:val="20"/>
          <w:color w:val="auto"/>
        </w:rPr>
      </w:pPr>
      <w:r>
        <w:rPr>
          <w:rFonts w:ascii="Times New Roman" w:cs="Times New Roman" w:eastAsia="Times New Roman" w:hAnsi="Times New Roman"/>
          <w:sz w:val="18"/>
          <w:szCs w:val="18"/>
          <w:color w:val="auto"/>
        </w:rPr>
        <w:t>malls throughout the United States to be a competitor. It is also possible that another competitor, either a mass merchant or a men’s specialty store or specialty apparel catalog, could gain market share in big +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we maintain exclusivity arrangements with several of the brands that we carry. If we were to lose any of these exclusivity arrangements or brands altogether, our revenues may be adversely affected.</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may be harmed by security risks that we face in connection with our electronic processing and transmission of confidential customer information. The majority of our retail sales are settled through credit and debit card transactions. While our Board has a Cybersecurity and Data Privacy Committee (the “Cyber Committee”) to oversee the monitoring and management of cyber risk and data privacy for our Company, and we have not had any security breaches to date, any breach could expose us to risks of loss, litigation, and liability and could adversely affect our operations. Any breach could also cause our shoppers to stop shopping with us as a result of their lack of confidence in the security of their personally identifiable information, which could have a negative impact on our sales and profitability. We attempt to limit exposures to security breaches and sensitive customer data through the use of “tokenization”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Such liability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9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 if a third party were to use this proprietary customer information in order to compete with us, it could have a material adverse impact on our business and could result in litigation.</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ability to operate and expand our business and to respond to changing business and economic conditions depends on the availability of adequate capital.</w:t>
      </w:r>
    </w:p>
    <w:p>
      <w:pPr>
        <w:spacing w:after="0" w:line="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operation of our business, the rate of our expansion and our ability to respond to changing business and economic conditions all depend on the availability of adequate capital, which in turn depends on cash flow generated by our business and, if necessary, the availability of equity or debt capital.</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 In addition, because of the disruptions in the supply chain, inventory levels may be lower than expected. This directly impacts our borrowing base and there can be no assurance that we can effectively manage the balance of maintaining inventory and sufficient availability, especially during peak selling periods.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make assurances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financial and other covenants that may significantly restrict our operations, and we cannot ensure that we would be able to obtain refinancing or that such additional financing would be on favorable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 unable to predict fashion trends and customer preferences successfully.</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right="140"/>
        <w:spacing w:after="0" w:line="281" w:lineRule="auto"/>
        <w:rPr>
          <w:sz w:val="20"/>
          <w:szCs w:val="20"/>
          <w:color w:val="auto"/>
        </w:rPr>
      </w:pPr>
      <w:r>
        <w:rPr>
          <w:rFonts w:ascii="Times New Roman" w:cs="Times New Roman" w:eastAsia="Times New Roman" w:hAnsi="Times New Roman"/>
          <w:sz w:val="17"/>
          <w:szCs w:val="17"/>
          <w:color w:val="auto"/>
        </w:rPr>
        <w:t>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from our website, could have serious long-term consequences on our business, such as an adverse impact on our brand value and the loss of market share to our competitors.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loss of any of our key trademarks or licenses could adversely affect demand for our products.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Fluctuations in the price, availability and quality of raw materials and finished goods could increase costs.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Due to the inflationary pressures, we are seeing cost increases in labor, occupancy and raw materials. We have secured raw materials in key item programs to reduce the impact on our gross margin. Fluctuations in the price, the imposition of tariffs, the availability and quality of fabrics or other raw materials used in the manufacturing of our merchandise could have a material adverse effect on our gross margin or on our ability to meet our customers’ demands. Several factors may affect our costs for raw materials including, among other things, demand, currency fluctuations, political instability, inflationary pressures, tariffs, fuel prices and weather, including the impact of global climate change. To the extent that we cannot offset cost increases with other cost reductions or efficiencies, such increased costs will need to be passed on to our customers. Such increased costs could lead to reduced customer demand, which could have a material adverse effect on our results of operations and cash flow.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If our long-lived assets become impaired, we may need to record significant non-cash impairment charges.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right-of-use assets and its property and equipment. In addition, significant negative industry or general economic trends, disruptions to our business and unexpected significant changes or planned changes in our use of the assets (such as store relocations or closures) may also result in impairment charges. If any such impairment charges are significant, it could adversely affect our financial position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ENVIRONMENTAL, SOCIAL AND GOVERNANCE ISSUES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effects of climate change may adversely impact our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concern that a gradual rise in global average temperatures due to increased concentration of carbon dioxide and other greenhouse gases ("GHG") in the atmosphere is very real and the belief that this will cause significant changes in weather patterns is widely held. This appears to be resulting in an increase in the frequency, severity, and duration of extreme weather conditions and natural disasters, as well as water scarcity and poor water quality. These events could adversely impact the availability and price of cotton and other raw materials, disrupting the supply chain and our ability to secure merchandise. Further, extreme weather conditions caused by climate change could negatively impact our financial results if our retail locations are unable to open, customers are unable to travel or our distribution center is unable to fulfill orders or delivery inventory. These events could also create adverse economic conditions and impact consumer confidence and discretionary spending. As a result, the effects of climate change could have a long-term adverse impact on our business and results of operations. We are working to develop policies, standards and goals to help mitigate these risks, including working closely with our vendors and business partners to help identify such risks, develop standards and improve processes.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 may be unable to achieve our environmental, social and governance objectives.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committed to corporate social responsibility and sustainability, and we recognize the importance of environmental, social and governance ("ESG") issues. Our Sustainability and Governance Committee, comprising a cross-discipline of corporate management, has engaged a third-party firm to assist us in the development of the Company's policies and initiatives. The ability to achieve our objectives is subject to risks and uncertainties, and we may fail to achieve our objectives. We may also incur additional costs and require additional resources to implement such policies and initiatives.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subject to evolving regulations and expectations with respect to environmental, social and governance matters that may expose us to increased risks.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increased focus by local, state, regional, national, and international regulatory bodies on GHG emissions and climate change issues increases the risk to our business if we are unable to comply with the multiple and evolving policy changes. For example, in March 2024, the SEC adopted rules to enhance and standardize climate-related disclosures by public companies so that there is more consistent, comparable, and reliable information about the financial effects of climate-related risks on a public company’s operations and how it manages those risks. In addition, in October 2023, California enacted the Climate Corporate Data Accountability Act and the Climate Related Financial Risk Act that require large public and private companies that do business within the state to disclose their Scopes 1, 2, and 3 GHG emissions, with third-party assurance of GHG emissions information for certain entities, and issue public reports on their climate-related financial risk and related mitigation measures.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Investor advocacy groups, certain institutional investors, investment funds, other market participants, stockholders, and customers have focused increasingly on the ESG or sustainability practices of companies, including those associated with climate change. If our ESG practices do not meet investor or other industry stakeholder expectations and standards, which continue to evolve, our brand, reputation and employee retention may be negatively impacted. Any disclosures that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environmental, social and governance practices or the speed of their adoption.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THAT MAY AFFECT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business is seasonal and is affected by general political and economic conditions.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business is seasonal. Historically, a significant portion of our operating income has been generated during our second and fourth quarters. If, for any reason, we miscalculate the demand for our products during these quarters, our sales in that quarter could decline, resulting in higher labor costs as a percentage of sales, lower margins and excess inventory, which could cause our annual operating results to suffer. Due to our seasonality, the possible adverse impact from such risks is potentially greater if any such risks occur during our second and fourth quarters.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our operations may be negatively affected by local, regional or national political and economic conditions, such as levels of disposable consumer income, inflation, consumer debt, interest rates, consumer confidence and other macro issues. The volatile political environment increases the chance of other legislative and regulatory changes at both the federal and state level that could affect us in ways we cannot predict. In addition, global economies, conflicts, trade negotiations and policies may directly or indirectly affect our business.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The global impact of a health pandemic, similar to the COVID-19 pandemic, may have an adverse effect on our business, financial results, liquidity, supply chain and workforce.</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COVID-19 pandemic and its variants caused global uncertainty and disruption and had a material impact on our business, predominately in fiscal 2020 and early fiscal 2021, but had a lingering negative effect on the global economy that directly impacted our business, specifically as it related to the economy, rising interest rates, labor shortages, increased material costs, global supply chain issues, inflationary pressures, and changes in consumer spending behaviors beyond the initial COVID-19 pandemic. With concerns about RSV, influenza, the measles, and avian flu in the news, another health pandemic could materially affect our financial results, access to sources of liquidity and inventory.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success depends significantly on our key personnel and our ability to attract and retain additional personnel.</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success is dependent on the personal efforts, performance and abilities of our key management, which includes our executive officers as well as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Labor shortages or increases in labor costs due to new regulations could harm our business.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labor shortage, particularly those of which occur in our distribution facility and our stores or during peak-selling periods, may negatively impact our ability to process inventory in a timely manner and effectively staff our stores. Because of the tight labor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19" w:name="page20"/>
    <w:bookmarkEnd w:id="19"/>
    <w:p>
      <w:pPr>
        <w:ind w:right="220"/>
        <w:spacing w:after="0" w:line="266" w:lineRule="auto"/>
        <w:rPr>
          <w:sz w:val="20"/>
          <w:szCs w:val="20"/>
          <w:color w:val="auto"/>
        </w:rPr>
      </w:pPr>
      <w:r>
        <w:rPr>
          <w:rFonts w:ascii="Times New Roman" w:cs="Times New Roman" w:eastAsia="Times New Roman" w:hAnsi="Times New Roman"/>
          <w:sz w:val="18"/>
          <w:szCs w:val="18"/>
          <w:color w:val="auto"/>
        </w:rPr>
        <w:t>market, our hourly rates have increased to attract candidates. If we are unable to pass on these higher costs through price increases or reduced workforce hours, our margins and profitability may be adversely impacted, which could have a material adverse effect on our business, results of operations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failure to comply with laws, rules and regulations could negatively affect our business operations and financial performance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business is subject to federal, state, and increasing local rules and regulations, such as state and local wage and hour laws, the Employee Retirement Income Security Act (“ERISA”), securities laws, import and export laws (including customs regulations), state privacy and information security regulations, unclaimed property laws, and many others. Some of these laws and regulations may increase the cost of doing business and have a material impact on our earnings. In addition, the complexity of the regulatory environment in which we operate and the related cost of compliance are both increasing due to legal and regulatory requirements and increased enforcement. We may also be subject to investigations or audits by governmental authorities and regulatory agencies, which can occur in the ordinary course of business or result from increased scrutiny from a particular agency towards an industry, country or practice. If we fail to comply with laws, rules and regulations or the manner in which they are interpreted or applied, we may be subject to government enforcement action, class action or other litigation, damage to our reputation, civil and criminal liability, damages, fines and penalties, and increased costs of regulatory compliance, any of which could adversely affect our results of operations and financial performance.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 AND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stock price has been and will likely continue to be volatile and fluctuate substantially.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and will likely continue to fluctuate substantially as a result of many factors, some of which are beyond our control. For example, from September 8, 2021, when we relisted on the Nasdaq Global market, through February 1, 2025, the reported price of our common stock has ranged from a low of $2.15 on December 19, 2024, to a high of $8.99 on November 17, 2021. Factors that could cause fluctuations in the market price of our common stock include the following:</w:t>
      </w:r>
    </w:p>
    <w:p>
      <w:pPr>
        <w:spacing w:after="0" w:line="153" w:lineRule="exact"/>
        <w:rPr>
          <w:sz w:val="20"/>
          <w:szCs w:val="20"/>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economy and general market volatility, including the effects of inflation and/or recession;</w:t>
      </w:r>
    </w:p>
    <w:p>
      <w:pPr>
        <w:spacing w:after="0" w:line="2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announcements regarding our quarterly or annual results of operations;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comparable sales;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(such as increased wage and paid benefits laws);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affecting us; or</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views as to the prospects of the Company or the retail clothing industry generally.</w:t>
      </w:r>
    </w:p>
    <w:p>
      <w:pPr>
        <w:spacing w:after="0" w:line="31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contains provisions that restrict any person or entity from attempting to purchase our stock, without prior permission from the Board,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our Company, including, without limitation, discouraging a proxy contest or making more difficult the acquisition of a substantial block of our common stock. Such provisions could also limit the price that investors might be willing to pay in the future for shares of our common stock.</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our customers and employees. Consequently, we maintain a comprehensive security incident response plan ("SIRP") and we assess, identify, and manage material risks associated with cybersecurity threats. Our SIRP includes immediate actions to mitigate the impact and long-term strategies for remediation and prevention of future incidents.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integrated cybersecurity risk management into our broader risk management framework through various mechanisms, including (i) our updates to the Cyber Committee, which was created by the Board in 2016 and meets at least quarterly, (ii) our annual enterprise risk management update to the Board, and (iii) our information technology and security related internal controls, including vulnerability management programs.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train employees to understand their role in attempting to protect the Company from cybersecurity attacks. Our information security training program for employees includes acknowledgement of our information security policies, regular internal communications, and testing to measure the effectiveness of our information security program. For example, we conduct regular phishing awareness campaigns designed to emulate current threats and provide immediate feedback and, as necessary, additional training or remedial action.</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addition, we engage third parties to assist in assessing, identifying, and remediating material risks from cybersecurity threats. Our key cybersecurity controls are regularly tested by third-party service providers, which we retain to help identify vulnerabilities in our systems and to help maintain compliance to standards and regulatory requirements. Other third-party service providers are enlisted by the Company for security operations center services to augment our teams’ monitoring capabilities and to assist with our investigation and response to alerts on emerging and ongoing threats.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Further, our cybersecurity team continuously evaluates and addresses cybersecurity risks in alignment with our business objectives and operational needs. We use various security tools and processes to help prevent, identify, escalate, investigate, resolve and recover from identified vulnerabilities and security incidents in a timely manner, including, but not limited to, risk assessment network security controls, detection and response tools and a vulnerability management program.</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complexity and evolving nature of cybersecurity threats requires that we engage with a range of external experts, including cybersecurity assessors and consultants, in evaluating and testing our risk management systems. This enables us to leverage specialized knowledge and insights to be confident that our cybersecurity strategies and processes are consistent with industry best practices. Our collaboration with these third parties includes regular threat assessments and consultation on security enhancements.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mitigate data or security incidents that may originate from third-party vendors or suppliers, we conduct both privacy and security assessments to properly identify, prioritize, assess and remediate any third-party risks, and we require security and privacy addenda to our contracts where applicable. We currently maintain a cyber insurance policy that provides coverage for security breaches; however, such insurance may not be sufficient in type or amount to cover us against claims related to security breaches, cyber-attacks, or other related breaches.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nature of our business exposes us to cybersecurity threats and attacks that can lead to the unauthorized acquisition or access, compromise, loss, misuse or theft of our data, including personal information, confidential information or intellectual property. To date, risks from cybersecurity threats, including as a result of any previous cybersecurity incidents, have not materially affected the Company, including our business strategy, results of operations, or financial condition. Also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for a discussion of cybersecurity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Board is ultimately responsible for the risk oversight of the Company, including cybersecurity and privacy risks. Our Board has delegated day-to-day responsibility for oversight of cybersecurity risks to the Cyber Committee. The Cyber Committee is composed of members of our Board who have diverse expertise, including risk management, technology, and finance, equipping them to oversee cybersecurity risks effectively.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Pursuant to its charter, our Cyber Committee:</w:t>
      </w:r>
    </w:p>
    <w:p>
      <w:pPr>
        <w:spacing w:after="0" w:line="117" w:lineRule="exact"/>
        <w:rPr>
          <w:sz w:val="20"/>
          <w:szCs w:val="20"/>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our Board in fulfilling its risk oversight responsibilities with respect to the protection of the Company’s assets, including confidential, proprietary and personal information, reputation and goodwill in all forms;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supervises and monitors the soundness of our cybersecurity and data protection strategies and practices;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and monitors our material compliance with applicable information security, privacy and data protection laws, industry standards and contractual requirements;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promotes and furthers the integrity, adoption and coordination of our data security processes across the Company to help ensure that data and system security is a Company-wide business objective and priority;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cybersecurity and data protection performance and the overall implementation of our cybersecurity and data protection strategy.</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management level, our Chief Technology Officer and our Senior Vice President, Technology and Innovation, as well as our technology staff, are primarily responsible for identifying, assessing, monitoring and managing our cybersecurity. Our Chief Technology Officer reports directly to our President and Chief Executive Officer and meets at least quarterly with the Cyber Committee. Our current Chief Technology Officer has over 35 years of industry experience, including service as a Chief Technology Officer/Chief Information Officer for over seven years and extensive experience in developing and leading technology risk management programs. Our Senior Vice President, Technology and Innovation reports directly to the Chief Technology Officer and has over 32 years of industry experience with the Company. He has led the Company’s cybersecurity team and overseen PCI certification for the past seven years, ensuring compliance with industry standards and strengthening the organization's security posture. Additionally, our technology staff holds multiple industry-standard security certifications, including Cisco Certified Network Associate, PCI Internal Security Assessor, and Certified Ethical Hacker.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20-year lease agreement for an initial annual rent payment of $4.6 million, with periodic increases every fifth anniversary of the lease.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February 1, 2025, we operated 247 Destination XL retail stores, 15 Destination XL outlet stores, 7 Casual Male XL retail stores and 19 Casual Male XL outlet stores. We lease all of these stores directly from owners of several different types of centers, including lifestyle centers, shopping centers, freestanding buildings, outlet centers and downtown locations. The store leases generally have an initial term of 5 to 10 years and typically contain renewal options that permit extending the initial term by 5 to 10 years. Following this discussion is a listing by state of all store locations open as of February 1, 2025.</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Sites for new stores are selected based on several factors, including population and density levels,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sales to invested capital ratio and return on investment requirements.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3" w:name="page24"/>
    <w:bookmarkEnd w:id="23"/>
    <w:p>
      <w:pPr>
        <w:spacing w:after="0" w:line="9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u w:val="single" w:color="auto"/>
          <w:color w:val="auto"/>
        </w:rPr>
        <w:t>Store count by state at February 1, 2025</w:t>
      </w:r>
    </w:p>
    <w:p>
      <w:pPr>
        <w:spacing w:after="0" w:line="2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DXL retail and</w:t>
            </w:r>
          </w:p>
        </w:tc>
        <w:tc>
          <w:tcPr>
            <w:tcW w:w="8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Casual Male XL</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retail and outlet</w:t>
            </w:r>
          </w:p>
        </w:tc>
        <w:tc>
          <w:tcPr>
            <w:tcW w:w="0" w:type="dxa"/>
            <w:vAlign w:val="bottom"/>
          </w:tcPr>
          <w:p>
            <w:pPr>
              <w:spacing w:after="0"/>
              <w:rPr>
                <w:sz w:val="1"/>
                <w:szCs w:val="1"/>
                <w:color w:val="auto"/>
              </w:rPr>
            </w:pPr>
          </w:p>
        </w:tc>
      </w:tr>
      <w:tr>
        <w:trPr>
          <w:trHeight w:val="17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outlet stores</w:t>
            </w:r>
          </w:p>
        </w:tc>
        <w:tc>
          <w:tcPr>
            <w:tcW w:w="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stores</w:t>
            </w:r>
          </w:p>
        </w:tc>
        <w:tc>
          <w:tcPr>
            <w:tcW w:w="0" w:type="dxa"/>
            <w:vAlign w:val="bottom"/>
          </w:tcPr>
          <w:p>
            <w:pPr>
              <w:spacing w:after="0"/>
              <w:rPr>
                <w:sz w:val="1"/>
                <w:szCs w:val="1"/>
                <w:color w:val="auto"/>
              </w:rPr>
            </w:pPr>
          </w:p>
        </w:tc>
      </w:tr>
      <w:tr>
        <w:trPr>
          <w:trHeight w:val="142"/>
        </w:trPr>
        <w:tc>
          <w:tcPr>
            <w:tcW w:w="820" w:type="dxa"/>
            <w:vAlign w:val="bottom"/>
            <w:tcBorders>
              <w:top w:val="single" w:sz="8" w:color="auto"/>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Alabama</w:t>
            </w:r>
          </w:p>
        </w:tc>
        <w:tc>
          <w:tcPr>
            <w:tcW w:w="4540" w:type="dxa"/>
            <w:vAlign w:val="bottom"/>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Arkansas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California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Colorado</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Connecticut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Florida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Georgia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Idaho</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Indiana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Iowa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Kansas</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Kentucky</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Louisiana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Maine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Maryland</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Massachusetts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Minnesota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Mississippi</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Missouri</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Montana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Nebraska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New Hampshire</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New Jersey</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New Mexico</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North Carolina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North Dakota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Oklahoma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Rhode Island</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South Carolina</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South Dakota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Tennessee</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Utah</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Washington</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6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Wisconsin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trading on the Nasdaq Global Market under the symbol “DXLG”.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15, 2025, based upon data provided by the transfer agent for our common stock, there were approximately 68 holders of record of our common stock. The number of holders does not include individuals or entities who beneficially own shares but whose shares are held of record by a broker or clearing agent.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September 3, 2024, our Board approved a stock repurchase program pursuant to which the Company was authorized to repurchase up to $15.0 million of its common stock through open market and privately negotiated transactions. The timing and the amount of any repurchases of common stock were determined based on the Company’s evaluation of market conditions and other factors. The stock repurchase program expired on February 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repurchase activity during the three months ended February 1, 2025 was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5"/>
              </w:rPr>
              <w:t>(d)</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w w:val="98"/>
              </w:rPr>
              <w:t>Approximate dollar</w:t>
            </w:r>
          </w:p>
        </w:tc>
      </w:tr>
      <w:tr>
        <w:trPr>
          <w:trHeight w:val="216"/>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95"/>
              </w:rPr>
              <w:t>(b)</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200" w:type="dxa"/>
            <w:vAlign w:val="bottom"/>
            <w:shd w:val="clear" w:color="auto" w:fill="CFF0FC"/>
          </w:tcPr>
          <w:p>
            <w:pPr>
              <w:spacing w:after="0"/>
              <w:rPr>
                <w:sz w:val="18"/>
                <w:szCs w:val="18"/>
                <w:color w:val="auto"/>
              </w:rPr>
            </w:pPr>
          </w:p>
        </w:tc>
        <w:tc>
          <w:tcPr>
            <w:tcW w:w="19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value of shares that may</w:t>
            </w:r>
          </w:p>
        </w:tc>
      </w:tr>
      <w:tr>
        <w:trPr>
          <w:trHeight w:val="196"/>
        </w:trPr>
        <w:tc>
          <w:tcPr>
            <w:tcW w:w="3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Total number of</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Average price paid</w:t>
            </w: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200" w:type="dxa"/>
            <w:vAlign w:val="bottom"/>
            <w:shd w:val="clear" w:color="auto" w:fill="CFF0FC"/>
          </w:tcPr>
          <w:p>
            <w:pPr>
              <w:spacing w:after="0"/>
              <w:rPr>
                <w:sz w:val="17"/>
                <w:szCs w:val="17"/>
                <w:color w:val="auto"/>
              </w:rPr>
            </w:pPr>
          </w:p>
        </w:tc>
        <w:tc>
          <w:tcPr>
            <w:tcW w:w="1980" w:type="dxa"/>
            <w:vAlign w:val="bottom"/>
            <w:gridSpan w:val="3"/>
            <w:shd w:val="clear" w:color="auto" w:fill="CFF0FC"/>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yet be purchased under</w:t>
            </w:r>
          </w:p>
        </w:tc>
      </w:tr>
      <w:tr>
        <w:trPr>
          <w:trHeight w:val="254"/>
        </w:trPr>
        <w:tc>
          <w:tcPr>
            <w:tcW w:w="37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FF0FC"/>
          </w:tcPr>
          <w:p>
            <w:pPr>
              <w:spacing w:after="0"/>
              <w:rPr>
                <w:sz w:val="22"/>
                <w:szCs w:val="22"/>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jc w:val="center"/>
              <w:ind w:right="130"/>
              <w:spacing w:after="0" w:line="255" w:lineRule="exact"/>
              <w:rPr>
                <w:sz w:val="20"/>
                <w:szCs w:val="20"/>
                <w:color w:val="auto"/>
              </w:rPr>
            </w:pPr>
            <w:r>
              <w:rPr>
                <w:rFonts w:ascii="Times New Roman" w:cs="Times New Roman" w:eastAsia="Times New Roman" w:hAnsi="Times New Roman"/>
                <w:sz w:val="18"/>
                <w:szCs w:val="18"/>
                <w:color w:val="auto"/>
                <w:w w:val="94"/>
              </w:rPr>
              <w:t xml:space="preserve">per share </w:t>
            </w:r>
            <w:r>
              <w:rPr>
                <w:rFonts w:ascii="Times New Roman" w:cs="Times New Roman" w:eastAsia="Times New Roman" w:hAnsi="Times New Roman"/>
                <w:sz w:val="24"/>
                <w:szCs w:val="24"/>
                <w:color w:val="auto"/>
                <w:w w:val="94"/>
                <w:vertAlign w:val="superscript"/>
              </w:rPr>
              <w:t>(1)</w:t>
            </w:r>
          </w:p>
        </w:tc>
        <w:tc>
          <w:tcPr>
            <w:tcW w:w="220" w:type="dxa"/>
            <w:vAlign w:val="bottom"/>
            <w:shd w:val="clear" w:color="auto" w:fill="CFF0FC"/>
          </w:tcPr>
          <w:p>
            <w:pPr>
              <w:spacing w:after="0"/>
              <w:rPr>
                <w:sz w:val="22"/>
                <w:szCs w:val="22"/>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plan</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center"/>
              <w:ind w:right="260"/>
              <w:spacing w:after="0" w:line="255" w:lineRule="exact"/>
              <w:rPr>
                <w:sz w:val="20"/>
                <w:szCs w:val="20"/>
                <w:color w:val="auto"/>
              </w:rPr>
            </w:pPr>
            <w:r>
              <w:rPr>
                <w:rFonts w:ascii="Times New Roman" w:cs="Times New Roman" w:eastAsia="Times New Roman" w:hAnsi="Times New Roman"/>
                <w:sz w:val="18"/>
                <w:szCs w:val="18"/>
                <w:color w:val="auto"/>
                <w:w w:val="94"/>
              </w:rPr>
              <w:t xml:space="preserve">the plan </w:t>
            </w:r>
            <w:r>
              <w:rPr>
                <w:rFonts w:ascii="Times New Roman" w:cs="Times New Roman" w:eastAsia="Times New Roman" w:hAnsi="Times New Roman"/>
                <w:sz w:val="24"/>
                <w:szCs w:val="24"/>
                <w:color w:val="auto"/>
                <w:w w:val="94"/>
                <w:vertAlign w:val="superscript"/>
              </w:rPr>
              <w:t>(1)</w:t>
            </w:r>
          </w:p>
        </w:tc>
      </w:tr>
      <w:tr>
        <w:trPr>
          <w:trHeight w:val="209"/>
        </w:trPr>
        <w:tc>
          <w:tcPr>
            <w:tcW w:w="3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3, 2024 to November 30, 2024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1,008,595</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1,008,595</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1,895,404</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2024 to January 4, 2025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218,004</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218,004</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1,331,122</w:t>
            </w:r>
          </w:p>
        </w:tc>
        <w:tc>
          <w:tcPr>
            <w:tcW w:w="100" w:type="dxa"/>
            <w:vAlign w:val="bottom"/>
          </w:tcPr>
          <w:p>
            <w:pPr>
              <w:spacing w:after="0"/>
              <w:rPr>
                <w:sz w:val="18"/>
                <w:szCs w:val="18"/>
                <w:color w:val="auto"/>
              </w:rPr>
            </w:pPr>
          </w:p>
        </w:tc>
      </w:tr>
      <w:tr>
        <w:trPr>
          <w:trHeight w:val="216"/>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5, 2025 to February 1, 2025</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1,226,599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1,226,599</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-727710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-727710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-727710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-727710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00" w:right="60" w:hanging="8"/>
        <w:spacing w:after="0" w:line="282"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and the approximate dollar value of shares that may yet be purchased under the plan excludes the accrual of excise tax of $0.1 million as of February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performance graph compares our cumulative stockholder return with a broad market index (S&amp;P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2020. We paid no cash dividends during the periods shown. The performance of the indices is shown on a total return (dividends reinvested) basis. The graph lines merely connect January 31 of each year and do not reflect fluctuations between those dates. In addition, we have provided below a chart of the annual percentage return of our common stock, the S&amp;P 500 and the Dow Jones U.S. Apparel Retailers.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6172200" cy="2922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Return Percentage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Company/Index</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Year ended</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5"/>
          </w:tcPr>
          <w:p>
            <w:pPr>
              <w:jc w:val="right"/>
              <w:ind w:right="700"/>
              <w:spacing w:after="0" w:line="155" w:lineRule="exact"/>
              <w:rPr>
                <w:sz w:val="20"/>
                <w:szCs w:val="20"/>
                <w:color w:val="auto"/>
              </w:rPr>
            </w:pPr>
            <w:r>
              <w:rPr>
                <w:rFonts w:ascii="Times New Roman" w:cs="Times New Roman" w:eastAsia="Times New Roman" w:hAnsi="Times New Roman"/>
                <w:sz w:val="14"/>
                <w:szCs w:val="14"/>
                <w:color w:val="auto"/>
              </w:rPr>
              <w:t>Jan 21</w:t>
            </w:r>
          </w:p>
        </w:tc>
        <w:tc>
          <w:tcPr>
            <w:tcW w:w="1100" w:type="dxa"/>
            <w:vAlign w:val="bottom"/>
            <w:gridSpan w:val="5"/>
          </w:tcPr>
          <w:p>
            <w:pPr>
              <w:jc w:val="center"/>
              <w:ind w:right="520"/>
              <w:spacing w:after="0" w:line="155" w:lineRule="exact"/>
              <w:rPr>
                <w:sz w:val="20"/>
                <w:szCs w:val="20"/>
                <w:color w:val="auto"/>
              </w:rPr>
            </w:pPr>
            <w:r>
              <w:rPr>
                <w:rFonts w:ascii="Times New Roman" w:cs="Times New Roman" w:eastAsia="Times New Roman" w:hAnsi="Times New Roman"/>
                <w:sz w:val="14"/>
                <w:szCs w:val="14"/>
                <w:color w:val="auto"/>
              </w:rPr>
              <w:t>Jan 22</w:t>
            </w:r>
          </w:p>
        </w:tc>
        <w:tc>
          <w:tcPr>
            <w:tcW w:w="1120" w:type="dxa"/>
            <w:vAlign w:val="bottom"/>
            <w:gridSpan w:val="4"/>
          </w:tcPr>
          <w:p>
            <w:pPr>
              <w:jc w:val="right"/>
              <w:ind w:right="600"/>
              <w:spacing w:after="0" w:line="155" w:lineRule="exact"/>
              <w:rPr>
                <w:sz w:val="20"/>
                <w:szCs w:val="20"/>
                <w:color w:val="auto"/>
              </w:rPr>
            </w:pPr>
            <w:r>
              <w:rPr>
                <w:rFonts w:ascii="Times New Roman" w:cs="Times New Roman" w:eastAsia="Times New Roman" w:hAnsi="Times New Roman"/>
                <w:sz w:val="14"/>
                <w:szCs w:val="14"/>
                <w:color w:val="auto"/>
              </w:rPr>
              <w:t>Jan 23</w:t>
            </w:r>
          </w:p>
        </w:tc>
        <w:tc>
          <w:tcPr>
            <w:tcW w:w="200" w:type="dxa"/>
            <w:vAlign w:val="bottom"/>
          </w:tcPr>
          <w:p>
            <w:pPr>
              <w:spacing w:after="0"/>
              <w:rPr>
                <w:sz w:val="14"/>
                <w:szCs w:val="14"/>
                <w:color w:val="auto"/>
              </w:rPr>
            </w:pPr>
          </w:p>
        </w:tc>
        <w:tc>
          <w:tcPr>
            <w:tcW w:w="100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color w:val="auto"/>
              </w:rPr>
              <w:t>Jan 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Jan 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DXLG</w:t>
            </w: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4"/>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(27.9 %)</w:t>
            </w:r>
          </w:p>
        </w:tc>
        <w:tc>
          <w:tcPr>
            <w:tcW w:w="120" w:type="dxa"/>
            <w:vAlign w:val="bottom"/>
            <w:shd w:val="clear" w:color="auto" w:fill="CFF0FC"/>
          </w:tcPr>
          <w:p>
            <w:pPr>
              <w:spacing w:after="0"/>
              <w:rPr>
                <w:sz w:val="17"/>
                <w:szCs w:val="17"/>
                <w:color w:val="auto"/>
              </w:rPr>
            </w:pPr>
          </w:p>
        </w:tc>
        <w:tc>
          <w:tcPr>
            <w:tcW w:w="1000" w:type="dxa"/>
            <w:vAlign w:val="bottom"/>
            <w:gridSpan w:val="4"/>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441.3 %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70.0 %</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(43.5 %)</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19.3 %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Dow Jones U.S. Apparel Retailers</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6.2 %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8.6 %</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432"/>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Indexed Returns</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Base Period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Jan 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Jan 21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Jan 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Jan 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Jan 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Jan 25</w:t>
            </w:r>
          </w:p>
        </w:tc>
        <w:tc>
          <w:tcPr>
            <w:tcW w:w="0" w:type="dxa"/>
            <w:vAlign w:val="bottom"/>
          </w:tcPr>
          <w:p>
            <w:pPr>
              <w:spacing w:after="0"/>
              <w:rPr>
                <w:sz w:val="1"/>
                <w:szCs w:val="1"/>
                <w:color w:val="auto"/>
              </w:rPr>
            </w:pPr>
          </w:p>
        </w:tc>
      </w:tr>
      <w:tr>
        <w:trPr>
          <w:trHeight w:val="190"/>
        </w:trPr>
        <w:tc>
          <w:tcPr>
            <w:tcW w:w="20" w:type="dxa"/>
            <w:vAlign w:val="bottom"/>
            <w:shd w:val="clear" w:color="auto" w:fill="CFF0FC"/>
          </w:tcPr>
          <w:p>
            <w:pPr>
              <w:spacing w:after="0"/>
              <w:rPr>
                <w:sz w:val="16"/>
                <w:szCs w:val="16"/>
                <w:color w:val="auto"/>
              </w:rPr>
            </w:pPr>
          </w:p>
        </w:tc>
        <w:tc>
          <w:tcPr>
            <w:tcW w:w="46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Company/Index</w:t>
            </w:r>
          </w:p>
        </w:tc>
        <w:tc>
          <w:tcPr>
            <w:tcW w:w="18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DXLG</w:t>
            </w:r>
          </w:p>
        </w:tc>
        <w:tc>
          <w:tcPr>
            <w:tcW w:w="35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72.07</w:t>
            </w:r>
          </w:p>
        </w:tc>
        <w:tc>
          <w:tcPr>
            <w:tcW w:w="360" w:type="dxa"/>
            <w:vAlign w:val="bottom"/>
            <w:tcBorders>
              <w:top w:val="single" w:sz="8" w:color="CFF0FC"/>
            </w:tcBorders>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FF0FC"/>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38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663.06</w:t>
            </w:r>
          </w:p>
        </w:tc>
        <w:tc>
          <w:tcPr>
            <w:tcW w:w="380" w:type="dxa"/>
            <w:vAlign w:val="bottom"/>
            <w:tcBorders>
              <w:top w:val="single" w:sz="8" w:color="CFF0F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374.77</w:t>
            </w: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115.15</w:t>
            </w:r>
          </w:p>
        </w:tc>
        <w:tc>
          <w:tcPr>
            <w:tcW w:w="36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126.20</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153.73</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Dow Jones U.S. Apparel Retailers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106.22</w:t>
            </w:r>
          </w:p>
        </w:tc>
        <w:tc>
          <w:tcPr>
            <w:tcW w:w="36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124.59</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141.23</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performance graph above shall not be deemed “filed” for purposes of Section 18 of the Exchange Act or otherwise subject to the liability of that section. This performance graph will not be deemed incorporated by reference into any filing under the Securities Act of 1933, as amended, or the Exchange Act, whether made before or after the date hereof,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4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discussion and analysis of our financial condition and results of operations for fiscal 2024 as compared to fiscal 2023. Our Annual Report on Form 10-K for the year ended February 3, 2024 (fiscal 2023) includes a discussion and analysis of our financial condition and results of operations comparing fiscal 2023 to fiscal 2022 in Item 7 of Part II, “Management’s Discussion and Analysis of Financial Condition and Results of Operations.”</w:t>
      </w:r>
    </w:p>
    <w:p>
      <w:pPr>
        <w:spacing w:after="0" w:line="7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noted above in Part I, this section also contains forward-looking statements that reflect the Company’s plans, estimates and beliefs. The Company’s actual results could materially differ from those discussed in these forward-looking statements. Factors that could cause or contribute to those differences include, but are not limited to, those discussed below and elsewhere in this Annual Report, particularly in “Risk Factors” and “Forward-Looking Statements.”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figures discussed below may not foot due to rounding.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two principal operating segments: our stores and direct business. We consider our stores and direct business segments to be similar in terms of economic characteristics, production processes and operations, and we have therefore aggregated them into one reportable segment consistent with our integrated commerce approach.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 and E-Commerce (Direct) Sales Definition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Fiscal 2024 included 52 weeks as compared to fiscal 2023, which included 53 weeks. Accordingly, year-over-year comparisons of total sales for the fourth quarter and full year are affected by an extra week of sales in fiscal 2023. However, for comparable sales, the Company is reporting on a comparable weeks basis (i.e., the 13 and 52 weeks ended February 1, 2025 compared with the 13 and 52 weeks ended February 3, 2024).</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customer's needs. The majority of our stores have the capability to fulfill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 up in a store or at curbside. We define store sales as sales that originate and are fulfilled directly at the store level. E-commerce sales, which we also refer to as direct sales, are defined as sales that originate online, whether through our website, at the store level, our Guest Engagement Center, or through a third-party marketplace.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Stores that have been open for 13 months are included in comparable sales. Stores that have been remodeled or re-located during the period are also included in our determination of comparable stores' sales. Stores that have been expanded by more than 25% are considered non-comparable for the first 13 months. The method of calculating comparable sales varies across the retail industry and, as a result, our calculation of comparable sales is not necessarily comparable to similarly titled measures reported by other retailers.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monitor certain financial measures other than those that are in accordance with U.S. generally accepted accounting principles (“GAAP”) on a regular basis in order to track the progress of our business. These non-GAAP financial measures include free cash flow, free cash flow before capital expenditures for store development, adjusted net income, adjusted net income per share, adjusted EBITDA and adjusted EBITDA margin. We believe that these measures provide helpful information with respect to the Company’s operating performance and that the inclusion of these measures is important to assist investors in comparing our performance in fiscal 2024 to fiscal 2023.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regarding these non-GAAP financial measures and reconciliations to comparable GAAP financial measures.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fiscal year is a 52-week or 53-week period ending on the Saturday closest to January 31. Fiscal 2024 was a 52-week period and fiscal 2023 was a 53-week period.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Fiscal 2023</w:t>
            </w:r>
          </w:p>
        </w:tc>
        <w:tc>
          <w:tcPr>
            <w:tcW w:w="320" w:type="dxa"/>
            <w:vAlign w:val="bottom"/>
          </w:tcPr>
          <w:p>
            <w:pPr>
              <w:spacing w:after="0"/>
              <w:rPr>
                <w:sz w:val="14"/>
                <w:szCs w:val="14"/>
                <w:color w:val="auto"/>
              </w:rPr>
            </w:pPr>
          </w:p>
        </w:tc>
      </w:tr>
      <w:tr>
        <w:trPr>
          <w:trHeight w:val="117"/>
        </w:trPr>
        <w:tc>
          <w:tcPr>
            <w:tcW w:w="5560" w:type="dxa"/>
            <w:vAlign w:val="bottom"/>
          </w:tcPr>
          <w:p>
            <w:pPr>
              <w:spacing w:after="0"/>
              <w:rPr>
                <w:sz w:val="10"/>
                <w:szCs w:val="10"/>
                <w:color w:val="auto"/>
              </w:rPr>
            </w:pPr>
          </w:p>
        </w:tc>
        <w:tc>
          <w:tcPr>
            <w:tcW w:w="3420" w:type="dxa"/>
            <w:vAlign w:val="bottom"/>
            <w:gridSpan w:val="7"/>
          </w:tcPr>
          <w:p>
            <w:pPr>
              <w:jc w:val="right"/>
              <w:ind w:right="100"/>
              <w:spacing w:after="0" w:line="118" w:lineRule="exact"/>
              <w:rPr>
                <w:sz w:val="20"/>
                <w:szCs w:val="20"/>
                <w:color w:val="auto"/>
              </w:rPr>
            </w:pPr>
            <w:r>
              <w:rPr>
                <w:rFonts w:ascii="Times New Roman" w:cs="Times New Roman" w:eastAsia="Times New Roman" w:hAnsi="Times New Roman"/>
                <w:sz w:val="13"/>
                <w:szCs w:val="13"/>
                <w:i w:val="1"/>
                <w:iCs w:val="1"/>
                <w:color w:val="auto"/>
              </w:rPr>
              <w:t>(in millions, except for percentage of sales and per share</w:t>
            </w:r>
          </w:p>
        </w:tc>
      </w:tr>
      <w:tr>
        <w:trPr>
          <w:trHeight w:val="17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i w:val="1"/>
                <w:iCs w:val="1"/>
                <w:color w:val="auto"/>
              </w:rPr>
              <w:t>data)</w:t>
            </w: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3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 diluted share: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3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a percentage of sales: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46.5 %</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48.4 %</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37.7 %</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(Non-GAAP)</w:t>
            </w: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10.7 %</w:t>
            </w:r>
          </w:p>
        </w:tc>
      </w:tr>
      <w:tr>
        <w:trPr>
          <w:trHeight w:val="216"/>
        </w:trPr>
        <w:tc>
          <w:tcPr>
            <w:tcW w:w="5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Liquidity:</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results for fiscal 2024 were below expectations given a difficult men’s apparel sector that negatively impacted traffic levels to our stores and online conversion. We believe that our customers have pulled back from shopping for apparel and when they do shop, they have been very price conscious, gravitating toward our more moderate and entry-level price points. Our comparable sales for fiscal 2024 decreased 10.6%, with comparable sales from our stores down 9.6% and our direct business down 12.8%. Despite the disappointing sales performance, we have maintained our disciplined operating regimen and improved our merchandise margin, thereby enabling us to maintain profitability and positive free cash flow. Despite our diligence to manage operating expenses, certain elements of our cost structure, including occupancy expense, were deleveraged by the sales shortfall.</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income for fiscal 2024 of $0.05 per diluted share included an impairment charge of $1.3 million and a non-recurring accrual for estimated legal settlement costs of $1.0 million. Net income for fiscal 2023 of $0.43 per diluted share included a non-recurring pretax charge of $5.7 million recognized in connection with the termination of our frozen retirement plans and an impairment charge of $0.1 million. Adjusting for these non-recurring charges and impairment charges, adjusted net income for fiscal 2024 was $0.07 per diluted share as compared to $0.50 per diluted share for fiscal 2023.</w:t>
      </w:r>
    </w:p>
    <w:p>
      <w:pPr>
        <w:spacing w:after="0" w:line="18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maintained a strong balance sheet with cash and investments of $48.4 million and a healthy inventory position, which was down 6.8% to fiscal 2023. We had no borrowings under our credit facility during fiscal 2024, and at February 1, 2025 our availability under our credit facility was $64.7 million. We generated cash flow from operations of $29.6 million and utilized $27.7 million for capital expenditures, resulting in free cash flow for fiscal 2024 of $1.9 million. Approximately $13.7 million of our $27.7 million in capital expenditures was spent on store development with the balance used primarily for technology projects, including our new e-commerce site. During fiscal 2024, we used our free cash flow, together with available cash on hand, to repurchase approximately $13.7 million, or 4.9 million shares of our common stock.</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not observed any improvement in the men's apparel market, and as we head into fiscal 2025 we believe that we will likely remain in a down sales cycle through at least the early half of fiscal 2025. As such, we are taking a measured and balanced approach to our business in fiscal 2025. Although we have a responsibility to grow the business, we are seeking to find the right balance between growth and a minimum level of profitability. While this orientation in balancing growth levels against profit is critical, it does force us to further prioritize our strategic objectives appropriately and with rigor. We believe that consumer sentiment among Big + Tall consumers will recover over time and protecting the foundational infrastructure of the operations we have built will benefit top-line and bottom-line performance in the future.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8" w:name="page29"/>
    <w:bookmarkEnd w:id="28"/>
    <w:p>
      <w:pPr>
        <w:ind w:right="280"/>
        <w:spacing w:after="0" w:line="266" w:lineRule="auto"/>
        <w:rPr>
          <w:sz w:val="20"/>
          <w:szCs w:val="20"/>
          <w:color w:val="auto"/>
        </w:rPr>
      </w:pPr>
      <w:r>
        <w:rPr>
          <w:rFonts w:ascii="Times New Roman" w:cs="Times New Roman" w:eastAsia="Times New Roman" w:hAnsi="Times New Roman"/>
          <w:sz w:val="18"/>
          <w:szCs w:val="18"/>
          <w:color w:val="auto"/>
        </w:rPr>
        <w:t>We are monitoring the emerging situation with tariffs, and we have minimal exposure in China, Mexico and Canada. Collectively, these three countries represent less than 5% of our own-sourced product and we expect that the impact on gross margin in fiscal 2025 would be less than 10 basis points. However, our exposure could grow if tariffs become more widespread.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Fiscal 2024</w:t>
            </w:r>
          </w:p>
        </w:tc>
        <w:tc>
          <w:tcPr>
            <w:tcW w:w="16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Fiscal 2023</w:t>
            </w:r>
          </w:p>
        </w:tc>
        <w:tc>
          <w:tcPr>
            <w:tcW w:w="1400" w:type="dxa"/>
            <w:vAlign w:val="bottom"/>
          </w:tcPr>
          <w:p>
            <w:pPr>
              <w:spacing w:after="0"/>
              <w:rPr>
                <w:sz w:val="24"/>
                <w:szCs w:val="24"/>
                <w:color w:val="auto"/>
              </w:rPr>
            </w:pPr>
          </w:p>
        </w:tc>
      </w:tr>
      <w:tr>
        <w:trPr>
          <w:trHeight w:val="209"/>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Store sales</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325,713</w:t>
            </w:r>
          </w:p>
        </w:tc>
        <w:tc>
          <w:tcPr>
            <w:tcW w:w="16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69.7%</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358,710</w:t>
            </w:r>
          </w:p>
        </w:tc>
        <w:tc>
          <w:tcPr>
            <w:tcW w:w="14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68.7%</w:t>
            </w:r>
          </w:p>
        </w:tc>
      </w:tr>
      <w:tr>
        <w:trPr>
          <w:trHeight w:val="216"/>
        </w:trPr>
        <w:tc>
          <w:tcPr>
            <w:tcW w:w="3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sales</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141,302</w:t>
            </w:r>
          </w:p>
        </w:tc>
        <w:tc>
          <w:tcPr>
            <w:tcW w:w="1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30.3%</w:t>
            </w:r>
          </w:p>
        </w:tc>
        <w:tc>
          <w:tcPr>
            <w:tcW w:w="44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163,105</w:t>
            </w:r>
          </w:p>
        </w:tc>
        <w:tc>
          <w:tcPr>
            <w:tcW w:w="1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31.3%</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16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14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-156845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-156845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fiscal 2024, total sales decreased 10.5% to $467.0 million from $521.8 million for fiscal 2023. The decrease was primarily due to a decrease in comparable sales of 10.6%, with stores down 9.6% and the direct business down 12.8% and the impact of the 53rd week in fiscal 2023, partially offset by an increase in non-comparable store sales and reduced loyalty program costs. Sales for the 53rd week of fiscal 2023 were $7.1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fiscal 2024, gross margin, inclusive of occupancy costs, was 46.5% compared to 48.4% for fiscal 2023. The decrease of 190 basis points was due to an increase of 230 basis points in occupancy costs, as a percentage of sales, primarily due to the deleveraging from lower sales and increased rents from lease extensions. Merchandise margin for fiscal 2024 increased 40 basis points due to favorable outbound shipping costs, a shift in product mix, and a decrease in loyalty expense partially offset by an increase in markdown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were $198.3 million, or 42.5% of sales, for fiscal 2024 as compared to $196.5 million, or 37.7% of sales, for fiscal 2023. Despite a modest increase of $1.8 million, or 0.9%, SG&amp;A expenses, as a percentage of sales, were deleveraged by 480 basis point due to the lower sales base. The increase of $1.8 million was due to an increase in marketing costs, which included our brand campaign in the second quarter, an increase in healthcare costs and technology costs as well as a $1.0 million accrual for estimated non-recurring legal settlement costs. SG&amp;A expenses for fiscal 2023 also included costs for the 53rd week of approximately $2.7 million.</w:t>
      </w:r>
    </w:p>
    <w:p>
      <w:pPr>
        <w:spacing w:after="0" w:line="75"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For fiscal 2024, marketing costs were 6.8% of sales as compared to 5.9% in fiscal 2023. For fiscal 2025, we expect our marketing costs to be approximately 6.0% of sales, and we do not plan to pursue our brand awareness campaign at this time.</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operating costs, represented 24.1% of sales for fiscal 2024 as compared to 21.3% of sales for fiscal 2023. Corporate Support Costs, which include the distribution center and corporate overhead costs, represented 18.4% of sales for fiscal 2024 as compared to 16.4% of sales for fiscal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(GAIN) OF ASSETS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Asset impairment charges primarily represent the write-down of operating lease right-of-use assets and the write-down of store property and equipment, where the carrying value exceeds fair value. 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fiscal 2024, the Company recorded a total asset impairment charge of $1.3 million for certain store property. For fiscal 2023, the Company recorded a total asset impairment charge of $0.1 million, which included a write-down for certain store property and equipment and operating lease right-of-use assets.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fiscal 2024 was $13.9 million, as compared to $13.8 million in fiscal 2023. The slight increase in depreciation and amortization expense reflects the increase in capital expenditures over the past few years as we invest in our stores, e-commerce and other technology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TERMINATION OF RETIREMENT PLANS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fiscal 2023, we terminated the frozen Casual Male Noncontributory Pension Plan “Casual Male Corp. Retirement Plan,” which was previously known as the J. Baker, Inc. Qualified Plan (the “Pension Plan”) and the frozen Casual Male Supplemental Executive Retirement Plan (the “SERP”). Through the purchase of nonparticipating annuities, we completed a final settlement of the SERP in the third quarter and a final settlement of the Pension Plan in the fourth quarter.</w:t>
      </w:r>
    </w:p>
    <w:p>
      <w:pPr>
        <w:spacing w:after="0" w:line="7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For fiscal 2023, we recognized a charge of $5.7 million representing the recognition of the unrealized loss that was part of Accumulated Other Comprehensive Loss on the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interest income for fiscal 2024 and fiscal 2023 was $2.1 million for each period. We invest excess cash in short-term, US government-backed investments. Interest costs for both fiscal years were immaterial because we had no outstanding debt and no borrowings under our credit facility during either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fiscal 2024 and fiscal 2023, the Company’s effective tax rate was 47.5% and 27.4%, respectively. The increase in the effective tax rate in fiscal 2024 was primarily due to permanent book-to-tax differences combined with a lower pretax income as compared to fiscal 2023. See Note F to the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1, 2025, we have a valuation allowance of $1.5 million, primarily against certain state and foreign net operating losses ("NOLs").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Realization of our deferred tax assets, which relate principally to federal net operating loss carryforwards, of which approximately $3.4 million will expire in fiscal 2037 and $39.9 million that do not expire, is dependent on generating sufficient taxable income. For state income tax purposes, we have $38.3 million of net operating losses that are available to offset future taxable income, the majority of which will expire from fiscal 2025 through fiscal 2045. The utilization of our NOLs reduces our taxable income and, as a result, we have minimal cash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income for fiscal 2024 was $3.1 million, or $0.05 per diluted share, as compared to a net income for fiscal 2023 of $27.9 million, or $0.43 per diluted share. Net income for fiscal 2023 included net income for the 53rd week, which was approximately $1.2 million.</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 non-GAAP basis, adjusting for any asset impairment (gain), accrual for estimated non-recurring legal settlement costs and the loss from the termination of the retirement plans, adjusted net income for fiscal 2024 was $4.3 million, or $0.07 per diluted share, as compared to adjusted net income of $32.1 million, or $0.50 per diluted share for fiscal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comparison of sales in each quarter of the past two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(Certain columns may not foot due to rounding.)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38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Fiscal 2024</w:t>
            </w: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color w:val="auto"/>
              </w:rPr>
              <w:t>Fiscal 2023</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26.7 %</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34"/>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23.0 %</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7"/>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25.5 %</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w:t>
            </w:r>
            <w:r>
              <w:rPr>
                <w:rFonts w:ascii="Times New Roman" w:cs="Times New Roman" w:eastAsia="Times New Roman" w:hAnsi="Times New Roman"/>
                <w:sz w:val="22"/>
                <w:szCs w:val="22"/>
                <w:color w:val="auto"/>
                <w:w w:val="72"/>
                <w:vertAlign w:val="superscript"/>
              </w:rPr>
              <w:t>1</w:t>
            </w:r>
          </w:p>
        </w:tc>
        <w:tc>
          <w:tcPr>
            <w:tcW w:w="5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38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right="52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2023 was a 53-week year as compared to fiscal 2024, which was a 52-week year and, as such, the fourth quarter of fiscal 2023 included an additional week of sales of $7.1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2024, we continued to see the effect of inflationary pressures on raw materials, services and labor and consumer spending. While there seems to be improvement, we cannot be certain of the effect that inflation (or deflation) may have on our results of operations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generated from operations and availability under our credit facility, which is discussed below. We believe that these sources of liquidity will be sufficient to fund our working capital requirements, commitments and capital expenditures. Cash that is in excess of our forecasted needs may be invested in money market accounts and U.S. government-backed securities.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our cash, investments, cash generated from operations, and borrowings available to us under our credit facility will be adequate to meet our liquidity needs and capital expenditure requirements for at least the next 12 months. We also believe that cash flows from operating activities and cash on hand will be sufficient to satisfy our capital requirements in the long term; however, to the extent future capital requirements exceed cash on hand plus cash flows from operating activities, we anticipate that working capital will be financed by our credit facility.</w:t>
      </w:r>
    </w:p>
    <w:p>
      <w:pPr>
        <w:spacing w:after="0" w:line="70"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 xml:space="preserve">At February 1, 2025 our material contractual obligations primarily consisted of our operating lease obligations, as disclosed in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 addition to our lease obligations, at February 1, 2025, we were also contractually committed pursuant to a merchandise purchase obligation to meet minimum purchases of $10.0 million annually through fiscal 2028.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financial data regarding our liquidity position at the end of the past two fiscal years: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Fiscal 2024</w:t>
            </w:r>
          </w:p>
        </w:tc>
        <w:tc>
          <w:tcPr>
            <w:tcW w:w="18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Fiscal 2023</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2"/>
              </w:rPr>
              <w:t>Cash flow</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from operating activities (GAAP basis)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excluding store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(8.1 )</w:t>
            </w:r>
          </w:p>
        </w:tc>
      </w:tr>
      <w:tr>
        <w:trPr>
          <w:trHeight w:val="191"/>
        </w:trPr>
        <w:tc>
          <w:tcPr>
            <w:tcW w:w="20" w:type="dxa"/>
            <w:vAlign w:val="bottom"/>
            <w:tcBorders>
              <w:top w:val="single" w:sz="8" w:color="CFF0FC"/>
            </w:tcBorders>
          </w:tcPr>
          <w:p>
            <w:pPr>
              <w:spacing w:after="0"/>
              <w:rPr>
                <w:sz w:val="16"/>
                <w:szCs w:val="16"/>
                <w:color w:val="auto"/>
              </w:rPr>
            </w:pPr>
          </w:p>
        </w:tc>
        <w:tc>
          <w:tcPr>
            <w:tcW w:w="5980" w:type="dxa"/>
            <w:vAlign w:val="bottom"/>
            <w:tcBorders>
              <w:top w:val="single" w:sz="8" w:color="CFF0FC"/>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Free Cash Flow before capital expenditures for store development (non-GAAP</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20"/>
                <w:szCs w:val="20"/>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for store development</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(13.2 )</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(9.3 )</w:t>
            </w:r>
          </w:p>
        </w:tc>
      </w:tr>
      <w:tr>
        <w:trPr>
          <w:trHeight w:val="210"/>
        </w:trPr>
        <w:tc>
          <w:tcPr>
            <w:tcW w:w="20" w:type="dxa"/>
            <w:vAlign w:val="bottom"/>
            <w:tcBorders>
              <w:top w:val="single" w:sz="8" w:color="CFF0FC"/>
            </w:tcBorders>
          </w:tcPr>
          <w:p>
            <w:pPr>
              <w:spacing w:after="0"/>
              <w:rPr>
                <w:sz w:val="18"/>
                <w:szCs w:val="18"/>
                <w:color w:val="auto"/>
              </w:rPr>
            </w:pPr>
          </w:p>
        </w:tc>
        <w:tc>
          <w:tcPr>
            <w:tcW w:w="5980" w:type="dxa"/>
            <w:vAlign w:val="bottom"/>
            <w:tcBorders>
              <w:top w:val="single" w:sz="8" w:color="CFF0FC"/>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Free Cash Flow (non-GAAP basis)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Borders>
              <w:top w:val="single" w:sz="8" w:color="CFF0FC"/>
            </w:tcBorders>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 at year end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net of unamortized debt issuance costs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excess availability under Credit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-1125220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-1125220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-705485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-705485</wp:posOffset>
            </wp:positionV>
            <wp:extent cx="59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fiscal 2024, cash flow from operations decreased to $29.6 million as compared to $49.6 million for fiscal 2023. Free cash flow, a non-GAAP measure, decreased to $1.9 million for fiscal 2024 as compared to $32.2 million for fiscal 2023. The decrease in free cash flow was due primarily to a decrease in operating income and an increase in capital expenditures.</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flow used for investing activities was $31.3 million for fiscal 2024 as compared to $49.1 million for fiscal 2023. The decrease in cash flow used for investing activities was primarily due to a reduction in purchases of short-term investments, net of maturities, of $28.2 million, partially offset by an increase in capital expenditures of $10.3 million.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flow used for financing activities for fiscal 2024 and fiscal 2023 of $13.9 million and $24.9 million, respectively, was primarily for the repurchase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28, 2021, the Company entered into a $125.0 million revolving credit agreement with Citizens Bank, N.A., with a maturity date of October 28, 2026. On April 20, 2023, the Company entered into the First Amendment to Credit Agreement which provided for the replacement of the London Interbank Offering Rate (“LIBOR”) interest rate options with the secured overnight financing rate ("SOFR") based options (as amended, the "Credit Facility"). The Credit Facility includes a sublimit of $20.0 million for commercial and standby letters of credit and a sublimit of up to $15.0 million for swingline loans. 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1" w:name="page32"/>
    <w:bookmarkEnd w:id="31"/>
    <w:p>
      <w:pPr>
        <w:ind w:right="120"/>
        <w:spacing w:after="0" w:line="258"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February 1, 2025. At February 1, 2025, outstanding standby letters of credit were $4.2 million. There were no outstanding documentary letters of credit at February 1, 2025. The Credit Facility was not utilized during fiscal 2024, resulting in average unused excess availability during fiscal 2024 of $73.6 million. Unused excess availability at February 1, 2025 was $64.7 million. Our obligations under the Credit Facility are secured by a lien on substantially all of our assets. The Company was subject to an unused line fee of 0.25% of the total commitment less average outstanding letters of credit.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Facility is described in more detail in Note D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2024, the Company repurchased 52,802 shares at a total cost, including fees, of $0.2 million, completing its stock repurchase program that was approved by the Board in March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2024, the Board approved a new stock repurchase program pursuant to which the Company was authorized to repurchase up to $15.0 million of its common stock, including excise tax, through open market and privately negotiated transactions. The stock repurchase program expired on February 1, 2025. During fiscal 2024, the Company repurchased 4.8 million shares at a total cost, including fees, of $13.5 million under this stock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February 1, 2025, total inventories decreased to $75.5 million from $81.0 million at February 3, 2024, which was a 6.8% decrease. We continue to take proactive measures to manage our inventory and adjust our receipt plan given the ongoing macroeconomic factors affecting consumer retail spending. At February 1, 2025, our clearance inventory was 8.6% of our inventory, as compared to 9.5% at February 3, 2024, and below our historical benchmark of approximately 10.0%. Our inventory has decreased by over 26% and our inventory turnover rate has improved by over 30% from fiscal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defined by 303(a)(4)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February 1, 2025 and February 3, 2024, respectively: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color w:val="auto"/>
              </w:rPr>
              <w:t>At February 1, 2025</w:t>
            </w:r>
          </w:p>
        </w:tc>
        <w:tc>
          <w:tcPr>
            <w:tcW w:w="180" w:type="dxa"/>
            <w:vAlign w:val="bottom"/>
          </w:tcPr>
          <w:p>
            <w:pPr>
              <w:spacing w:after="0"/>
              <w:rPr>
                <w:sz w:val="14"/>
                <w:szCs w:val="14"/>
                <w:color w:val="auto"/>
              </w:rPr>
            </w:pPr>
          </w:p>
        </w:tc>
        <w:tc>
          <w:tcPr>
            <w:tcW w:w="240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At February 3, 2024</w:t>
            </w:r>
          </w:p>
        </w:tc>
        <w:tc>
          <w:tcPr>
            <w:tcW w:w="0" w:type="dxa"/>
            <w:vAlign w:val="bottom"/>
          </w:tcPr>
          <w:p>
            <w:pPr>
              <w:spacing w:after="0"/>
              <w:rPr>
                <w:sz w:val="1"/>
                <w:szCs w:val="1"/>
                <w:color w:val="auto"/>
              </w:rPr>
            </w:pPr>
          </w:p>
        </w:tc>
      </w:tr>
      <w:tr>
        <w:trPr>
          <w:trHeight w:val="119"/>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Store Concept</w:t>
            </w:r>
          </w:p>
        </w:tc>
        <w:tc>
          <w:tcPr>
            <w:tcW w:w="100" w:type="dxa"/>
            <w:vAlign w:val="bottom"/>
            <w:vMerge w:val="restart"/>
          </w:tcPr>
          <w:p>
            <w:pPr>
              <w:spacing w:after="0"/>
              <w:rPr>
                <w:sz w:val="10"/>
                <w:szCs w:val="10"/>
                <w:color w:val="auto"/>
              </w:rPr>
            </w:pPr>
          </w:p>
        </w:tc>
        <w:tc>
          <w:tcPr>
            <w:tcW w:w="1080" w:type="dxa"/>
            <w:vAlign w:val="bottom"/>
            <w:tcBorders>
              <w:top w:val="single" w:sz="8" w:color="auto"/>
            </w:tcBorders>
          </w:tcPr>
          <w:p>
            <w:pPr>
              <w:jc w:val="right"/>
              <w:ind w:right="137"/>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71"/>
              <w:spacing w:after="0" w:line="119" w:lineRule="exact"/>
              <w:rPr>
                <w:sz w:val="20"/>
                <w:szCs w:val="20"/>
                <w:color w:val="auto"/>
              </w:rPr>
            </w:pPr>
            <w:r>
              <w:rPr>
                <w:rFonts w:ascii="Times New Roman" w:cs="Times New Roman" w:eastAsia="Times New Roman" w:hAnsi="Times New Roman"/>
                <w:sz w:val="13"/>
                <w:szCs w:val="13"/>
                <w:color w:val="auto"/>
              </w:rPr>
              <w:t>Square</w:t>
            </w:r>
          </w:p>
        </w:tc>
        <w:tc>
          <w:tcPr>
            <w:tcW w:w="180" w:type="dxa"/>
            <w:vAlign w:val="bottom"/>
          </w:tcPr>
          <w:p>
            <w:pPr>
              <w:spacing w:after="0"/>
              <w:rPr>
                <w:sz w:val="10"/>
                <w:szCs w:val="10"/>
                <w:color w:val="auto"/>
              </w:rPr>
            </w:pPr>
          </w:p>
        </w:tc>
        <w:tc>
          <w:tcPr>
            <w:tcW w:w="1040" w:type="dxa"/>
            <w:vAlign w:val="bottom"/>
            <w:tcBorders>
              <w:top w:val="single" w:sz="8" w:color="auto"/>
            </w:tcBorders>
          </w:tcPr>
          <w:p>
            <w:pPr>
              <w:jc w:val="right"/>
              <w:ind w:right="125"/>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71"/>
              <w:spacing w:after="0" w:line="119" w:lineRule="exact"/>
              <w:rPr>
                <w:sz w:val="20"/>
                <w:szCs w:val="20"/>
                <w:color w:val="auto"/>
              </w:rPr>
            </w:pPr>
            <w:r>
              <w:rPr>
                <w:rFonts w:ascii="Times New Roman" w:cs="Times New Roman" w:eastAsia="Times New Roman" w:hAnsi="Times New Roman"/>
                <w:sz w:val="13"/>
                <w:szCs w:val="13"/>
                <w:color w:val="auto"/>
              </w:rPr>
              <w:t>Square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color w:val="auto"/>
              </w:rPr>
              <w:t>Stores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Footage</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color w:val="auto"/>
              </w:rPr>
              <w:t>Stores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Footage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DXL Outlet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Casual Male XL Retail</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Male XL Outlet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fiscal 2024, we opened seven new DXL stores, re-located two DXL stores, converted eight Casual Male XL stores to the DXL format, completed five DXL remodels, and closed two Casual Male XL stores. Below is a summary of the store activity from February 3, 2024 to February 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Stores:</w:t>
            </w:r>
          </w:p>
        </w:tc>
        <w:tc>
          <w:tcPr>
            <w:tcW w:w="120" w:type="dxa"/>
            <w:vAlign w:val="bottom"/>
          </w:tcPr>
          <w:p>
            <w:pPr>
              <w:spacing w:after="0"/>
              <w:rPr>
                <w:sz w:val="13"/>
                <w:szCs w:val="13"/>
                <w:color w:val="auto"/>
              </w:rPr>
            </w:pPr>
          </w:p>
        </w:tc>
        <w:tc>
          <w:tcPr>
            <w:tcW w:w="10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DXL Retail</w:t>
            </w:r>
          </w:p>
        </w:tc>
        <w:tc>
          <w:tcPr>
            <w:tcW w:w="220" w:type="dxa"/>
            <w:vAlign w:val="bottom"/>
          </w:tcPr>
          <w:p>
            <w:pPr>
              <w:spacing w:after="0"/>
              <w:rPr>
                <w:sz w:val="13"/>
                <w:szCs w:val="13"/>
                <w:color w:val="auto"/>
              </w:rPr>
            </w:pPr>
          </w:p>
        </w:tc>
        <w:tc>
          <w:tcPr>
            <w:tcW w:w="9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DXL Outlet</w:t>
            </w:r>
          </w:p>
        </w:tc>
        <w:tc>
          <w:tcPr>
            <w:tcW w:w="22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Casual Male</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Casual Male</w:t>
            </w:r>
          </w:p>
        </w:tc>
        <w:tc>
          <w:tcPr>
            <w:tcW w:w="220" w:type="dxa"/>
            <w:vAlign w:val="bottom"/>
          </w:tcPr>
          <w:p>
            <w:pPr>
              <w:spacing w:after="0"/>
              <w:rPr>
                <w:sz w:val="13"/>
                <w:szCs w:val="13"/>
                <w:color w:val="auto"/>
              </w:rPr>
            </w:pPr>
          </w:p>
        </w:tc>
        <w:tc>
          <w:tcPr>
            <w:tcW w:w="11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color w:val="auto"/>
              </w:rPr>
              <w:t>Total Stores</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color w:val="auto"/>
              </w:rPr>
              <w:t>XL Retail</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XL Outlet</w:t>
            </w:r>
          </w:p>
        </w:tc>
        <w:tc>
          <w:tcPr>
            <w:tcW w:w="2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February 3, 2024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stores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Conversions to DXL format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Closed retail stores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February 1, 2025</w:t>
            </w: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 expenditures for fiscal 2024 were $27.7 million, as compared to $17.4 million in fiscal 2023. The capital expenditures for fiscal 2024 primarily related to stores, information technology projects, distribution center and facilities.</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fiscal 2025, we expect our capital expenditures to range from $19.0 million to $21.0 million, net of tenant incentives. Our store development plans for fiscal 2025 include opening eight new DXL stores and converting two Casual Male XL stores to the DXL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ind w:right="100"/>
        <w:spacing w:after="0" w:line="266" w:lineRule="auto"/>
        <w:rPr>
          <w:sz w:val="20"/>
          <w:szCs w:val="20"/>
          <w:color w:val="auto"/>
        </w:rPr>
      </w:pPr>
      <w:r>
        <w:rPr>
          <w:rFonts w:ascii="Times New Roman" w:cs="Times New Roman" w:eastAsia="Times New Roman" w:hAnsi="Times New Roman"/>
          <w:sz w:val="18"/>
          <w:szCs w:val="18"/>
          <w:color w:val="auto"/>
        </w:rPr>
        <w:t>format. We could potentially open approximately 50 net new DXL stores across the country, which could average 5,000 square feet or 250,000 square feet in total, which would be a 15% increase over our current square footage. Store expansion continues to be a key component of our long-term growth strategy; however, until the men's retail apparel business improves and consumer demand increases, we plan to pause the opening of new stores in fiscal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Reconciliations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monitor certain non-GAAP financial measures on a regular basis in order to track the progress of our business, including the measures below. We believe that these measures provide helpful information with respect to the Company’s operating performance to stockholders, investors and analysts, and that the inclusion of these non-GAAP measures is important to assist investors in comparing our performance in fiscal 2024 to fiscal 2023, on a 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Free cash flow is a metric that management uses to monitor liquidity. Management believes that this metric is important to investors, because it demonstrates the Company’s ability to maintain liquidity while supporting its capital projects and new store growth.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The following table provides a reconciliation of free cash flow: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Fiscal 2024</w:t>
            </w:r>
          </w:p>
        </w:tc>
        <w:tc>
          <w:tcPr>
            <w:tcW w:w="260" w:type="dxa"/>
            <w:vAlign w:val="bottom"/>
          </w:tcPr>
          <w:p>
            <w:pPr>
              <w:spacing w:after="0"/>
              <w:rPr>
                <w:sz w:val="14"/>
                <w:szCs w:val="14"/>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Fiscal 2023</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 (GAAP basis)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20" w:type="dxa"/>
            <w:vAlign w:val="bottom"/>
            <w:shd w:val="clear" w:color="auto" w:fill="CFF0FC"/>
          </w:tcPr>
          <w:p>
            <w:pPr>
              <w:spacing w:after="0"/>
              <w:rPr>
                <w:sz w:val="17"/>
                <w:szCs w:val="17"/>
                <w:color w:val="auto"/>
              </w:rPr>
            </w:pPr>
          </w:p>
        </w:tc>
      </w:tr>
      <w:tr>
        <w:trPr>
          <w:trHeight w:val="20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 excluding store development</w:t>
            </w:r>
          </w:p>
        </w:tc>
        <w:tc>
          <w:tcPr>
            <w:tcW w:w="28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(14.5 )</w:t>
            </w:r>
          </w:p>
        </w:tc>
        <w:tc>
          <w:tcPr>
            <w:tcW w:w="26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(8.1 )</w:t>
            </w:r>
          </w:p>
        </w:tc>
      </w:tr>
      <w:tr>
        <w:trPr>
          <w:trHeight w:val="196"/>
        </w:trPr>
        <w:tc>
          <w:tcPr>
            <w:tcW w:w="20" w:type="dxa"/>
            <w:vAlign w:val="bottom"/>
            <w:shd w:val="clear" w:color="auto" w:fill="CFF0FC"/>
          </w:tcPr>
          <w:p>
            <w:pPr>
              <w:spacing w:after="0"/>
              <w:rPr>
                <w:sz w:val="17"/>
                <w:szCs w:val="17"/>
                <w:color w:val="auto"/>
              </w:rPr>
            </w:pPr>
          </w:p>
        </w:tc>
        <w:tc>
          <w:tcPr>
            <w:tcW w:w="7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320" w:type="dxa"/>
            <w:vAlign w:val="bottom"/>
            <w:shd w:val="clear" w:color="auto" w:fill="CFF0FC"/>
          </w:tcPr>
          <w:p>
            <w:pPr>
              <w:spacing w:after="0"/>
              <w:rPr>
                <w:sz w:val="17"/>
                <w:szCs w:val="17"/>
                <w:color w:val="auto"/>
              </w:rPr>
            </w:pPr>
          </w:p>
        </w:tc>
      </w:tr>
      <w:tr>
        <w:trPr>
          <w:trHeight w:val="203"/>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 expenditures for store development</w:t>
            </w:r>
          </w:p>
        </w:tc>
        <w:tc>
          <w:tcPr>
            <w:tcW w:w="28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(13.2 )</w:t>
            </w:r>
          </w:p>
        </w:tc>
        <w:tc>
          <w:tcPr>
            <w:tcW w:w="26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(9.3 )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5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3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Share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net income and adjusted net income per diluted share is calculated by excluding any asset impairment charge (gain), accrual for estimated non-recurring legal settlement costs and the loss from the termination of retirement plans.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 The following table is a reconciliation of net income on a GAAP basis to adjusted net income, on a non-GAAP basis, for each fiscal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Fiscal 2024</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Fiscal 2023</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118"/>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98"/>
              <w:spacing w:after="0" w:line="119" w:lineRule="exact"/>
              <w:rPr>
                <w:sz w:val="20"/>
                <w:szCs w:val="20"/>
                <w:color w:val="auto"/>
              </w:rPr>
            </w:pPr>
            <w:r>
              <w:rPr>
                <w:rFonts w:ascii="Times New Roman" w:cs="Times New Roman" w:eastAsia="Times New Roman" w:hAnsi="Times New Roman"/>
                <w:sz w:val="13"/>
                <w:szCs w:val="13"/>
                <w:color w:val="auto"/>
              </w:rPr>
              <w:t>Per 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5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8"/>
              <w:spacing w:after="0"/>
              <w:rPr>
                <w:sz w:val="20"/>
                <w:szCs w:val="20"/>
                <w:color w:val="auto"/>
              </w:rPr>
            </w:pPr>
            <w:r>
              <w:rPr>
                <w:rFonts w:ascii="Times New Roman" w:cs="Times New Roman" w:eastAsia="Times New Roman" w:hAnsi="Times New Roman"/>
                <w:sz w:val="14"/>
                <w:szCs w:val="14"/>
                <w:color w:val="auto"/>
              </w:rPr>
              <w:t>share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share</w:t>
            </w: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5920" w:type="dxa"/>
            <w:vAlign w:val="bottom"/>
            <w:gridSpan w:val="3"/>
            <w:vMerge w:val="continue"/>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1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(GAAP basis)</w:t>
            </w:r>
          </w:p>
        </w:tc>
        <w:tc>
          <w:tcPr>
            <w:tcW w:w="37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8"/>
              </w:rPr>
              <w:t>Adjust:</w:t>
            </w:r>
          </w:p>
        </w:tc>
        <w:tc>
          <w:tcPr>
            <w:tcW w:w="5380" w:type="dxa"/>
            <w:vAlign w:val="bottom"/>
            <w:tcBorders>
              <w:bottom w:val="single" w:sz="8" w:color="CFF0FC"/>
            </w:tcBorders>
            <w:gridSpan w:val="2"/>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Accrual for estimated non-recurring legal settlement costs</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Loss from termination of retirement plans</w:t>
            </w:r>
          </w:p>
        </w:tc>
        <w:tc>
          <w:tcPr>
            <w:tcW w:w="7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4"/>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Income tax effect of adjustments </w:t>
            </w:r>
            <w:r>
              <w:rPr>
                <w:rFonts w:ascii="Times New Roman" w:cs="Times New Roman" w:eastAsia="Times New Roman" w:hAnsi="Times New Roman"/>
                <w:sz w:val="24"/>
                <w:szCs w:val="24"/>
                <w:color w:val="auto"/>
                <w:vertAlign w:val="superscript"/>
              </w:rPr>
              <w:t>(1)</w:t>
            </w:r>
          </w:p>
        </w:tc>
        <w:tc>
          <w:tcPr>
            <w:tcW w:w="7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color w:val="auto"/>
              </w:rPr>
              <w:t>Adjusted net income (non-GAAP basis)</w:t>
            </w: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7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outstanding on a diluted basis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-582295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-582295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-582295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9"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of pre-tax adjustments to net income was calculated using the applicable effective tax rate for each respective year.</w:t>
      </w:r>
    </w:p>
    <w:p>
      <w:pPr>
        <w:spacing w:after="0" w:line="200" w:lineRule="exact"/>
        <w:rPr>
          <w:rFonts w:ascii="Times New Roman" w:cs="Times New Roman" w:eastAsia="Times New Roman" w:hAnsi="Times New Roman"/>
          <w:sz w:val="16"/>
          <w:szCs w:val="16"/>
          <w:color w:val="auto"/>
        </w:rPr>
      </w:pPr>
    </w:p>
    <w:p>
      <w:pPr>
        <w:spacing w:after="0" w:line="27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accrual for estimated non-recurring legal settlement costs and the loss on termination of retirement plans. The accrual for estimated non-recurring legal settlement costs is excluded from adjusted EBITDA due to its unusual and non-recurring nature. Adjusted EBITDA margin is calculated as adjusted EBITDA divided by sales.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income on a GAAP basis to adjusted EBITDA and adjusted EBITDA margin, on a non-GAAP basis, for each fiscal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300" w:type="dxa"/>
            <w:vAlign w:val="bottom"/>
          </w:tcPr>
          <w:p>
            <w:pPr>
              <w:spacing w:after="0"/>
              <w:rPr>
                <w:sz w:val="17"/>
                <w:szCs w:val="17"/>
                <w:color w:val="auto"/>
              </w:rPr>
            </w:pPr>
          </w:p>
        </w:tc>
        <w:tc>
          <w:tcPr>
            <w:tcW w:w="17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Fiscal 2024</w:t>
            </w:r>
          </w:p>
        </w:tc>
        <w:tc>
          <w:tcPr>
            <w:tcW w:w="340" w:type="dxa"/>
            <w:vAlign w:val="bottom"/>
          </w:tcPr>
          <w:p>
            <w:pPr>
              <w:spacing w:after="0"/>
              <w:rPr>
                <w:sz w:val="17"/>
                <w:szCs w:val="17"/>
                <w:color w:val="auto"/>
              </w:rPr>
            </w:pPr>
          </w:p>
        </w:tc>
        <w:tc>
          <w:tcPr>
            <w:tcW w:w="18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Fiscal 2023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9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on a GAAP basis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tcPr>
          <w:p>
            <w:pPr>
              <w:spacing w:after="0"/>
              <w:rPr>
                <w:sz w:val="24"/>
                <w:szCs w:val="24"/>
                <w:color w:val="auto"/>
              </w:rPr>
            </w:pPr>
          </w:p>
        </w:tc>
      </w:tr>
      <w:tr>
        <w:trPr>
          <w:trHeight w:val="216"/>
        </w:trPr>
        <w:tc>
          <w:tcPr>
            <w:tcW w:w="7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spacing w:after="0"/>
              <w:rPr>
                <w:sz w:val="18"/>
                <w:szCs w:val="18"/>
                <w:color w:val="auto"/>
              </w:rPr>
            </w:pPr>
          </w:p>
        </w:tc>
      </w:tr>
      <w:tr>
        <w:trPr>
          <w:trHeight w:val="216"/>
        </w:trPr>
        <w:tc>
          <w:tcPr>
            <w:tcW w:w="7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Accrual for estimated non-recurring legal settlement costs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r>
      <w:tr>
        <w:trPr>
          <w:trHeight w:val="216"/>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termination of retirement plans</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Pr>
          <w:p>
            <w:pPr>
              <w:spacing w:after="0"/>
              <w:rPr>
                <w:sz w:val="18"/>
                <w:szCs w:val="18"/>
                <w:color w:val="auto"/>
              </w:rPr>
            </w:pPr>
          </w:p>
        </w:tc>
      </w:tr>
      <w:tr>
        <w:trPr>
          <w:trHeight w:val="216"/>
        </w:trPr>
        <w:tc>
          <w:tcPr>
            <w:tcW w:w="7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shd w:val="clear" w:color="auto" w:fill="CFF0FC"/>
          </w:tcPr>
          <w:p>
            <w:pPr>
              <w:spacing w:after="0"/>
              <w:rPr>
                <w:sz w:val="18"/>
                <w:szCs w:val="18"/>
                <w:color w:val="auto"/>
              </w:rPr>
            </w:pPr>
          </w:p>
        </w:tc>
      </w:tr>
      <w:tr>
        <w:trPr>
          <w:trHeight w:val="216"/>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(2.1 )</w:t>
            </w:r>
          </w:p>
        </w:tc>
        <w:tc>
          <w:tcPr>
            <w:tcW w:w="34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70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 on a non-GAAP basis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2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7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4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360" w:type="dxa"/>
            <w:vAlign w:val="bottom"/>
          </w:tcPr>
          <w:p>
            <w:pPr>
              <w:spacing w:after="0"/>
              <w:rPr>
                <w:sz w:val="18"/>
                <w:szCs w:val="18"/>
                <w:color w:val="auto"/>
              </w:rPr>
            </w:pPr>
          </w:p>
        </w:tc>
      </w:tr>
      <w:tr>
        <w:trPr>
          <w:trHeight w:val="216"/>
        </w:trPr>
        <w:tc>
          <w:tcPr>
            <w:tcW w:w="7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margin, on a non-GAAP basis:</w:t>
            </w:r>
          </w:p>
        </w:tc>
        <w:tc>
          <w:tcPr>
            <w:tcW w:w="3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4.3 %</w:t>
            </w:r>
          </w:p>
        </w:tc>
        <w:tc>
          <w:tcPr>
            <w:tcW w:w="3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-565150</wp:posOffset>
            </wp:positionV>
            <wp:extent cx="120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-565150</wp:posOffset>
            </wp:positionV>
            <wp:extent cx="120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USE OF ESTIMATES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financial statements are based on the application of significant accounting policies, many of which require our management to make significant estimates and assumptions (see Note A to the Consolidated Financial Statements). We believe that the following items involve some of the more critical judgments in the application of accounting policies that currently affect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Stock awards are primarily granted pursuant to our Long-Term Incentive Plans (“LTIPs”). During fiscal 2024, we had three active LTIPs: the 2022-2024 LTIP, the 2023-2025 LTIP and the 2024-2026 LTIP. See Note H to the Consolidated Financial Statements for additional discussion of our LTIPs. Awards under each LTIP consist of 50% time-based awards and 50% performance-based awards. All time-based awards are amortized over each LTIP’s respective vesting periods.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performance-based component of each LTIP is a dollar-denominated award, settled in a variable number of equity awards and/or cash awards. Any award will only be granted if such performance targets are achieved. Accordingly, each quarter the Company reviews its expected achievement against such performance targets to assess whether an accrual is necessary. The performance metric for each of these LTIPs is a three-year total shareholder return against peers. As such, the accruals are based on projections that extend beyond a year and are subject to change quarter to quarter based on actual performance. All accruals are recorded as a liability. If performance targets are achieved and equity awards are granted, the related cost of those awards will be reclassified from the accrual to stock-based compensation on grant date.</w:t>
      </w:r>
    </w:p>
    <w:p>
      <w:pPr>
        <w:spacing w:after="0" w:line="187"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 performance targets under the 2022-2024 LTIP were achieved at the end of fiscal 2024. Awards granted pursuant to this achievement will be subject to further vesting through August 31, 2025. Accordingly, at February 1, 2025, $2.0 million of the expected $2.4 million award was accrued. With respect to the performance-based component of the 2023-2025 LTIP and the 2024-2026 LTIP, which approximate $2.6 million and $2.7 million, respectively, at target, awards will be granted at the end of the respective performance period if the performance targets are achieved. Through the end of fiscal 2024, we accrued approximately $0.3 million for performance under the 2024-2026 LTIP, and there was no accrual for performance under the 2023-2025 LTIP.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evaluate property and equipment and operating lease right-of-use assets for impairment when facts and circumstances indicate that the carrying values of such assets may not be recoverable. Our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the underperformance of a store relative to historical or expected operating results, and an accumulation of costs significantly in excess of the amount originally expected for the construction of the long-lived store assets. If the first step of the long-lived asset impairment test concludes that the carrying amount of the asset is not recoverable, we perform the second step of the long-lived asset impairment test by comparing the fair value of the asset to its carrying amount and recognizing an impairment charge for the amount by which the carrying amount exceeds the fair value. To estimate the fair value of an asset, we rely on a discounted cash flow approach estimated to be generated by those assets. The fair value of a right-of-use ("ROU") asset is estimated using an income approach based on management’s forecast of future cash flows that could be derived based on the sublease market rent. If actual market conditions are less favorable than management’s projections, future write-offs may be necessary. The model for undiscounted future cash flows in step one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any subsequent gains recognized in connection with a store closure related to a previously recorded operating lease right-of-use asset impairment will be included as an offset to impairment charges, with the remainder of the gain included as a reduction in store occupancy costs. See Note A to the Consolidated Financial Statements.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fiscal 2024, fiscal 2023 and fiscal 2022, we recorded an impairment charge (gain) of $1.3 million, $0.1 million and $(0.2) million, respectively, within Impairment (Gain) of Assets on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reviewed accounting pronouncements and interpretations thereof that have effective dates during the periods reported and in future periods. See Note A to the Consolidated Financial Statements included in this Annual Report for information on recent accounting pronouncements and the impact of impending standards on our future filings.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12121"/>
        </w:rPr>
        <w:t>Our exposure to market risk for changes in interest rates relates primarily to our investments, which consisted of cash equivalents and short-term investments at February 1, 2025. The primary objective of our investment activities is to preserve principal. This is accomplished by investing in money market accounts and U.S. treasury bills. We do not use derivative financial instruments. Due to the nature of our investments, we do not expect our operating results or cash flows to be affected to any significant degree by any change in market interest rates.</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 February 1, 2025, we had $36.5 million in short-term investments, which were invested in U.S. treasury bills, and $8.2 million invested in money market accounts.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fiscal 2024, we utilized cash from operations to fund our working capital needs. We have a Credit Facility that can also be used, if needed. The Credit Facility is not used for trading or speculative purposes. In addition, under our Credit Facility, we have available letters of credit as sources of financing for our working capital requirements. Borrowings under the Credit Facility, which expires October 28, 2026, bear interest at variable rates based on the prime rate or Daily Simple SOFR rate, as defined in the Credit Agreement. At February 1, 2025, we had no outstanding borrowings under the Credit Facility.</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106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(KPMG LLP, Minneapolis, MN, Auditor Firm ID: 185)</w:t>
            </w: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660" w:type="dxa"/>
            <w:vAlign w:val="bottom"/>
            <w:gridSpan w:val="14"/>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44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Balance Sheets at February 1, 2025 and February 3, 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Operations for the Fiscal Years Ended February 1, 2025, February 3, 2024 and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0" w:type="dxa"/>
            <w:vAlign w:val="bottom"/>
            <w:tcBorders>
              <w:top w:val="single" w:sz="8" w:color="0000EE"/>
              <w:bottom w:val="single" w:sz="8" w:color="0000EE"/>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January 28, 2023</w:t>
            </w:r>
          </w:p>
        </w:tc>
        <w:tc>
          <w:tcPr>
            <w:tcW w:w="5840" w:type="dxa"/>
            <w:vAlign w:val="bottom"/>
            <w:tcBorders>
              <w:top w:val="single" w:sz="8" w:color="0000EE"/>
            </w:tcBorders>
            <w:gridSpan w:val="10"/>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February 1, 2025,</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900" w:type="dxa"/>
            <w:vAlign w:val="bottom"/>
            <w:tcBorders>
              <w:top w:val="single" w:sz="8" w:color="0000EE"/>
              <w:bottom w:val="single" w:sz="8" w:color="0000EE"/>
            </w:tcBorders>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February 3, 2024 and January 28, 2023</w:t>
            </w:r>
          </w:p>
        </w:tc>
        <w:tc>
          <w:tcPr>
            <w:tcW w:w="3680" w:type="dxa"/>
            <w:vAlign w:val="bottom"/>
            <w:tcBorders>
              <w:top w:val="single" w:sz="8" w:color="0000EE"/>
            </w:tcBorders>
            <w:gridSpan w:val="5"/>
          </w:tcPr>
          <w:p>
            <w:pPr>
              <w:spacing w:after="0"/>
              <w:rPr>
                <w:sz w:val="17"/>
                <w:szCs w:val="17"/>
                <w:color w:val="auto"/>
              </w:rPr>
            </w:pPr>
          </w:p>
        </w:tc>
        <w:tc>
          <w:tcPr>
            <w:tcW w:w="32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Fiscal Years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220" w:type="dxa"/>
            <w:vAlign w:val="bottom"/>
            <w:tcBorders>
              <w:top w:val="single" w:sz="8" w:color="0000EE"/>
              <w:bottom w:val="single" w:sz="8" w:color="0000EE"/>
            </w:tcBorders>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February 1, 2025, February 3, 2024 and January 28, 2023</w:t>
            </w:r>
          </w:p>
        </w:tc>
        <w:tc>
          <w:tcPr>
            <w:tcW w:w="1700" w:type="dxa"/>
            <w:vAlign w:val="bottom"/>
            <w:tcBorders>
              <w:top w:val="single" w:sz="8" w:color="0000EE"/>
            </w:tcBorders>
            <w:gridSpan w:val="2"/>
          </w:tcPr>
          <w:p>
            <w:pPr>
              <w:spacing w:after="0"/>
              <w:rPr>
                <w:sz w:val="17"/>
                <w:szCs w:val="17"/>
                <w:color w:val="auto"/>
              </w:rPr>
            </w:pPr>
          </w:p>
        </w:tc>
        <w:tc>
          <w:tcPr>
            <w:tcW w:w="386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6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February 1, 2025, February 3, 2024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and January 28, 2023</w:t>
            </w:r>
          </w:p>
        </w:tc>
        <w:tc>
          <w:tcPr>
            <w:tcW w:w="5420" w:type="dxa"/>
            <w:vAlign w:val="bottom"/>
            <w:tcBorders>
              <w:top w:val="single" w:sz="8" w:color="0000EE"/>
            </w:tcBorders>
            <w:gridSpan w:val="8"/>
          </w:tcPr>
          <w:p>
            <w:pPr>
              <w:spacing w:after="0"/>
              <w:rPr>
                <w:sz w:val="17"/>
                <w:szCs w:val="17"/>
                <w:color w:val="auto"/>
              </w:rPr>
            </w:pPr>
          </w:p>
        </w:tc>
        <w:tc>
          <w:tcPr>
            <w:tcW w:w="274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366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Destination XL Group, Inc. and subsidiaries (the Company) as of February 1, 2025 and February 3, 2024, the related consolidated statements of operations, comprehensive income, changes in stockholders’ equity, and cash flows for each of the fiscal years in the three-year period ended February 1, 2025, and the related notes (collectively, the consolidated financial statements). In our opinion, the consolidated financial statements present fairly, in all material respects, the financial position of the Company as of February 1, 2025 and February 3, 2024, and the results of its operations and its cash flows for each of the fiscal years in the three-year period ended February 1, 2025, in conformity with U.S. generally accepted accounting principles.</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20, 2025 expressed an unqualified opinion on the effectiveness of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store assets</w:t>
      </w:r>
    </w:p>
    <w:p>
      <w:pPr>
        <w:spacing w:after="0" w:line="119"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As discussed in Note A to the consolidated financial statements, 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At February 1, 2025, the Company had property and equipment and operating lease right-of-use assets of $57.0 million and $171.1 million, respectively.</w:t>
      </w:r>
    </w:p>
    <w:p>
      <w:pPr>
        <w:spacing w:after="0" w:line="81" w:lineRule="exact"/>
        <w:rPr>
          <w:sz w:val="20"/>
          <w:szCs w:val="20"/>
          <w:color w:val="auto"/>
        </w:rPr>
      </w:pPr>
    </w:p>
    <w:p>
      <w:pPr>
        <w:ind w:left="520" w:right="200"/>
        <w:spacing w:after="0" w:line="261" w:lineRule="auto"/>
        <w:rPr>
          <w:sz w:val="20"/>
          <w:szCs w:val="20"/>
          <w:color w:val="auto"/>
        </w:rPr>
      </w:pPr>
      <w:r>
        <w:rPr>
          <w:rFonts w:ascii="Times New Roman" w:cs="Times New Roman" w:eastAsia="Times New Roman" w:hAnsi="Times New Roman"/>
          <w:sz w:val="18"/>
          <w:szCs w:val="18"/>
          <w:color w:val="auto"/>
        </w:rPr>
        <w:t>We identified the assessment of impairment triggering events related to long-lived store assets, specifically property and equipment and operating lease right-of-use assets, as a critical audit matter. A high degree of auditor judgment was required to evaluate the Company’s assessment of (1) stores with current period operating or cash flow losses, and (2) underperforming stores based on current period operating or cash flow results relative to their respective historical results.</w:t>
      </w:r>
    </w:p>
    <w:p>
      <w:pPr>
        <w:spacing w:after="0" w:line="72"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the critical audit matter. We evaluated the design and tested the operating effectiveness of certain internal controls related to the Company’s process of identifying and evaluating potential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8" w:name="page39"/>
    <w:bookmarkEnd w:id="38"/>
    <w:p>
      <w:pPr>
        <w:ind w:left="520"/>
        <w:spacing w:after="0" w:line="258" w:lineRule="auto"/>
        <w:rPr>
          <w:sz w:val="20"/>
          <w:szCs w:val="20"/>
          <w:color w:val="auto"/>
        </w:rPr>
      </w:pPr>
      <w:r>
        <w:rPr>
          <w:rFonts w:ascii="Times New Roman" w:cs="Times New Roman" w:eastAsia="Times New Roman" w:hAnsi="Times New Roman"/>
          <w:sz w:val="18"/>
          <w:szCs w:val="18"/>
          <w:color w:val="auto"/>
        </w:rPr>
        <w:t>impairment triggering events. This included a control related to the Company’s assessment of (1) stores with current period operating or cash flow losses, and (2) underperforming stores relative to historical operating results. For certain stores, we evaluated the Company’s analysis of potential impairment triggering events by comparing actual operating and cash flow results to the remaining net book value of store assets. We also inspected Board of Directors' meeting minutes and available analyst information to assess the Company’s identification and evaluation of potential triggering events.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February 1, 2025 and February 3,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February 1, 2025</w:t>
            </w:r>
          </w:p>
        </w:tc>
        <w:tc>
          <w:tcPr>
            <w:tcW w:w="200" w:type="dxa"/>
            <w:vAlign w:val="bottom"/>
          </w:tcPr>
          <w:p>
            <w:pPr>
              <w:spacing w:after="0"/>
              <w:rPr>
                <w:sz w:val="13"/>
                <w:szCs w:val="13"/>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380,955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90,696</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117,316</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149,036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118,912</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125,000,000 shares authorized, 79,403,349 and 79,033,378 shares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at February 1, 2025 and February 3, 2024,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328,261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325,202</w:t>
            </w: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Treasury stock at cost, 25,908,533 shares and 21,041,661 shares at February 1, 2025 and February 3,</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(143,985 )</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(130,137 )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(43,847 )</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(46,902 )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380,955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357,741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-4919980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-3813810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-2673985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-2116455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February 1, 2025, February 3, 2024 and January 28,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February 1, 2025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February 3, 2024</w:t>
            </w:r>
          </w:p>
        </w:tc>
        <w:tc>
          <w:tcPr>
            <w:tcW w:w="120" w:type="dxa"/>
            <w:vAlign w:val="bottom"/>
          </w:tcPr>
          <w:p>
            <w:pPr>
              <w:spacing w:after="0"/>
              <w:rPr>
                <w:sz w:val="13"/>
                <w:szCs w:val="1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January 28, 2023</w:t>
            </w:r>
          </w:p>
        </w:tc>
      </w:tr>
      <w:tr>
        <w:trPr>
          <w:trHeight w:val="171"/>
        </w:trPr>
        <w:tc>
          <w:tcPr>
            <w:tcW w:w="6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(Fiscal 2024)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(Fiscal 2023)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(Fiscal 2022)</w:t>
            </w:r>
          </w:p>
        </w:tc>
        <w:tc>
          <w:tcPr>
            <w:tcW w:w="120" w:type="dxa"/>
            <w:vAlign w:val="bottom"/>
          </w:tcPr>
          <w:p>
            <w:pPr>
              <w:spacing w:after="0"/>
              <w:rPr>
                <w:sz w:val="14"/>
                <w:szCs w:val="14"/>
                <w:color w:val="auto"/>
              </w:rPr>
            </w:pPr>
          </w:p>
        </w:tc>
      </w:tr>
      <w:tr>
        <w:trPr>
          <w:trHeight w:val="209"/>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545,838</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269,393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273,240</w:t>
            </w:r>
          </w:p>
        </w:tc>
        <w:tc>
          <w:tcPr>
            <w:tcW w:w="120" w:type="dxa"/>
            <w:vAlign w:val="bottom"/>
          </w:tcPr>
          <w:p>
            <w:pPr>
              <w:spacing w:after="0"/>
              <w:rPr>
                <w:sz w:val="18"/>
                <w:szCs w:val="18"/>
                <w:color w:val="auto"/>
              </w:rPr>
            </w:pPr>
          </w:p>
        </w:tc>
      </w:tr>
      <w:tr>
        <w:trPr>
          <w:trHeight w:val="209"/>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217,195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252,422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272,598</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198,790</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r>
      <w:tr>
        <w:trPr>
          <w:trHeight w:val="216"/>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20" w:type="dxa"/>
            <w:vAlign w:val="bottom"/>
          </w:tcPr>
          <w:p>
            <w:pPr>
              <w:spacing w:after="0"/>
              <w:rPr>
                <w:sz w:val="18"/>
                <w:szCs w:val="18"/>
                <w:color w:val="auto"/>
              </w:rPr>
            </w:pPr>
          </w:p>
        </w:tc>
      </w:tr>
      <w:tr>
        <w:trPr>
          <w:trHeight w:val="209"/>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213,463</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210,478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214,012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58,586</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termination of retirement plans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(5,690 )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r>
      <w:tr>
        <w:trPr>
          <w:trHeight w:val="210"/>
        </w:trPr>
        <w:tc>
          <w:tcPr>
            <w:tcW w:w="66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(benefit) for income taxes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58,335</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(30,788 )</w:t>
            </w:r>
          </w:p>
        </w:tc>
      </w:tr>
      <w:tr>
        <w:trPr>
          <w:trHeight w:val="210"/>
        </w:trPr>
        <w:tc>
          <w:tcPr>
            <w:tcW w:w="66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-2519680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-2519680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-2519680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February 1, 2025, February 3, 2024 and January 28,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February 1, 2025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February 3, 2024</w:t>
            </w:r>
          </w:p>
        </w:tc>
        <w:tc>
          <w:tcPr>
            <w:tcW w:w="14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January 28, 2023</w:t>
            </w:r>
          </w:p>
        </w:tc>
      </w:t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(Fiscal 2024)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(Fiscal 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(Fiscal 2022)</w:t>
            </w:r>
          </w:p>
        </w:tc>
        <w:tc>
          <w:tcPr>
            <w:tcW w:w="100" w:type="dxa"/>
            <w:vAlign w:val="bottom"/>
          </w:tcPr>
          <w:p>
            <w:pPr>
              <w:spacing w:after="0"/>
              <w:rPr>
                <w:sz w:val="14"/>
                <w:szCs w:val="14"/>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of accumulated foreign currency translation adjustment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Retirement plans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Recognized loss from termination of retirement plans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(595 )</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FF0FC"/>
            </w:tcBorders>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-599440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-599440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-316865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left="340" w:right="232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For the fiscal years ended February 1, 2025, February 3, 2024 and January 28,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157"/>
              <w:spacing w:after="0"/>
              <w:rPr>
                <w:sz w:val="20"/>
                <w:szCs w:val="20"/>
                <w:color w:val="auto"/>
              </w:rPr>
            </w:pPr>
            <w:r>
              <w:rPr>
                <w:rFonts w:ascii="Times New Roman" w:cs="Times New Roman" w:eastAsia="Times New Roman" w:hAnsi="Times New Roman"/>
                <w:sz w:val="13"/>
                <w:szCs w:val="13"/>
                <w:color w:val="auto"/>
                <w:w w:val="95"/>
              </w:rPr>
              <w:t>Accumulated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Additional</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77"/>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18"/>
              <w:spacing w:after="0" w:line="135" w:lineRule="exact"/>
              <w:rPr>
                <w:sz w:val="20"/>
                <w:szCs w:val="20"/>
                <w:color w:val="auto"/>
              </w:rPr>
            </w:pPr>
            <w:r>
              <w:rPr>
                <w:rFonts w:ascii="Times New Roman" w:cs="Times New Roman" w:eastAsia="Times New Roman" w:hAnsi="Times New Roman"/>
                <w:sz w:val="13"/>
                <w:szCs w:val="13"/>
                <w:color w:val="auto"/>
                <w:w w:val="95"/>
              </w:rPr>
              <w:t>Treasury</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center"/>
              <w:ind w:right="157"/>
              <w:spacing w:after="0" w:line="135" w:lineRule="exact"/>
              <w:rPr>
                <w:sz w:val="20"/>
                <w:szCs w:val="20"/>
                <w:color w:val="auto"/>
              </w:rPr>
            </w:pPr>
            <w:r>
              <w:rPr>
                <w:rFonts w:ascii="Times New Roman" w:cs="Times New Roman" w:eastAsia="Times New Roman" w:hAnsi="Times New Roman"/>
                <w:sz w:val="13"/>
                <w:szCs w:val="13"/>
                <w:color w:val="auto"/>
                <w:w w:val="95"/>
              </w:rPr>
              <w:t>Comprehensi</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820" w:type="dxa"/>
            <w:vAlign w:val="bottom"/>
          </w:tcPr>
          <w:p>
            <w:pPr>
              <w:spacing w:after="0"/>
              <w:rPr>
                <w:sz w:val="11"/>
                <w:szCs w:val="11"/>
                <w:color w:val="auto"/>
              </w:rPr>
            </w:pPr>
          </w:p>
        </w:tc>
        <w:tc>
          <w:tcPr>
            <w:tcW w:w="11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w w:val="98"/>
              </w:rPr>
              <w:t>Common Stock</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900" w:type="dxa"/>
            <w:vAlign w:val="bottom"/>
            <w:gridSpan w:val="2"/>
          </w:tcPr>
          <w:p>
            <w:pPr>
              <w:jc w:val="center"/>
              <w:ind w:right="178"/>
              <w:spacing w:after="0" w:line="135" w:lineRule="exact"/>
              <w:rPr>
                <w:sz w:val="20"/>
                <w:szCs w:val="20"/>
                <w:color w:val="auto"/>
              </w:rPr>
            </w:pPr>
            <w:r>
              <w:rPr>
                <w:rFonts w:ascii="Times New Roman" w:cs="Times New Roman" w:eastAsia="Times New Roman" w:hAnsi="Times New Roman"/>
                <w:sz w:val="13"/>
                <w:szCs w:val="13"/>
                <w:color w:val="auto"/>
                <w:w w:val="94"/>
              </w:rPr>
              <w:t>Stock</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Accumulated</w:t>
            </w:r>
          </w:p>
        </w:tc>
        <w:tc>
          <w:tcPr>
            <w:tcW w:w="120" w:type="dxa"/>
            <w:vAlign w:val="bottom"/>
          </w:tcPr>
          <w:p>
            <w:pPr>
              <w:spacing w:after="0"/>
              <w:rPr>
                <w:sz w:val="11"/>
                <w:szCs w:val="11"/>
                <w:color w:val="auto"/>
              </w:rPr>
            </w:pPr>
          </w:p>
        </w:tc>
        <w:tc>
          <w:tcPr>
            <w:tcW w:w="840" w:type="dxa"/>
            <w:vAlign w:val="bottom"/>
            <w:gridSpan w:val="2"/>
          </w:tcPr>
          <w:p>
            <w:pPr>
              <w:jc w:val="center"/>
              <w:ind w:right="277"/>
              <w:spacing w:after="0" w:line="135" w:lineRule="exact"/>
              <w:rPr>
                <w:sz w:val="20"/>
                <w:szCs w:val="20"/>
                <w:color w:val="auto"/>
              </w:rPr>
            </w:pPr>
            <w:r>
              <w:rPr>
                <w:rFonts w:ascii="Times New Roman" w:cs="Times New Roman" w:eastAsia="Times New Roman" w:hAnsi="Times New Roman"/>
                <w:sz w:val="13"/>
                <w:szCs w:val="13"/>
                <w:color w:val="auto"/>
                <w:w w:val="81"/>
              </w:rPr>
              <w:t>ve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17"/>
              <w:spacing w:after="0" w:line="135" w:lineRule="exact"/>
              <w:rPr>
                <w:sz w:val="20"/>
                <w:szCs w:val="20"/>
                <w:color w:val="auto"/>
              </w:rPr>
            </w:pPr>
            <w:r>
              <w:rPr>
                <w:rFonts w:ascii="Times New Roman" w:cs="Times New Roman" w:eastAsia="Times New Roman" w:hAnsi="Times New Roman"/>
                <w:sz w:val="13"/>
                <w:szCs w:val="13"/>
                <w:color w:val="auto"/>
                <w:w w:val="97"/>
              </w:rPr>
              <w:t>Income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2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w w:val="96"/>
              </w:rPr>
              <w:t>Amounts</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Capital</w:t>
            </w:r>
          </w:p>
        </w:tc>
        <w:tc>
          <w:tcPr>
            <w:tcW w:w="900" w:type="dxa"/>
            <w:vAlign w:val="bottom"/>
            <w:gridSpan w:val="2"/>
          </w:tcPr>
          <w:p>
            <w:pPr>
              <w:jc w:val="center"/>
              <w:ind w:right="178"/>
              <w:spacing w:after="0"/>
              <w:rPr>
                <w:sz w:val="20"/>
                <w:szCs w:val="20"/>
                <w:color w:val="auto"/>
              </w:rPr>
            </w:pPr>
            <w:r>
              <w:rPr>
                <w:rFonts w:ascii="Times New Roman" w:cs="Times New Roman" w:eastAsia="Times New Roman" w:hAnsi="Times New Roman"/>
                <w:sz w:val="13"/>
                <w:szCs w:val="13"/>
                <w:color w:val="auto"/>
                <w:w w:val="92"/>
              </w:rPr>
              <w:t>Shares</w:t>
            </w:r>
          </w:p>
        </w:tc>
        <w:tc>
          <w:tcPr>
            <w:tcW w:w="100" w:type="dxa"/>
            <w:vAlign w:val="bottom"/>
          </w:tcPr>
          <w:p>
            <w:pPr>
              <w:spacing w:after="0"/>
              <w:rPr>
                <w:sz w:val="13"/>
                <w:szCs w:val="13"/>
                <w:color w:val="auto"/>
              </w:rPr>
            </w:pPr>
          </w:p>
        </w:tc>
        <w:tc>
          <w:tcPr>
            <w:tcW w:w="78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82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color w:val="auto"/>
              </w:rPr>
              <w:t>Deficit</w:t>
            </w:r>
          </w:p>
        </w:tc>
        <w:tc>
          <w:tcPr>
            <w:tcW w:w="120" w:type="dxa"/>
            <w:vAlign w:val="bottom"/>
          </w:tcPr>
          <w:p>
            <w:pPr>
              <w:spacing w:after="0"/>
              <w:rPr>
                <w:sz w:val="13"/>
                <w:szCs w:val="13"/>
                <w:color w:val="auto"/>
              </w:rPr>
            </w:pPr>
          </w:p>
        </w:tc>
        <w:tc>
          <w:tcPr>
            <w:tcW w:w="840" w:type="dxa"/>
            <w:vAlign w:val="bottom"/>
            <w:gridSpan w:val="2"/>
          </w:tcPr>
          <w:p>
            <w:pPr>
              <w:jc w:val="center"/>
              <w:ind w:right="277"/>
              <w:spacing w:after="0"/>
              <w:rPr>
                <w:sz w:val="20"/>
                <w:szCs w:val="20"/>
                <w:color w:val="auto"/>
              </w:rPr>
            </w:pPr>
            <w:r>
              <w:rPr>
                <w:rFonts w:ascii="Times New Roman" w:cs="Times New Roman" w:eastAsia="Times New Roman" w:hAnsi="Times New Roman"/>
                <w:sz w:val="13"/>
                <w:szCs w:val="13"/>
                <w:color w:val="auto"/>
              </w:rPr>
              <w:t>(Loss)</w:t>
            </w:r>
          </w:p>
        </w:tc>
        <w:tc>
          <w:tcPr>
            <w:tcW w:w="16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Total</w:t>
            </w:r>
          </w:p>
        </w:tc>
      </w:tr>
      <w:tr>
        <w:trPr>
          <w:trHeight w:val="168"/>
        </w:trPr>
        <w:tc>
          <w:tcPr>
            <w:tcW w:w="38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January 29, 2022</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77,025</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770</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319,511</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(12,755</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(92,658</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(163,879</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(5,525</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58,219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w:t>
            </w:r>
          </w:p>
        </w:tc>
        <w:tc>
          <w:tcPr>
            <w:tcW w:w="100" w:type="dxa"/>
            <w:vAlign w:val="bottom"/>
            <w:shd w:val="clear" w:color="auto" w:fill="CFF0FC"/>
          </w:tcPr>
          <w:p>
            <w:pPr>
              <w:spacing w:after="0"/>
              <w:rPr>
                <w:sz w:val="11"/>
                <w:szCs w:val="11"/>
                <w:color w:val="auto"/>
              </w:rPr>
            </w:pPr>
          </w:p>
        </w:tc>
      </w:tr>
      <w:tr>
        <w:trPr>
          <w:trHeight w:val="117"/>
        </w:trPr>
        <w:tc>
          <w:tcPr>
            <w:tcW w:w="38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RSUs granted for achievement of performance-based compensation,</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reclassified from liability to equity</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220" w:type="dxa"/>
            <w:vAlign w:val="bottom"/>
          </w:tcPr>
          <w:p>
            <w:pPr>
              <w:spacing w:after="0"/>
              <w:rPr>
                <w:sz w:val="13"/>
                <w:szCs w:val="13"/>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Pr>
          <w:p>
            <w:pPr>
              <w:spacing w:after="0"/>
              <w:rPr>
                <w:sz w:val="13"/>
                <w:szCs w:val="13"/>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upon RSUs release</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(6 )</w:t>
            </w: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830</w:t>
            </w:r>
          </w:p>
        </w:tc>
        <w:tc>
          <w:tcPr>
            <w:tcW w:w="220" w:type="dxa"/>
            <w:vAlign w:val="bottom"/>
          </w:tcPr>
          <w:p>
            <w:pPr>
              <w:spacing w:after="0"/>
              <w:rPr>
                <w:sz w:val="11"/>
                <w:szCs w:val="11"/>
                <w:color w:val="auto"/>
              </w:rPr>
            </w:pP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839</w:t>
            </w: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(390 )</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(1,841 )</w:t>
            </w: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(1,845 )</w:t>
            </w: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(2,870 )</w:t>
            </w:r>
          </w:p>
        </w:tc>
        <w:tc>
          <w:tcPr>
            <w:tcW w:w="100" w:type="dxa"/>
            <w:vAlign w:val="bottom"/>
          </w:tcPr>
          <w:p>
            <w:pPr>
              <w:spacing w:after="0"/>
              <w:rPr>
                <w:sz w:val="11"/>
                <w:szCs w:val="11"/>
                <w:color w:val="auto"/>
              </w:rPr>
            </w:pPr>
          </w:p>
        </w:tc>
        <w:tc>
          <w:tcPr>
            <w:tcW w:w="78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(12,728 )</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(12,728 )</w:t>
            </w: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Board of directors' compensation</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501</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Unrecognized gain associated with Pension Plan, net of taxes</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Foreign currency, net of taxes</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(7 )</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(7 )</w:t>
            </w:r>
          </w:p>
        </w:tc>
      </w:tr>
      <w:tr>
        <w:trPr>
          <w:trHeight w:val="135"/>
        </w:trPr>
        <w:tc>
          <w:tcPr>
            <w:tcW w:w="382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Recognition of accumulated foreign currency translation adjustment</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89,123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89,123</w:t>
            </w:r>
          </w:p>
        </w:tc>
        <w:tc>
          <w:tcPr>
            <w:tcW w:w="100" w:type="dxa"/>
            <w:vAlign w:val="bottom"/>
          </w:tcPr>
          <w:p>
            <w:pPr>
              <w:spacing w:after="0"/>
              <w:rPr>
                <w:sz w:val="11"/>
                <w:szCs w:val="11"/>
                <w:color w:val="auto"/>
              </w:rPr>
            </w:pPr>
          </w:p>
        </w:tc>
      </w:tr>
      <w:tr>
        <w:trPr>
          <w:trHeight w:val="168"/>
        </w:trPr>
        <w:tc>
          <w:tcPr>
            <w:tcW w:w="38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January 28, 2023</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78,230</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782</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321,516</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(15,625</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(105,386</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(74,756</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(4,928</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137,228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6"/>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2,496</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2,496</w:t>
            </w:r>
          </w:p>
        </w:tc>
        <w:tc>
          <w:tcPr>
            <w:tcW w:w="100" w:type="dxa"/>
            <w:vAlign w:val="bottom"/>
            <w:shd w:val="clear" w:color="auto" w:fill="CFF0FC"/>
          </w:tcPr>
          <w:p>
            <w:pPr>
              <w:spacing w:after="0"/>
              <w:rPr>
                <w:sz w:val="11"/>
                <w:szCs w:val="11"/>
                <w:color w:val="auto"/>
              </w:rPr>
            </w:pPr>
          </w:p>
        </w:tc>
      </w:tr>
      <w:tr>
        <w:trPr>
          <w:trHeight w:val="117"/>
        </w:trPr>
        <w:tc>
          <w:tcPr>
            <w:tcW w:w="38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RSUs granted for achievement of performance-based compensation,</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reclassified from liability to equity</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220" w:type="dxa"/>
            <w:vAlign w:val="bottom"/>
          </w:tcPr>
          <w:p>
            <w:pPr>
              <w:spacing w:after="0"/>
              <w:rPr>
                <w:sz w:val="13"/>
                <w:szCs w:val="13"/>
                <w:color w:val="auto"/>
              </w:rPr>
            </w:pPr>
          </w:p>
        </w:tc>
        <w:tc>
          <w:tcPr>
            <w:tcW w:w="90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100" w:type="dxa"/>
            <w:vAlign w:val="bottom"/>
          </w:tcPr>
          <w:p>
            <w:pPr>
              <w:spacing w:after="0"/>
              <w:rPr>
                <w:sz w:val="13"/>
                <w:szCs w:val="13"/>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upon RSUs release</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(5 )</w:t>
            </w: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220" w:type="dxa"/>
            <w:vAlign w:val="bottom"/>
          </w:tcPr>
          <w:p>
            <w:pPr>
              <w:spacing w:after="0"/>
              <w:rPr>
                <w:sz w:val="11"/>
                <w:szCs w:val="11"/>
                <w:color w:val="auto"/>
              </w:rPr>
            </w:pP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(153 )</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(758 )</w:t>
            </w: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(759 )</w:t>
            </w: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of common stock, excluding excise taxes</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(5,416 )</w:t>
            </w:r>
          </w:p>
        </w:tc>
        <w:tc>
          <w:tcPr>
            <w:tcW w:w="100" w:type="dxa"/>
            <w:vAlign w:val="bottom"/>
          </w:tcPr>
          <w:p>
            <w:pPr>
              <w:spacing w:after="0"/>
              <w:rPr>
                <w:sz w:val="11"/>
                <w:szCs w:val="11"/>
                <w:color w:val="auto"/>
              </w:rPr>
            </w:pPr>
          </w:p>
        </w:tc>
        <w:tc>
          <w:tcPr>
            <w:tcW w:w="78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(24,541 )</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(24,541 )</w:t>
            </w: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Excise taxes accrued on repurchase of common stock</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(210 )</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(210 )</w:t>
            </w: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Board of directors' compensation</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w:t>
            </w:r>
          </w:p>
        </w:tc>
        <w:tc>
          <w:tcPr>
            <w:tcW w:w="220" w:type="dxa"/>
            <w:vAlign w:val="bottom"/>
          </w:tcPr>
          <w:p>
            <w:pPr>
              <w:spacing w:after="0"/>
              <w:rPr>
                <w:sz w:val="11"/>
                <w:szCs w:val="11"/>
                <w:color w:val="auto"/>
              </w:rPr>
            </w:pP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1"/>
                <w:szCs w:val="11"/>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4,928</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27,854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27,854</w:t>
            </w:r>
          </w:p>
        </w:tc>
        <w:tc>
          <w:tcPr>
            <w:tcW w:w="100" w:type="dxa"/>
            <w:vAlign w:val="bottom"/>
          </w:tcPr>
          <w:p>
            <w:pPr>
              <w:spacing w:after="0"/>
              <w:rPr>
                <w:sz w:val="11"/>
                <w:szCs w:val="11"/>
                <w:color w:val="auto"/>
              </w:rPr>
            </w:pPr>
          </w:p>
        </w:tc>
      </w:tr>
      <w:tr>
        <w:trPr>
          <w:trHeight w:val="168"/>
        </w:trPr>
        <w:tc>
          <w:tcPr>
            <w:tcW w:w="38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February 3, 2024</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79,033</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790</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325,202</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(21,041</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(130,137</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(46,902</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148,953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2,614</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2,614</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upon RSUs release</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(2 )</w:t>
            </w: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Shares withheld for taxes related to net share settlement</w:t>
            </w: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(78 )</w:t>
            </w: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(78 )</w:t>
            </w: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of common stock, excluding excise taxes</w:t>
            </w:r>
          </w:p>
        </w:tc>
        <w:tc>
          <w:tcPr>
            <w:tcW w:w="11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(4,868 )</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(13,730 )</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(13,730 )</w:t>
            </w: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Excise taxes accrued on repurchase of common stock</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(118 )</w:t>
            </w:r>
          </w:p>
        </w:tc>
        <w:tc>
          <w:tcPr>
            <w:tcW w:w="14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(118 )</w:t>
            </w: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Board of directors' compensation</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447</w:t>
            </w:r>
          </w:p>
        </w:tc>
        <w:tc>
          <w:tcPr>
            <w:tcW w:w="100" w:type="dxa"/>
            <w:vAlign w:val="bottom"/>
            <w:shd w:val="clear" w:color="auto" w:fill="CFF0FC"/>
          </w:tcPr>
          <w:p>
            <w:pPr>
              <w:spacing w:after="0"/>
              <w:rPr>
                <w:sz w:val="11"/>
                <w:szCs w:val="11"/>
                <w:color w:val="auto"/>
              </w:rPr>
            </w:pPr>
          </w:p>
        </w:tc>
      </w:tr>
      <w:tr>
        <w:trPr>
          <w:trHeight w:val="135"/>
        </w:trPr>
        <w:tc>
          <w:tcPr>
            <w:tcW w:w="38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3,055</w:t>
            </w:r>
          </w:p>
        </w:tc>
        <w:tc>
          <w:tcPr>
            <w:tcW w:w="100" w:type="dxa"/>
            <w:vAlign w:val="bottom"/>
          </w:tcPr>
          <w:p>
            <w:pPr>
              <w:spacing w:after="0"/>
              <w:rPr>
                <w:sz w:val="11"/>
                <w:szCs w:val="11"/>
                <w:color w:val="auto"/>
              </w:rPr>
            </w:pPr>
          </w:p>
        </w:tc>
      </w:tr>
      <w:tr>
        <w:trPr>
          <w:trHeight w:val="168"/>
        </w:trPr>
        <w:tc>
          <w:tcPr>
            <w:tcW w:w="382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February 1, 2025</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79,403</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794</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328,261</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(25,909</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(143,985</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(43,847</w:t>
            </w:r>
          </w:p>
        </w:tc>
        <w:tc>
          <w:tcPr>
            <w:tcW w:w="22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141,223</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-3385185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-3368040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-3385185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-3368040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-3385185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-3368040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-3385185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-3368040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-3385185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-3368040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-3385185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-3368040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-3385185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-3368040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-2065655</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-2047875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-2065655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-2047875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-2065655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-2047875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-2065655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-2047875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-2065655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-2047875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-2065655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-2047875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-2065655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-2047875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-2065655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-916940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-899795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-916940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-899795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-916940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-899795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-916940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-899795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-916940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-899795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-916940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-899795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-916940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-899795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-25400</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-8255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February 1, 2025, February 3, 2024 and January 28,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1, 2025</w:t>
            </w:r>
          </w:p>
        </w:tc>
        <w:tc>
          <w:tcPr>
            <w:tcW w:w="140" w:type="dxa"/>
            <w:vAlign w:val="bottom"/>
          </w:tcPr>
          <w:p>
            <w:pPr>
              <w:spacing w:after="0"/>
              <w:rPr>
                <w:sz w:val="13"/>
                <w:szCs w:val="13"/>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February 3, 2024</w:t>
            </w:r>
          </w:p>
        </w:tc>
        <w:tc>
          <w:tcPr>
            <w:tcW w:w="12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January 28, 2023</w:t>
            </w:r>
          </w:p>
        </w:tc>
      </w:tr>
      <w:tr>
        <w:trPr>
          <w:trHeight w:val="17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(Fiscal 2024)</w:t>
            </w:r>
          </w:p>
        </w:tc>
        <w:tc>
          <w:tcPr>
            <w:tcW w:w="1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(Fiscal 2023)</w:t>
            </w:r>
          </w:p>
        </w:tc>
        <w:tc>
          <w:tcPr>
            <w:tcW w:w="1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(Fiscal 2022)</w:t>
            </w:r>
          </w:p>
        </w:tc>
      </w:tr>
      <w:tr>
        <w:trPr>
          <w:trHeight w:val="20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retirement plan terminations</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Recognition of accumulated foreign currency translation adjustment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write-off of deferred debt issuance costs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taxes, net of valuation allowance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(31,624 )</w:t>
            </w: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of directors' stock compensation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(2,786 )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(11,240 )</w:t>
            </w: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(1,094 )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(599 )</w:t>
            </w: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(10,195 )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leases, net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(2,888 )</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(3,563 )</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(7,510 )</w:t>
            </w: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(7,240 )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(4,564 )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FF0FC"/>
          </w:tcPr>
          <w:p>
            <w:pPr>
              <w:spacing w:after="0"/>
              <w:rPr>
                <w:sz w:val="18"/>
                <w:szCs w:val="18"/>
                <w:color w:val="auto"/>
              </w:rPr>
            </w:pPr>
          </w:p>
        </w:tc>
      </w:tr>
      <w:tr>
        <w:trPr>
          <w:trHeight w:val="210"/>
        </w:trPr>
        <w:tc>
          <w:tcPr>
            <w:tcW w:w="6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100" w:type="dxa"/>
            <w:vAlign w:val="bottom"/>
            <w:tcBorders>
              <w:top w:val="single" w:sz="8" w:color="CFF0FC"/>
            </w:tcBorders>
          </w:tcPr>
          <w:p>
            <w:pPr>
              <w:spacing w:after="0"/>
              <w:rPr>
                <w:sz w:val="18"/>
                <w:szCs w:val="18"/>
                <w:color w:val="auto"/>
              </w:rPr>
            </w:pPr>
          </w:p>
        </w:tc>
      </w:tr>
      <w:tr>
        <w:trPr>
          <w:trHeight w:val="210"/>
        </w:trPr>
        <w:tc>
          <w:tcPr>
            <w:tcW w:w="6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Additions to property and equipment, net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(27,723 )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(17,418 )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(9,642 )</w:t>
            </w: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(48,011 )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(79,883 )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(31,339 )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(49,146 )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(9,642 )</w:t>
            </w:r>
          </w:p>
        </w:tc>
      </w:tr>
      <w:tr>
        <w:trPr>
          <w:trHeight w:val="210"/>
        </w:trPr>
        <w:tc>
          <w:tcPr>
            <w:tcW w:w="67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(13,730 )</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(24,541 )</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(12,728 )</w:t>
            </w: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Payment of excise tax on repurchased shares of common stock</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(205 )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 withholdings paid related to net share settlements</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(759 )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(1,845 )</w:t>
            </w:r>
          </w:p>
        </w:tc>
      </w:tr>
      <w:tr>
        <w:trPr>
          <w:trHeight w:val="20"/>
        </w:trPr>
        <w:tc>
          <w:tcPr>
            <w:tcW w:w="67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(13,933 )</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(24,932 )</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(13,734 )</w:t>
            </w:r>
          </w:p>
        </w:tc>
      </w:tr>
      <w:tr>
        <w:trPr>
          <w:trHeight w:val="20"/>
        </w:trPr>
        <w:tc>
          <w:tcPr>
            <w:tcW w:w="6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(15,689 )</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(24,484 )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-2691130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-2691130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-1567815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-1567815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-736600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-736600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ind w:left="424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FEBRUARY 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Destination XL Group, Inc. (collectively with its subsidiaries referred to as the “Company”) is the largest specialty retailer in the United States of big + tall men’s clothing and footwear. The Company operates under the trade names of Destination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Big + Tall, DXL Men’s Apparel, DXL Outlets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February 1, 2025, the Company operated 247 DXL stores, 7 Casual Male XL stores, 19 Casual Male XL outlets and 15 DXL outlets located throughout the United States, including an e-commerce site, www.dxl.com, and a mobile app.</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accounts, transactions and profits are eliminated.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consistent with its integrated commerce business approach. See Note M,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fiscal year is a 52-week or 53-week period ending on the Saturday closest to January 31. Fiscal 2024 and fiscal 2022 were each 52-week periods, which ended on February 1, 2025 and January 28, 2023, respectively. Fiscal 2023 was a 53-week period, which ended on February 3,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our cash and cash equivalents balances. In addition, its cash and cash equivalents and short-term investments include money market accounts with Citizens Bank, N.A. and investments in U.S. government-backed securities.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primarily include amounts due for rebates from certain vendors. For fiscal 2024, fiscal 2023 and fiscal 2022, the Company did not incur any losses on its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The carrying amounts of cash and cash equivalents, short-term investments, accounts receivable, accounts payable and accrued expenses approximate fair value because of the short maturity of these instruments. See Note K,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defines fair value, establishes a framework for measuring fair value and enhances disclosures about fair value measurements.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fair value hierarchy. See </w:t>
      </w: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xml:space="preserve">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inventories are valued at the lower of cost or market, using a weighted-average cost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ectPr>
          <w:pgSz w:w="11900" w:h="16838" w:orient="portrait"/>
          <w:cols w:equalWidth="0" w:num="1">
            <w:col w:w="11240"/>
          </w:cols>
          <w:pgMar w:left="320" w:top="1211" w:right="339" w:bottom="1440" w:gutter="0" w:footer="0" w:header="0"/>
        </w:sectPr>
      </w:pP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Equipment</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Hardware and software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to ten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useful lives or related lease term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to seven years</w:t>
      </w:r>
    </w:p>
    <w:p>
      <w:pPr>
        <w:spacing w:after="0" w:line="200" w:lineRule="exact"/>
        <w:rPr>
          <w:sz w:val="20"/>
          <w:szCs w:val="20"/>
          <w:color w:val="auto"/>
        </w:rPr>
      </w:pPr>
    </w:p>
    <w:p>
      <w:pPr>
        <w:sectPr>
          <w:pgSz w:w="11900" w:h="16838" w:orient="portrait"/>
          <w:cols w:equalWidth="0" w:num="2">
            <w:col w:w="5380" w:space="720"/>
            <w:col w:w="5140"/>
          </w:cols>
          <w:pgMar w:left="320" w:top="1211" w:right="3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Domain Name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2018, the Company purchased the rights to the domain name “dxl.com.” The domain name has a carrying value of $1.2 million and is considered an indefinite-lived asset. At each reporting period, management analyzes current events and circumstances to determine whether the indefinite life classification continues to be valid.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There were no deferred direct response costs at February 1, 2025 and February 3, 2024. Advertising expense, which is included in selling, general and administrative expenses, was $31.8 million, $30.9 million and $32.5 million for fiscal 2024, fiscal 2023 and fiscal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Company’s accounting policies with respect to revenue recognition are discussed in Note B, </w:t>
      </w:r>
      <w:r>
        <w:rPr>
          <w:rFonts w:ascii="Times New Roman" w:cs="Times New Roman" w:eastAsia="Times New Roman" w:hAnsi="Times New Roman"/>
          <w:sz w:val="18"/>
          <w:szCs w:val="18"/>
          <w:i w:val="1"/>
          <w:iCs w:val="1"/>
          <w:color w:val="auto"/>
        </w:rPr>
        <w:t>Revenue Recognition.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2022, the Company closed its store located in Toronto, Canada. Assets and liabilities for this store were translated into U.S. dollars at the exchange rates in effect at each balance sheet date. Stockholders’ equity was translated at applicable historical exchange rates. Income, expense and cash flow items were translated at average exchange rates during the period. Resulting translation adjustments were reported as a separate component of stockholders’ equity. Accordingly, in the fourth quarter of fiscal 2022, the Company recognized $66,000 related to the accumulated foreign currency transaction adjustment. See “</w:t>
      </w:r>
      <w:r>
        <w:rPr>
          <w:rFonts w:ascii="Times New Roman" w:cs="Times New Roman" w:eastAsia="Times New Roman" w:hAnsi="Times New Roman"/>
          <w:sz w:val="18"/>
          <w:szCs w:val="18"/>
          <w:i w:val="1"/>
          <w:iCs w:val="1"/>
          <w:color w:val="auto"/>
        </w:rPr>
        <w:t>Accumulated Other Comprehensive Income (Loss) – (“AOCI”)</w:t>
      </w:r>
      <w:r>
        <w:rPr>
          <w:rFonts w:ascii="Times New Roman" w:cs="Times New Roman" w:eastAsia="Times New Roman" w:hAnsi="Times New Roman"/>
          <w:sz w:val="18"/>
          <w:szCs w:val="18"/>
          <w:color w:val="auto"/>
        </w:rPr>
        <w:t>”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 (“AOCI”)</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includes amounts related to foreign currency and pension plans and is reported in the Consolidated Statements of Comprehensive Income (Loss). In the fourth quarter of fiscal 2023, the Company terminated its frozen retirement plans, which was the only AOCI activity. As a result, there was no remaining AOCI as of February 3,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and reclassifications from AOCI for fiscal 2023 and fiscal 2022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color w:val="auto"/>
              </w:rPr>
              <w:t>Fiscal 2023</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Fiscal 2022</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920" w:type="dxa"/>
            <w:vAlign w:val="bottom"/>
            <w:vMerge w:val="continue"/>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Retirement Plans</w:t>
            </w:r>
          </w:p>
        </w:tc>
        <w:tc>
          <w:tcPr>
            <w:tcW w:w="200" w:type="dxa"/>
            <w:vAlign w:val="bottom"/>
            <w:vMerge w:val="restart"/>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Retirement Plans</w:t>
            </w:r>
          </w:p>
        </w:tc>
        <w:tc>
          <w:tcPr>
            <w:tcW w:w="3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59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color w:val="auto"/>
              </w:rPr>
              <w:t>Currency</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beginning of fiscal year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(4,928 )</w:t>
            </w:r>
          </w:p>
        </w:tc>
        <w:tc>
          <w:tcPr>
            <w:tcW w:w="42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(5,466 )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(59 )</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(5,525 )</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before reclassifications, net of taxes</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(199 )</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Recognition of loss on retirement plan terminations, net of taxes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Recognition of accumulated foreign currency translation adjustment </w:t>
            </w:r>
            <w:r>
              <w:rPr>
                <w:rFonts w:ascii="Times New Roman" w:cs="Times New Roman" w:eastAsia="Times New Roman" w:hAnsi="Times New Roman"/>
                <w:sz w:val="21"/>
                <w:szCs w:val="21"/>
                <w:color w:val="auto"/>
                <w:vertAlign w:val="superscript"/>
              </w:rPr>
              <w:t>(2)</w:t>
            </w: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20" w:type="dxa"/>
            <w:vAlign w:val="bottom"/>
            <w:shd w:val="clear" w:color="auto" w:fill="CFF0FC"/>
          </w:tcPr>
          <w:p>
            <w:pPr>
              <w:ind w:left="140"/>
              <w:spacing w:after="0" w:line="175"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net of taxes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196"/>
        </w:trPr>
        <w:tc>
          <w:tcPr>
            <w:tcW w:w="59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for the period</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end of fiscal year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-685165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-685165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-685165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-161925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-161925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-161925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2023, the Company terminated its pension plan and SERP and all obligations were settled through the purchase of nonparticipating annuities. Accordingly, the Company recognized the unrealized loss of its pension plans of $5.7 million, which is reflected in the "Loss from Termination of Retirement Plans" on the Consolidated Statement of Operations. The corresponding tax effect of $0.6 million was recognized and is reflected as part of the income tax provision.</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closing of its remaining store in Toronto, Canada, in fiscal 2022, the Company recognized the accumulated foreign currency translation adjustment as an expense.</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through the date of settlement of the unrecognized (gain)/loss on retirement plans, which was charged to selling, general and administrative expense on the Consolidated Statements of Operations for all periods presented. The amortization of the unrecognized loss was $102,000, with a corresponding tax benefit of $27,000 for fiscal 2023. For fiscal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7" w:name="page48"/>
    <w:bookmarkEnd w:id="47"/>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 recognized income of $39,000, with a corresponding tax provision of $9,000, as a result of a change in amortization from average remaining future service to average remaining lifetime.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 See Note F, </w:t>
      </w:r>
      <w:r>
        <w:rPr>
          <w:rFonts w:ascii="Times New Roman" w:cs="Times New Roman" w:eastAsia="Times New Roman" w:hAnsi="Times New Roman"/>
          <w:sz w:val="18"/>
          <w:szCs w:val="18"/>
          <w:i w:val="1"/>
          <w:iCs w:val="1"/>
          <w:color w:val="auto"/>
        </w:rPr>
        <w:t>Income Taxes.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2024, fiscal 2023 and fiscal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multiple state and foreign jurisdictions. The Company has concluded all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matters for years through fiscal 2001, with remaining fiscal years subject to income tax examination by federal tax authorities.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 average number of shares of common stock outstanding during the respective period. Diluted earnings per share is determined by giving effect to unvested shares of deferred stock and restricted stock units ("RSUs") and the exercise of stock options using the treasury stock method. The following table provides a reconciliation of the number of shares outstanding for basic and diluted earnings per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color w:val="auto"/>
              </w:rPr>
              <w:t>February 1, 2025</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FISCAL YEARS ENDED</w:t>
            </w: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January 28, 2023</w:t>
            </w:r>
          </w:p>
        </w:tc>
        <w:tc>
          <w:tcPr>
            <w:tcW w:w="0" w:type="dxa"/>
            <w:vAlign w:val="bottom"/>
          </w:tcPr>
          <w:p>
            <w:pPr>
              <w:spacing w:after="0"/>
              <w:rPr>
                <w:sz w:val="1"/>
                <w:szCs w:val="1"/>
                <w:color w:val="auto"/>
              </w:rPr>
            </w:pPr>
          </w:p>
        </w:tc>
      </w:tr>
      <w:tr>
        <w:trPr>
          <w:trHeight w:val="17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February 3, 2024</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Basic weighted average common shares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61,018</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equivalents – stock options,</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5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2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stock and RSUs</w:t>
            </w:r>
          </w:p>
        </w:tc>
        <w:tc>
          <w:tcPr>
            <w:tcW w:w="1360" w:type="dxa"/>
            <w:vAlign w:val="bottom"/>
            <w:vMerge w:val="continue"/>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60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64,305</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-281940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-281940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stock options, RSUs, or deferred stock had an anti-dilutive effect.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color w:val="auto"/>
              </w:rPr>
              <w:t>February 1, 2025</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FISCAL YEARS ENDED</w:t>
            </w: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January 28, 2023</w:t>
            </w:r>
          </w:p>
        </w:tc>
        <w:tc>
          <w:tcPr>
            <w:tcW w:w="0" w:type="dxa"/>
            <w:vAlign w:val="bottom"/>
          </w:tcPr>
          <w:p>
            <w:pPr>
              <w:spacing w:after="0"/>
              <w:rPr>
                <w:sz w:val="1"/>
                <w:szCs w:val="1"/>
                <w:color w:val="auto"/>
              </w:rPr>
            </w:pPr>
          </w:p>
        </w:tc>
      </w:tr>
      <w:tr>
        <w:trPr>
          <w:trHeight w:val="17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February 3, 2024</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(time-vested)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(time-vested)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$4.48 -$7.43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were 573,000 shares of unvested performance stock units for fiscal 2024 and fiscal 2023 and 240,000 shares in fiscal 2022. Performance-based awards are included in the computation of basic and diluted earnings per share if, and when, the respective performance targets are achieved. In addition, deferred stock of 479,700 shares in fiscal 2024 and 435,568 shares in fiscal 2023 and fiscal 2022 were excluded from basic earnings per share. Outstanding shares 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stock are not considered issued and outstanding until the vesting date of the deferral period and are excluded from basic earnings per share until such shares are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requires measurement of compensation cost for all stock awards at fair value on the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 derived from using the Black-Scholes model is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outstanding performance stock units. The fair value and derived service periods of the performance stock units were calculated using the Monte Carlo model. See Note I, </w:t>
      </w:r>
      <w:r>
        <w:rPr>
          <w:rFonts w:ascii="Times New Roman" w:cs="Times New Roman" w:eastAsia="Times New Roman" w:hAnsi="Times New Roman"/>
          <w:sz w:val="18"/>
          <w:szCs w:val="18"/>
          <w:i w:val="1"/>
          <w:iCs w:val="1"/>
          <w:color w:val="auto"/>
        </w:rPr>
        <w:t>Stock Compensation Plans</w:t>
      </w:r>
      <w:r>
        <w:rPr>
          <w:rFonts w:ascii="Times New Roman" w:cs="Times New Roman" w:eastAsia="Times New Roman" w:hAnsi="Times New Roman"/>
          <w:sz w:val="18"/>
          <w:szCs w:val="18"/>
          <w:color w:val="auto"/>
        </w:rPr>
        <w:t xml:space="preserve"> for more discussion regarding the performance metrics and the valuation assumptions used to calculate the fair value and derived service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$2.6 million, $2.5 million and $1.4 million for fiscal 2024, fiscal 2023 and fiscal 2022, respectively. The increase in stock-based compensation in fiscal 2024 and fiscal 2023 was primarily due to the grant of performance stock units in August 2023 that were expensed over the derived service period, which was determined to be an average of 12.5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stock-based compensation cost related to time-vested awards not yet recognized as of February 1, 2025 was approximately $2.2 million and will be expensed over a weighted average remaining life of approximately 30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grant-date fair value of awards vested was $1.3 million, $1.2 million and $2.5 million for fiscal 2024, fiscal 2023 and fiscal 2022,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excess tax benefits resulting from the exercise of stock options or the release of restricted shares were recognized as a component of income tax expense in the period in which they occurred.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 - Stock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non-vested share is equal to the closing price of the Company’s stock on the date of grant.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grants of stock options in fiscal 2024. For fiscal 2023 and fiscal 2022, the fair value of each option grant was estimated on the date of grant using the Black-Scholes option-pricing model based on the assumptions in the table below. The weighted-average fair value of options granted and non-vested shares granted shown below does not include shares granted to directors in lieu of compensation.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Fiscal 2024</w:t>
            </w:r>
          </w:p>
        </w:tc>
        <w:tc>
          <w:tcPr>
            <w:tcW w:w="160" w:type="dxa"/>
            <w:vAlign w:val="bottom"/>
          </w:tcPr>
          <w:p>
            <w:pPr>
              <w:spacing w:after="0"/>
              <w:rPr>
                <w:sz w:val="14"/>
                <w:szCs w:val="14"/>
                <w:color w:val="auto"/>
              </w:rPr>
            </w:pPr>
          </w:p>
        </w:tc>
        <w:tc>
          <w:tcPr>
            <w:tcW w:w="1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Fiscal 2023</w:t>
            </w:r>
          </w:p>
        </w:tc>
        <w:tc>
          <w:tcPr>
            <w:tcW w:w="160" w:type="dxa"/>
            <w:vAlign w:val="bottom"/>
          </w:tcPr>
          <w:p>
            <w:pPr>
              <w:spacing w:after="0"/>
              <w:rPr>
                <w:sz w:val="14"/>
                <w:szCs w:val="14"/>
                <w:color w:val="auto"/>
              </w:rPr>
            </w:pPr>
          </w:p>
        </w:tc>
        <w:tc>
          <w:tcPr>
            <w:tcW w:w="1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Fiscal 2022</w:t>
            </w: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86.3% - 92.1%</w:t>
            </w:r>
          </w:p>
        </w:tc>
        <w:tc>
          <w:tcPr>
            <w:tcW w:w="1980" w:type="dxa"/>
            <w:vAlign w:val="bottom"/>
            <w:gridSpan w:val="3"/>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87.9% - 123.7%</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3.71%-4.42%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- 4.41%</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7"/>
              </w:rPr>
              <w:t>2.5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- 3.5</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$3.24</w:t>
            </w:r>
          </w:p>
        </w:tc>
        <w:tc>
          <w:tcPr>
            <w:tcW w:w="1980" w:type="dxa"/>
            <w:vAlign w:val="bottom"/>
            <w:gridSpan w:val="3"/>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$3.58</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non-vested shares granted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$3.48</w:t>
            </w:r>
          </w:p>
        </w:tc>
        <w:tc>
          <w:tcPr>
            <w:tcW w:w="1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$4.47</w:t>
            </w:r>
          </w:p>
        </w:tc>
        <w:tc>
          <w:tcPr>
            <w:tcW w:w="19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$5.28</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an impairment charge of $1.3 million and $0.1 million in fiscal 2024 and fiscal 2023, respectively, and recorded a net gain of $0.2 million in fiscal 2022.</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the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("ROU") asset. If the first step of the long-lived asset impairment test concludes that the carrying amount of the asset is not recoverable, we perform the second step of the long-lived asset impairment test by comparing the fair value of the asset to its carrying amount and recognizing an impairment charge for the amount by which the carrying amount exceeds the fair value. The fair value of ROU asset is estimated using an income approach based on management’s forecast of future cash flows that could be derived based on the sublease market rent. The amount of impairment, if any, is measured based on projected discounted future cash flows using a discount rate reflecting the Company’s average cost of funds. With respect to the impairment charges taken on operating lease ROU assets, if the Company subsequently makes a decision to close previously impaired stores and a gain is realized as a result of the reevaluation of the existing lease liabilities, to the extent the gain related to previously recorded impairment charges against the ROU assets, the gain will be included as an offset to asset impairment charges with the remainder included as a reduction in store occupancy costs.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fiscal 2024, the Company recorded a total impairment charge of $1.3 million related to the write-down of certain store assets and a total asset impairment charge of $0.1 million in fiscal 2023, which included a write-down for certain store and operating lease ROU assets. For fiscal 2022, the Company recognized a non-cash gain of $0.6 million, related to the Company's decision to close certain retail stores, with $0.4 million of the gain included as an offset to asset impairment charges and the remaining $0.2 million of the gain included as a reduction of store occupancy costs. Partially offsetting the gain of $0.4 million for fiscal 2022, was an impairment charge of $0.2 million related to the write-down of store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Topic 842, </w:t>
      </w:r>
      <w:r>
        <w:rPr>
          <w:rFonts w:ascii="Times New Roman" w:cs="Times New Roman" w:eastAsia="Times New Roman" w:hAnsi="Times New Roman"/>
          <w:sz w:val="18"/>
          <w:szCs w:val="18"/>
          <w:i w:val="1"/>
          <w:iCs w:val="1"/>
          <w:color w:val="auto"/>
        </w:rPr>
        <w:t>Lessors – Certain Leases with Variable Lease Payments</w:t>
      </w:r>
      <w:r>
        <w:rPr>
          <w:rFonts w:ascii="Times New Roman" w:cs="Times New Roman" w:eastAsia="Times New Roman" w:hAnsi="Times New Roman"/>
          <w:sz w:val="18"/>
          <w:szCs w:val="18"/>
          <w:color w:val="auto"/>
        </w:rPr>
        <w:t xml:space="preserve"> will not be applied to certain, if any, non-store leases, with a term of 12 months or less, recognizing those lease payments on a straight-line basis over the lease term. At February 1, 2025, the Company had no short-term leases.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(“ASU 2023-07”), </w:t>
      </w:r>
      <w:r>
        <w:rPr>
          <w:rFonts w:ascii="Times New Roman" w:cs="Times New Roman" w:eastAsia="Times New Roman" w:hAnsi="Times New Roman"/>
          <w:sz w:val="18"/>
          <w:szCs w:val="18"/>
          <w:color w:val="212121"/>
        </w:rPr>
        <w:t xml:space="preserve">which requires all public entities to provide enhanced disclosures about significant segment expenses. The amendments in </w:t>
      </w:r>
      <w:r>
        <w:rPr>
          <w:rFonts w:ascii="Times New Roman" w:cs="Times New Roman" w:eastAsia="Times New Roman" w:hAnsi="Times New Roman"/>
          <w:sz w:val="18"/>
          <w:szCs w:val="18"/>
          <w:color w:val="252525"/>
        </w:rPr>
        <w:t>ASU 2023-07</w:t>
      </w:r>
      <w:r>
        <w:rPr>
          <w:rFonts w:ascii="Times New Roman" w:cs="Times New Roman" w:eastAsia="Times New Roman" w:hAnsi="Times New Roman"/>
          <w:sz w:val="18"/>
          <w:szCs w:val="18"/>
          <w:color w:val="212121"/>
        </w:rPr>
        <w:t xml:space="preserve"> are to be applied retrospectively and are effective for our annual financial statements starting in fiscal 2024 and interim periods starting in fiscal 2025, with early adoption permitted. Accordingly, the Company has adopted ASU 2023-07 for the year ended February 1, 2025, retrospectively, and has expanded its segment </w:t>
      </w:r>
      <w:r>
        <w:rPr>
          <w:rFonts w:ascii="Times New Roman" w:cs="Times New Roman" w:eastAsia="Times New Roman" w:hAnsi="Times New Roman"/>
          <w:sz w:val="18"/>
          <w:szCs w:val="18"/>
          <w:color w:val="000000"/>
        </w:rPr>
        <w:t xml:space="preserve">reporting disclosures in accordance with this new standard. See Note M, </w:t>
      </w:r>
      <w:r>
        <w:rPr>
          <w:rFonts w:ascii="Times New Roman" w:cs="Times New Roman" w:eastAsia="Times New Roman" w:hAnsi="Times New Roman"/>
          <w:sz w:val="18"/>
          <w:szCs w:val="18"/>
          <w:i w:val="1"/>
          <w:iCs w:val="1"/>
          <w:color w:val="000000"/>
        </w:rPr>
        <w:t>Segment Disclosures</w:t>
      </w:r>
      <w:r>
        <w:rPr>
          <w:rFonts w:ascii="Times New Roman" w:cs="Times New Roman" w:eastAsia="Times New Roman" w:hAnsi="Times New Roman"/>
          <w:sz w:val="18"/>
          <w:szCs w:val="18"/>
          <w:color w:val="000000"/>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July 2023, the FASB issued ASU 2023-03, </w:t>
      </w:r>
      <w:r>
        <w:rPr>
          <w:rFonts w:ascii="Times New Roman" w:cs="Times New Roman" w:eastAsia="Times New Roman" w:hAnsi="Times New Roman"/>
          <w:sz w:val="18"/>
          <w:szCs w:val="18"/>
          <w:i w:val="1"/>
          <w:iCs w:val="1"/>
          <w:color w:val="auto"/>
        </w:rPr>
        <w:t>Presentation of Financial Statements (Topic 205), Income Statement - 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w:t>
      </w:r>
      <w:r>
        <w:rPr>
          <w:rFonts w:ascii="Times New Roman" w:cs="Times New Roman" w:eastAsia="Times New Roman" w:hAnsi="Times New Roman"/>
          <w:sz w:val="18"/>
          <w:szCs w:val="18"/>
          <w:color w:val="auto"/>
        </w:rPr>
        <w:t>("ASU 2023-03"),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amends or supersedes various SEC paragraphs within the Accounting Standards Codification to conform to past SEC announcements and guidance issued by the SEC. The ASU does not provide any new guidance, and as such, there is no transition effective date. ASU 2023-03 is not expected to have a material impact on the Company's Consolidated Financial Statements.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 in 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212121"/>
        </w:rPr>
        <w:t>("ASU 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incorporates several disclosure and presentation requirements currently residing in Regulations S-X and S-K. The amendments will be applied prospectively and are effective when the SEC removes the related requirements from Regulations S-X or S-K. Any amendments that the SEC does not remove by June 30, 2027 will not be effective. The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is not expected to have a material impact on the Company’s Consolidated Financial Statements or related disclosures because the Company is currently subjected to the reporting requirements of Regulations S-X and S-K.</w:t>
      </w:r>
    </w:p>
    <w:p>
      <w:pPr>
        <w:spacing w:after="0" w:line="1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enhances transparency about income tax information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improvements to income tax disclosures primarily related to the rate reconciliation and income taxes paid and to improve the effectiveness of income tax disclosures. This ASU will be effective in fiscal 2025, and allows for adoption on a prospective basis, with a retrospective option. Early adoption is permitted. We are </w:t>
      </w:r>
      <w:r>
        <w:rPr>
          <w:rFonts w:ascii="Times New Roman" w:cs="Times New Roman" w:eastAsia="Times New Roman" w:hAnsi="Times New Roman"/>
          <w:sz w:val="18"/>
          <w:szCs w:val="18"/>
          <w:color w:val="000000"/>
        </w:rPr>
        <w:t>currently evaluating the impact of adopting this accounting standard on our financial statements or related disclosures.</w:t>
      </w:r>
    </w:p>
    <w:p>
      <w:pPr>
        <w:spacing w:after="0" w:line="18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March 2024, the SEC issued its final rule that requires registrants to provide climate disclosures in their annual reports and registration statements. The new rule requires that registrants provide information about specified financial statement effects of severe weather events and other natural conditions, certain carbon offsets and renewable energy certificates, and material impacts on financial estimates and assumptions in the footnotes to financial statements. The rule also requires additional disclosures outside of the financial statements including governance and oversight of material climate-related risks, the material impact of climate risks on the company's strategy, business model and outlook, risk management processes for material climate-related risks and material climate targets and goals. The Company is currently evaluating the new rule and determining the impact of the additional disclosure requirements, as well as the data needed and the source of that data to comply with required disclosures. The new rule is currently effective for fiscal years beginning in 2026 for accelerated filers, with certain disclosures for greenhouse gas emissions beginning in fiscal years beginning in 2028. The rule was scheduled to become effective May 28, 2024; however, the SEC has voluntarily stayed the rule's effective date pending judicial review. Depending on when the legal challenges are resolved, the mandatory compliance date may be retained, delayed or completely vacated.</w:t>
      </w:r>
    </w:p>
    <w:p>
      <w:pPr>
        <w:spacing w:after="0" w:line="1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w:t>
      </w:r>
      <w:r>
        <w:rPr>
          <w:rFonts w:ascii="Times New Roman" w:cs="Times New Roman" w:eastAsia="Times New Roman" w:hAnsi="Times New Roman"/>
          <w:sz w:val="18"/>
          <w:szCs w:val="18"/>
          <w:color w:val="auto"/>
        </w:rPr>
        <w:t>20-40), which will require disclosure, in the notes to financial statements, of specified information about certain costs and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amounts fo</w:t>
      </w:r>
      <w:r>
        <w:rPr>
          <w:rFonts w:ascii="Times New Roman" w:cs="Times New Roman" w:eastAsia="Times New Roman" w:hAnsi="Times New Roman"/>
          <w:sz w:val="18"/>
          <w:szCs w:val="18"/>
          <w:color w:val="212121"/>
        </w:rPr>
        <w:t>r (a) purchases of inventory, (b) employee compensation, (c) depreciation and (d) intangible asset amortization, included in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relevant expense caption. This ASU will be effective for our annual financial statements starting in fiscal 2027 and interim periods starting in fiscal 2028. We are currently evaluating the impact of this accounting standard on our financial statement presentation and its related disclosures.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fiscal 2024 have had or are expected to have a significant impact on the Company’s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REVENUE RECOGNITION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Revenue is recognized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operates as a retailer of big + tall men’s clothing, which includes sales through its stores and direct channels. Revenue is recognized by the operating segment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8"/>
          <w:szCs w:val="18"/>
          <w:color w:val="auto"/>
        </w:rPr>
        <w:t>that initiates a customer’s order. Store sales are defined as sales that originate and are fulfilled directly at the store level. Direct sales are defined as sales that originate online, including those initiated online at the store level, on the Company's website or on third-party marketplaces. Sales from the wholesale business, which the Company operated until the first quarter of fiscal 2022, were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Under ASC 606, these loyalty points provide the customer with a material right and a distinct performance obligation with revenue deferred and recognized when the points are redeemed. The cycle of earning and redeeming loyalty points is generally under one year in duration. The Company's legacy loyalty program ended at the end of fiscal 2024 and all unused loyalty points and certificates were expired. The Company's new loyalty program launched at the start of fiscal 2025. As such, at February 1, 2025 there was no outstanding loyalty accrual. The loyalty accrual, net of breakage, at February 3, 2024 was $1.7 million.</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$3.3 million and $3.2 million at February 1, 2025 and February 3, 2024, respectively.</w:t>
      </w:r>
    </w:p>
    <w:p>
      <w:pPr>
        <w:spacing w:after="0" w:line="7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A, the Company’s business at February 1, 2025 consists of one reportable segment. Substantially all of the Company’s revenue is generated from its stores and direct businesses. In the first quarter of fiscal 2022, the Company ended its relationship with its primary wholesale customer. Accordingly, the Company has determined that the following sales channels depict the nature, amount, timing and uncertainty of how revenue and cash flows are affected by economic factors for each of the following fiscal years: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Fiscal 2024</w:t>
            </w: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Fiscal 2023</w:t>
            </w:r>
          </w:p>
        </w:tc>
        <w:tc>
          <w:tcPr>
            <w:tcW w:w="1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Fiscal 2022</w:t>
            </w:r>
          </w:p>
        </w:tc>
        <w:tc>
          <w:tcPr>
            <w:tcW w:w="1100" w:type="dxa"/>
            <w:vAlign w:val="bottom"/>
          </w:tcPr>
          <w:p>
            <w:pPr>
              <w:spacing w:after="0"/>
              <w:rPr>
                <w:sz w:val="20"/>
                <w:szCs w:val="20"/>
                <w:color w:val="auto"/>
              </w:rPr>
            </w:pPr>
          </w:p>
        </w:tc>
      </w:tr>
      <w:tr>
        <w:trPr>
          <w:trHeight w:val="210"/>
        </w:trPr>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Store sales</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325,713</w:t>
            </w: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69.7%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358,710</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68.7%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375,618</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68.9%</w:t>
            </w:r>
          </w:p>
        </w:tc>
      </w:tr>
      <w:tr>
        <w:trPr>
          <w:trHeight w:val="216"/>
        </w:trPr>
        <w:tc>
          <w:tcPr>
            <w:tcW w:w="2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sales</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141,302</w:t>
            </w:r>
          </w:p>
        </w:tc>
        <w:tc>
          <w:tcPr>
            <w:tcW w:w="1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30.3%</w:t>
            </w:r>
          </w:p>
        </w:tc>
        <w:tc>
          <w:tcPr>
            <w:tcW w:w="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163,105</w:t>
            </w:r>
          </w:p>
        </w:tc>
        <w:tc>
          <w:tcPr>
            <w:tcW w:w="1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31.3%</w:t>
            </w: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169,821</w:t>
            </w:r>
          </w:p>
        </w:tc>
        <w:tc>
          <w:tcPr>
            <w:tcW w:w="1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31.1%</w:t>
            </w: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segment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545,439</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100.0%</w:t>
            </w:r>
          </w:p>
        </w:tc>
      </w:tr>
      <w:tr>
        <w:trPr>
          <w:trHeight w:val="216"/>
        </w:trPr>
        <w:tc>
          <w:tcPr>
            <w:tcW w:w="2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segment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100" w:type="dxa"/>
            <w:vAlign w:val="bottom"/>
            <w:tcBorders>
              <w:bottom w:val="single" w:sz="8" w:color="CFF0FC"/>
            </w:tcBorders>
            <w:shd w:val="clear" w:color="auto" w:fill="CFF0FC"/>
          </w:tcPr>
          <w:p>
            <w:pPr>
              <w:spacing w:after="0"/>
              <w:rPr>
                <w:sz w:val="18"/>
                <w:szCs w:val="18"/>
                <w:color w:val="auto"/>
              </w:rPr>
            </w:pPr>
          </w:p>
        </w:tc>
      </w:tr>
      <w:tr>
        <w:trPr>
          <w:trHeight w:val="21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1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1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545,838</w:t>
            </w:r>
          </w:p>
        </w:tc>
        <w:tc>
          <w:tcPr>
            <w:tcW w:w="1100" w:type="dxa"/>
            <w:vAlign w:val="bottom"/>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-453390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-453390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-453390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 the dates indicated:</w:t>
      </w:r>
    </w:p>
    <w:p>
      <w:pPr>
        <w:spacing w:after="0" w:line="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3"/>
                <w:szCs w:val="1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February 1, 2025</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February 3, 2024</w:t>
            </w:r>
          </w:p>
        </w:tc>
        <w:tc>
          <w:tcPr>
            <w:tcW w:w="80" w:type="dxa"/>
            <w:vAlign w:val="bottom"/>
          </w:tcPr>
          <w:p>
            <w:pPr>
              <w:spacing w:after="0"/>
              <w:rPr>
                <w:sz w:val="13"/>
                <w:szCs w:val="13"/>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83,491</w:t>
            </w:r>
          </w:p>
        </w:tc>
        <w:tc>
          <w:tcPr>
            <w:tcW w:w="52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75,987</w:t>
            </w:r>
          </w:p>
        </w:tc>
        <w:tc>
          <w:tcPr>
            <w:tcW w:w="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w:t>
            </w:r>
          </w:p>
        </w:tc>
        <w:tc>
          <w:tcPr>
            <w:tcW w:w="8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131,822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Hardware and software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111,884</w:t>
            </w:r>
          </w:p>
        </w:tc>
        <w:tc>
          <w:tcPr>
            <w:tcW w:w="8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343,170</w:t>
            </w:r>
          </w:p>
        </w:tc>
        <w:tc>
          <w:tcPr>
            <w:tcW w:w="8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311,058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299,932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56,982</w:t>
            </w:r>
          </w:p>
        </w:tc>
        <w:tc>
          <w:tcPr>
            <w:tcW w:w="52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43,238</w:t>
            </w:r>
          </w:p>
        </w:tc>
        <w:tc>
          <w:tcPr>
            <w:tcW w:w="8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-453390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$13.9 million, $13.8 million and $15.4 million for fiscal 2024, fiscal 2023, and fiscal 2022,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2" w:name="page53"/>
    <w:bookmarkEnd w:id="52"/>
    <w:p>
      <w:pPr>
        <w:ind w:right="180"/>
        <w:spacing w:after="0" w:line="282" w:lineRule="auto"/>
        <w:rPr>
          <w:sz w:val="20"/>
          <w:szCs w:val="20"/>
          <w:color w:val="auto"/>
        </w:rPr>
      </w:pPr>
      <w:r>
        <w:rPr>
          <w:rFonts w:ascii="Times New Roman" w:cs="Times New Roman" w:eastAsia="Times New Roman" w:hAnsi="Times New Roman"/>
          <w:sz w:val="18"/>
          <w:szCs w:val="18"/>
          <w:color w:val="auto"/>
        </w:rPr>
        <w:t>Additions to property and equipment that were included in accounts payable and accrued expenses at February 1, 2025, February 3, 2024 and January 28, 2023 were $3.5 million, $2.3 million, and $1.7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DEBT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Citizens Bank, N.A.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2021, the Company entered into a credit facility with Citizens Bank, N.A. On April 20, 2023, the Company entered into the First Amendment to Credit Agreement, which provided for the replacement of the London Interbank Offering Rate (“LIBOR”) interest rate options with the secured overnight financing rate ("SOFR") based options (as amended, the "Credit Facility").</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Credit Facility provides for a $125.0 million secured, asset-based credit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Effective April 20, 2023,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8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February 1, 2025, the Company had no outstanding borrowings and availability of $64.7 million under the Credit Facility. There were no borrowings under the Credit Facility during fiscal 2024, resulting in an average unused excess availability of approximately $73.6 million. Outstanding standby letters of credit were $4.2 million at February 1, 2025. At February 1, 2025, the Company's prime interest rate was 7.75%.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interest and fees totaling $0.4 million, $0.3 million and $0.4 million for fiscal 2024, fiscal 2023 and fiscal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10 years, with options that usually permit renewal for additional five-year periods. The initial term of the lease for the corporate headquarters is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February 1, 2025, the Company’s operating leases liabilities represent the present value of the remaining future minimum lease payments updated based on concessions and lease modifications, as applicable.</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lease costs for fiscal 2024, fiscal 2023 and fiscal 2022: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7"/>
        </w:trPr>
        <w:tc>
          <w:tcPr>
            <w:tcW w:w="4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2024</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Fiscal 2023</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gridSpan w:val="4"/>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Fiscal 2022</w:t>
            </w:r>
          </w:p>
        </w:tc>
      </w:tr>
      <w:tr>
        <w:trPr>
          <w:trHeight w:val="216"/>
        </w:trPr>
        <w:tc>
          <w:tcPr>
            <w:tcW w:w="4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48,838</w:t>
            </w:r>
          </w:p>
        </w:tc>
        <w:tc>
          <w:tcPr>
            <w:tcW w:w="8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45,018</w:t>
            </w:r>
          </w:p>
        </w:tc>
        <w:tc>
          <w:tcPr>
            <w:tcW w:w="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44,297</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13,288</w:t>
            </w:r>
          </w:p>
        </w:tc>
        <w:tc>
          <w:tcPr>
            <w:tcW w:w="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12,849</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12,885</w:t>
            </w:r>
          </w:p>
        </w:tc>
        <w:tc>
          <w:tcPr>
            <w:tcW w:w="100" w:type="dxa"/>
            <w:vAlign w:val="bottom"/>
          </w:tcPr>
          <w:p>
            <w:pPr>
              <w:spacing w:after="0"/>
              <w:rPr>
                <w:sz w:val="18"/>
                <w:szCs w:val="18"/>
                <w:color w:val="auto"/>
              </w:rPr>
            </w:pPr>
          </w:p>
        </w:tc>
      </w:tr>
      <w:tr>
        <w:trPr>
          <w:trHeight w:val="249"/>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62,126</w:t>
            </w:r>
          </w:p>
        </w:tc>
        <w:tc>
          <w:tcPr>
            <w:tcW w:w="3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57,867</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57,182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its leases.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balance sheet information related to leases for fiscal 2024, fiscal 2023 and fiscal 2022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Fiscal 2024</w:t>
            </w:r>
          </w:p>
        </w:tc>
        <w:tc>
          <w:tcPr>
            <w:tcW w:w="260" w:type="dxa"/>
            <w:vAlign w:val="bottom"/>
          </w:tcPr>
          <w:p>
            <w:pPr>
              <w:spacing w:after="0"/>
              <w:rPr>
                <w:sz w:val="17"/>
                <w:szCs w:val="17"/>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Fiscal 2023</w:t>
            </w:r>
          </w:p>
        </w:tc>
        <w:tc>
          <w:tcPr>
            <w:tcW w:w="180" w:type="dxa"/>
            <w:vAlign w:val="bottom"/>
          </w:tcPr>
          <w:p>
            <w:pPr>
              <w:spacing w:after="0"/>
              <w:rPr>
                <w:sz w:val="17"/>
                <w:szCs w:val="17"/>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Fiscal 2022</w:t>
            </w:r>
          </w:p>
        </w:tc>
      </w:tr>
      <w:tr>
        <w:trPr>
          <w:trHeight w:val="21"/>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52,723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55,068</w:t>
            </w:r>
          </w:p>
        </w:tc>
      </w:tr>
      <w:tr>
        <w:trPr>
          <w:trHeight w:val="21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10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69,576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46,960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26,239</w:t>
            </w:r>
          </w:p>
        </w:tc>
      </w:tr>
      <w:tr>
        <w:trPr>
          <w:trHeight w:val="216"/>
        </w:trPr>
        <w:tc>
          <w:tcPr>
            <w:tcW w:w="59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 yrs.</w:t>
            </w: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 yrs.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 yrs.</w:t>
            </w:r>
          </w:p>
        </w:tc>
      </w:tr>
      <w:tr>
        <w:trPr>
          <w:trHeight w:val="21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6.33 %</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6.52 %</w:t>
            </w:r>
          </w:p>
        </w:tc>
        <w:tc>
          <w:tcPr>
            <w:tcW w:w="18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6.39 %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the undiscounted cash flows for each of the next five years and thereafter to the operating lease liabilities recorded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as of February 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45,014</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38,027</w:t>
            </w: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29,520</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219,982</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184,615</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3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February 1, 2025, the Company had entered into eight 10-year store leases that have not yet commenced with aggregated estimated future lease payments of approximately $10.2 million, which are not included in the above table. The leases are expected to commence in the first half of fiscal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standards require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Until the second quarter of fiscal 2022, the Company had maintained a full valuation allowance against its deferred tax assets since fiscal 2013. During the second quarter of fiscal 2022, the Company determined that it was more likely than not that it would be able to realize the benefit of substantially all of its deferred tax assets in the United States. In reaching this determination, the Company considered the cumulative three years of profitability, its six consecutive quarters of sales growth and profitability at the time of the assessment, its expectations regarding the generation of future taxable income and the ability to utilize the Company’s net operating loss (“NOLs”) carryforwards as well as the overall improvement in the Company's business, brand repositioning and current market position. As a result, for fiscal 2022, the valuation allowance against the Company's deferred tax assets decreased by $47.6 million, of which $31.6 million was recorded as a non-recurring tax benefit in fiscal 2022 related to the release of the valuation allowance on deferred tax assets expected to be realized in future periods. As a result of releasing substantially all of the valuation allowance against its deferred tax assets during fiscal 2022, the Company returned to a normal tax provision for fiscal 2023. At February 1, 2025 and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4" w:name="page55"/>
    <w:bookmarkEnd w:id="54"/>
    <w:p>
      <w:pPr>
        <w:ind w:right="260"/>
        <w:spacing w:after="0" w:line="282" w:lineRule="auto"/>
        <w:rPr>
          <w:sz w:val="20"/>
          <w:szCs w:val="20"/>
          <w:color w:val="auto"/>
        </w:rPr>
      </w:pPr>
      <w:r>
        <w:rPr>
          <w:rFonts w:ascii="Times New Roman" w:cs="Times New Roman" w:eastAsia="Times New Roman" w:hAnsi="Times New Roman"/>
          <w:sz w:val="18"/>
          <w:szCs w:val="18"/>
          <w:color w:val="auto"/>
        </w:rPr>
        <w:t>February 3, 2024, the Company continued to provide a valuation allowance of $1.5 million and $2.2 million, respectively, primarily against certain state and foreign NOLs.</w:t>
      </w:r>
    </w:p>
    <w:p>
      <w:pPr>
        <w:spacing w:after="0" w:line="5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As of February 1, 2025, for federal income tax purposes, the Company had net operating loss carryforwards of $3.4 million, which will expire in fiscal 2037, and net operating loss carryforwards of $39.9 million that are not subject to expiration. For state income tax purposes, the Company had $38.3 million of net operating loss carryforwards that are available to offset future taxable income, the majority of which will expire from fiscal 2025 through fiscal 2045. Additionally, the Company has $5.3 million of net operating loss carryforwards related to the Company’s operations in Canada, which will expire from fiscal 2025 through fiscal 2041.</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 As of February 1, 2025, there has been no such ownership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deferred tax assets as of February 1, 2025 and February 3, 2024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February 1, 2025</w:t>
            </w:r>
          </w:p>
        </w:tc>
        <w:tc>
          <w:tcPr>
            <w:tcW w:w="16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February 3, 2024</w:t>
            </w:r>
          </w:p>
        </w:tc>
      </w:tr>
      <w:tr>
        <w:trPr>
          <w:trHeight w:val="210"/>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40,182</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 reserves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wage tax credit carryforward</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tax credits</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18"/>
                <w:szCs w:val="18"/>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(44,212 )</w:t>
            </w:r>
          </w:p>
        </w:tc>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(35,937 )</w:t>
            </w: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(1,804 )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(985 )</w:t>
            </w:r>
          </w:p>
        </w:tc>
      </w:tr>
      <w:tr>
        <w:trPr>
          <w:trHeight w:val="210"/>
        </w:trPr>
        <w:tc>
          <w:tcPr>
            <w:tcW w:w="7260" w:type="dxa"/>
            <w:vAlign w:val="bottom"/>
            <w:tcBorders>
              <w:top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100" w:type="dxa"/>
            <w:vAlign w:val="bottom"/>
            <w:tcBorders>
              <w:top w:val="single" w:sz="8" w:color="CFF0FC"/>
            </w:tcBorders>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(1,517 )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(2,245 )</w:t>
            </w:r>
          </w:p>
        </w:tc>
      </w:tr>
      <w:tr>
        <w:trPr>
          <w:trHeight w:val="210"/>
        </w:trPr>
        <w:tc>
          <w:tcPr>
            <w:tcW w:w="7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21,533</w:t>
            </w:r>
          </w:p>
        </w:tc>
        <w:tc>
          <w:tcPr>
            <w:tcW w:w="100" w:type="dxa"/>
            <w:vAlign w:val="bottom"/>
            <w:tcBorders>
              <w:top w:val="single" w:sz="8" w:color="CFF0FC"/>
            </w:tcBorders>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-453390</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-453390</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fiscal 2024, the Company had total deferred tax assets of $67.0 million, total deferred tax liabilities of $46.1 million and a valuation allowance of $1.5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color w:val="auto"/>
              </w:rPr>
              <w:t>February 1, 2025</w:t>
            </w:r>
          </w:p>
        </w:tc>
        <w:tc>
          <w:tcPr>
            <w:tcW w:w="17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FISCAL YEARS ENDED</w:t>
            </w:r>
          </w:p>
        </w:tc>
        <w:tc>
          <w:tcPr>
            <w:tcW w:w="120" w:type="dxa"/>
            <w:vAlign w:val="bottom"/>
          </w:tcPr>
          <w:p>
            <w:pPr>
              <w:spacing w:after="0"/>
              <w:rPr>
                <w:sz w:val="13"/>
                <w:szCs w:val="13"/>
                <w:color w:val="auto"/>
              </w:rPr>
            </w:pP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January 28, 2023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February 3, 2024</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(24,794 )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(6,830 )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(31,624 )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(benefit)</w:t>
            </w:r>
          </w:p>
        </w:tc>
        <w:tc>
          <w:tcPr>
            <w:tcW w:w="28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(30,788 )</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240" w:type="dxa"/>
            <w:vAlign w:val="bottom"/>
          </w:tcPr>
          <w:p>
            <w:pPr>
              <w:spacing w:after="0"/>
              <w:rPr>
                <w:sz w:val="24"/>
                <w:szCs w:val="24"/>
                <w:color w:val="auto"/>
              </w:rPr>
            </w:pPr>
          </w:p>
        </w:tc>
        <w:tc>
          <w:tcPr>
            <w:tcW w:w="3540" w:type="dxa"/>
            <w:vAlign w:val="bottom"/>
            <w:tcBorders>
              <w:top w:val="single" w:sz="8" w:color="CFF0FC"/>
            </w:tcBorders>
          </w:tcPr>
          <w:p>
            <w:pPr>
              <w:spacing w:after="0"/>
              <w:rPr>
                <w:sz w:val="24"/>
                <w:szCs w:val="24"/>
                <w:color w:val="auto"/>
              </w:rPr>
            </w:pPr>
          </w:p>
        </w:tc>
        <w:tc>
          <w:tcPr>
            <w:tcW w:w="2820" w:type="dxa"/>
            <w:vAlign w:val="bottom"/>
            <w:tcBorders>
              <w:top w:val="single" w:sz="8" w:color="CFF0FC"/>
            </w:tcBorders>
          </w:tcPr>
          <w:p>
            <w:pPr>
              <w:jc w:val="right"/>
              <w:ind w:right="79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-1242060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-1242060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-1242060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-951230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-951230</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-951230</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-933450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is a reconciliation between the statutory and effective income tax rates in dollars for the provision (benefit) for income tax:</w:t>
      </w:r>
    </w:p>
    <w:p>
      <w:pPr>
        <w:spacing w:after="0" w:line="11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FISCAL YEARS ENDED</w:t>
            </w:r>
          </w:p>
        </w:tc>
        <w:tc>
          <w:tcPr>
            <w:tcW w:w="12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January 28, 2023</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42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February 1, 2025</w:t>
            </w: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February 3, 2024</w:t>
            </w: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at the statutory rate</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Pr>
          <w:p>
            <w:pPr>
              <w:spacing w:after="0"/>
              <w:rPr>
                <w:sz w:val="20"/>
                <w:szCs w:val="20"/>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240" w:type="dxa"/>
            <w:vAlign w:val="bottom"/>
          </w:tcPr>
          <w:p>
            <w:pPr>
              <w:spacing w:after="0"/>
              <w:rPr>
                <w:sz w:val="20"/>
                <w:szCs w:val="20"/>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deferred taxes, net of federal benefit</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440" w:type="dxa"/>
            <w:vAlign w:val="bottom"/>
          </w:tcPr>
          <w:p>
            <w:pPr>
              <w:spacing w:after="0"/>
              <w:rPr>
                <w:sz w:val="18"/>
                <w:szCs w:val="18"/>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(66 )</w:t>
            </w: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(199 )</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(1,002 )</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stranded in OCI released with termination of retirement plans</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Change in valuation allowance </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(179 )</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(47,594 )</w:t>
            </w: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 to §382 NOLs</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(1,159 )</w:t>
            </w: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(benefit)</w:t>
            </w: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(30,788 )</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20" w:right="120" w:hanging="512"/>
        <w:spacing w:after="0" w:line="26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valuation allowance during the fiscal year ended February 1, 2025 excludes the portion of the change in the valuation allowance that related to expired NOLs that were previously fully reserved. The change in the valuation allowance during the fiscal year ended January 28, 2023 included a non-recurring income tax benefit of $31.6 million in connection with the Company’s substantial release of the valuation allowance in fiscal 2022 related to the deferred tax assets expected to be realized in future periods.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A, the Company’s financial statements reflect the expected future tax consequences of uncertain tax positions that the Company has taken or expects to take on a tax return, based solely on the technical merits of the tax position.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2022, the Company had a liability for unrecognized tax benefits of $2.0 million that was associated with a prior tax position related to exiting the Company’s direct business in Europe during fiscal 2013. The amount of unrecognized tax benefits was presented as a reduction in the reported amounts of the Company’s federal and state net operating losses carryforwards. No penalties or interest were accrued on this liability. In fiscal 2023, the Company changed this position in its tax return and determined that the liability was no longer necessary.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tax payments of $1.1 million, $1.6 million, and $0.5 million for fiscal 2024, fiscal 2023, and fiscal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February 1, 2025 the Company was obligated under operating leases covering store and office space, and certain equipment for future minimum rentals. See Note 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the schedule of future remaining lease obligations. In addition to its lease obligations, the Company is also contractually committed pursuant to a merchandise purchase obligation to meet minimum purchases of $10.0 million annually through fiscal 2028.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that arise in the ordinary course of business. When a loss is considered probable, the Company records an accrual based on the reasonably estimable loss or range of loss. Costs related to such legal proceedings are expensed and reported in selling, general and administrative expenses in the Consolidated Statements of Operations. The Company believes its accruals at February 1, 2025 are adequate in light of the probable and estimable liabilities. The Company does not believe that any identified claims or litigation will be material to its results of operations, cash flows,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LONG-TERM INCENTIVE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these long-term incentive plans were issued from the Company’s stockholder-approved 2016 Incentive Compensation Plan. See Note I, </w:t>
      </w:r>
      <w:r>
        <w:rPr>
          <w:rFonts w:ascii="Times New Roman" w:cs="Times New Roman" w:eastAsia="Times New Roman" w:hAnsi="Times New Roman"/>
          <w:sz w:val="18"/>
          <w:szCs w:val="18"/>
          <w:i w:val="1"/>
          <w:iCs w:val="1"/>
          <w:color w:val="auto"/>
        </w:rPr>
        <w:t>Stock Compensation Plans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February 1, 2025, the Company has three active LTIPs: 2022-2024 LTIP, 2023-2025 LTIP and 2024-2026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The time-based awards under each of the LTIPs were granted in a combination of 50% RSUs and 50% cash.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Performance targets for the 2022-2024 LTIP, 2023-2025 LTIP and the 2024-2026 LTIP were established and approved by the Compensation Committee on April 9, 2022, May 1, 2023, and April 1, 2024 respectively. The performance period for each LTIP is three years. Awards for any achievement of performance targets will not be granted until the performance targets are achieved and then will be subject to additional vesting through August 31, 2025, August 31, 2026 and August 31, 2027, respectively. The time-based awards under the 2022-2024 LTIP, 2023-2025 LTIP and 2024-2026 LTIP vest in four equal installments through April 1, 2026, April 1, 2027, and April 1, 2028,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Assuming that the Company achieves the performance targets at target levels and all time-based awards vest, the compensation expense associated with the 2022-2024 LTIP, 2023-2025 LTIP and 2024-2026 LTIP is estimated to be approximately $4.8 million, $5.1 million and $5.3 million, respectively. Approximately half of the targeted compensation expense for each LTIP relates to the time-based awards, which are being expensed straight-line over 49 months.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target under the 2022-2024 LTIP was achieved at the end of fiscal 2024. Awards granted pursuant to this achievement will be subject to further vesting through August 31, 2025. Accordingly, at February 1, 2025, $2.0 million of the expected $2.4 million for the performance award has been accrued.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February 1, 2025, the Company accrued $0.3 million for the performance-based awards under the 2024-2026 LTIP. There is no accrual for performance-based awards under the 2023-2025 LTIP.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STOCK COMPENSATION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active stock-based compensation plan, which is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the Company's Annual Meeting of Stockholders held on August 8, 2024, the Company's stockholders approved an increase of 6,150,000 shares authorized for future grant under the 2016 Plan. At February 1, 2025, 21,270,538 shares were authorized under the 2016 Plan, of which 7,481,525 shares remain available for grant.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The following tables summarize the stock option activity under the Company’s 2006 Incentive Compensation Plan ("2006 Plan") and 2016 Plan, on an aggregate basis, for fiscal 2024:</w:t>
      </w:r>
    </w:p>
    <w:tbl>
      <w:tblPr>
        <w:tblLayout w:type="fixed"/>
        <w:tblInd w:w="0" w:type="dxa"/>
        <w:tblCellMar>
          <w:top w:w="0" w:type="dxa"/>
          <w:left w:w="0" w:type="dxa"/>
          <w:bottom w:w="0" w:type="dxa"/>
          <w:right w:w="0" w:type="dxa"/>
        </w:tblCellMar>
      </w:tblPr>
      <w:tr>
        <w:trPr>
          <w:trHeight w:val="133"/>
        </w:trPr>
        <w:tc>
          <w:tcPr>
            <w:tcW w:w="5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7"/>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2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Weighted-average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2"/>
                <w:szCs w:val="12"/>
                <w:color w:val="auto"/>
              </w:rPr>
            </w:pPr>
          </w:p>
        </w:tc>
        <w:tc>
          <w:tcPr>
            <w:tcW w:w="9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4"/>
                <w:szCs w:val="14"/>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per option</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contractual term</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(000's)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10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3,180,739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 or expired</w:t>
            </w:r>
          </w:p>
        </w:tc>
        <w:tc>
          <w:tcPr>
            <w:tcW w:w="2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(69,612 )</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(139,667 )</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Outstanding options at end of year</w:t>
            </w:r>
          </w:p>
        </w:tc>
        <w:tc>
          <w:tcPr>
            <w:tcW w:w="110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2,971,460</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7"/>
              </w:rPr>
              <w:t>5.6 yrs.</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exercisable at end of year</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2,731,268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7"/>
              </w:rPr>
              <w:t>5.6 yrs.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and expected to vest at end of year</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2,971,460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7"/>
              </w:rPr>
              <w:t>5.6 yrs.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-1344930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-1344930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-1344930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-1344930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Share Activity</w:t>
      </w:r>
    </w:p>
    <w:p>
      <w:pPr>
        <w:spacing w:after="0" w:line="12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following table summarizes activity for non-vested shares under the Company’s 2006 Plan, 2016 Plan and Inducement Awards, on an aggregate basis, for fiscal 2024:</w:t>
      </w:r>
    </w:p>
    <w:tbl>
      <w:tblPr>
        <w:tblLayout w:type="fixed"/>
        <w:tblInd w:w="0" w:type="dxa"/>
        <w:tblCellMar>
          <w:top w:w="0" w:type="dxa"/>
          <w:left w:w="0" w:type="dxa"/>
          <w:bottom w:w="0" w:type="dxa"/>
          <w:right w:w="0" w:type="dxa"/>
        </w:tblCellMar>
      </w:tblPr>
      <w:tr>
        <w:trPr>
          <w:trHeight w:val="133"/>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Performance</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color w:val="auto"/>
              </w:rPr>
              <w:t>Deferred</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Fully-vest</w:t>
            </w: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Total number</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16"/>
              <w:spacing w:after="0" w:line="145" w:lineRule="exact"/>
              <w:rPr>
                <w:sz w:val="20"/>
                <w:szCs w:val="20"/>
                <w:color w:val="auto"/>
              </w:rPr>
            </w:pPr>
            <w:r>
              <w:rPr>
                <w:rFonts w:ascii="Times New Roman" w:cs="Times New Roman" w:eastAsia="Times New Roman" w:hAnsi="Times New Roman"/>
                <w:sz w:val="14"/>
                <w:szCs w:val="14"/>
                <w:color w:val="auto"/>
              </w:rPr>
              <w:t>share</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5"/>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60" w:type="dxa"/>
            <w:vAlign w:val="bottom"/>
            <w:gridSpan w:val="2"/>
            <w:vMerge w:val="continue"/>
          </w:tcPr>
          <w:p>
            <w:pPr>
              <w:spacing w:after="0"/>
              <w:rPr>
                <w:sz w:val="15"/>
                <w:szCs w:val="15"/>
                <w:color w:val="auto"/>
              </w:rPr>
            </w:pPr>
          </w:p>
        </w:tc>
        <w:tc>
          <w:tcPr>
            <w:tcW w:w="900" w:type="dxa"/>
            <w:vAlign w:val="bottom"/>
          </w:tcPr>
          <w:p>
            <w:pPr>
              <w:jc w:val="right"/>
              <w:ind w:right="114"/>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220" w:type="dxa"/>
            <w:vAlign w:val="bottom"/>
          </w:tcPr>
          <w:p>
            <w:pPr>
              <w:spacing w:after="0"/>
              <w:rPr>
                <w:sz w:val="15"/>
                <w:szCs w:val="15"/>
                <w:color w:val="auto"/>
              </w:rPr>
            </w:pPr>
          </w:p>
        </w:tc>
        <w:tc>
          <w:tcPr>
            <w:tcW w:w="900" w:type="dxa"/>
            <w:vAlign w:val="bottom"/>
          </w:tcPr>
          <w:p>
            <w:pPr>
              <w:jc w:val="right"/>
              <w:ind w:right="136"/>
              <w:spacing w:after="0" w:line="175" w:lineRule="exact"/>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19"/>
                <w:szCs w:val="19"/>
                <w:color w:val="auto"/>
                <w:vertAlign w:val="superscript"/>
              </w:rPr>
              <w:t>(3)</w:t>
            </w:r>
          </w:p>
        </w:tc>
        <w:tc>
          <w:tcPr>
            <w:tcW w:w="220" w:type="dxa"/>
            <w:vAlign w:val="bottom"/>
          </w:tcPr>
          <w:p>
            <w:pPr>
              <w:spacing w:after="0"/>
              <w:rPr>
                <w:sz w:val="15"/>
                <w:szCs w:val="15"/>
                <w:color w:val="auto"/>
              </w:rPr>
            </w:pPr>
          </w:p>
        </w:tc>
        <w:tc>
          <w:tcPr>
            <w:tcW w:w="1000" w:type="dxa"/>
            <w:vAlign w:val="bottom"/>
            <w:gridSpan w:val="2"/>
          </w:tcPr>
          <w:p>
            <w:pPr>
              <w:jc w:val="right"/>
              <w:ind w:right="36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of shares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536,285</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1,544,853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388,650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49,304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482,086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expired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vested/issued</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(163,854 )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(49,304 )</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(213,158 )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Outstanding non-vested shares at end of year</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761,081</w:t>
            </w: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479,700</w:t>
            </w: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1,813,781</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expected to vest at end of year</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761,081</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1,240,781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-281940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-281940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-281940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-281940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-281940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1020" w:right="20" w:hanging="503"/>
        <w:spacing w:after="0" w:line="28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fiscal 2024, grants primarily related to the grant of time-based RSUs under its 2024-2026 LTIP. See Note H, </w:t>
      </w:r>
      <w:r>
        <w:rPr>
          <w:rFonts w:ascii="Times New Roman" w:cs="Times New Roman" w:eastAsia="Times New Roman" w:hAnsi="Times New Roman"/>
          <w:sz w:val="18"/>
          <w:szCs w:val="18"/>
          <w:i w:val="1"/>
          <w:iCs w:val="1"/>
          <w:color w:val="auto"/>
        </w:rPr>
        <w:t>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As a result of net share settlements, of the 163,854 RSUs that vested, 138,390 shares of common stock were issued.</w:t>
      </w:r>
    </w:p>
    <w:p>
      <w:pPr>
        <w:spacing w:after="0" w:line="52"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44,132 shares of deferred stock, with a fair value of $144,991 represent director compensation in lieu of cash, in accordance with the director's irrevocable election. The shares of deferred stock will be issued upon the director's separation from service.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Any unvested PSUs will expire on August 11, 2026. The $2.4 million fair value was expensed over the respective derived service periods of each tranche which ranged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$161,983,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Non-Employee Director Compensation Plan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Seventh Amended and Restated Non-Employee Director Compensation Plan, as amended, the "Non-Employee Director Compensation Plan," provides a convenient method for its non-employee directors to acquire shares of the Company’s common stock at fair market value by voluntarily electing to receive shares of common stock in lieu of cash for service as a director.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Non-Employee Director Compensation Plan requires a minimum equity ownership requirement which requires each director to receive at least 60% of their annual retainers in shares of common stock until the value of their equity ownership is equal to at least three times the annual retainer. Any shares issued to satisfy the minimum equity ownership were granted from the 2016 Plan. All other shares were granted under the Non-Employee Director Compensation Plan.</w:t>
      </w:r>
    </w:p>
    <w:p>
      <w:pPr>
        <w:spacing w:after="0" w:line="7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shares of common stock, with the respective fair value, were issued from the Non-Employee Director Compensation Plan to its non-employee directors as compensation for fiscal 2024, fiscal 2023 and fiscal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8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Number of shares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Fair value of</w:t>
            </w:r>
          </w:p>
        </w:tc>
      </w:tr>
      <w:tr>
        <w:trPr>
          <w:trHeight w:val="176"/>
        </w:trPr>
        <w:tc>
          <w:tcPr>
            <w:tcW w:w="7200" w:type="dxa"/>
            <w:vAlign w:val="bottom"/>
          </w:tcPr>
          <w:p>
            <w:pPr>
              <w:spacing w:after="0"/>
              <w:rPr>
                <w:sz w:val="15"/>
                <w:szCs w:val="15"/>
                <w:color w:val="auto"/>
              </w:rPr>
            </w:pPr>
          </w:p>
        </w:tc>
        <w:tc>
          <w:tcPr>
            <w:tcW w:w="1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common stock issued</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common stock issued</w:t>
            </w:r>
          </w:p>
        </w:tc>
        <w:tc>
          <w:tcPr>
            <w:tcW w:w="100" w:type="dxa"/>
            <w:vAlign w:val="bottom"/>
          </w:tcPr>
          <w:p>
            <w:pPr>
              <w:spacing w:after="0"/>
              <w:rPr>
                <w:sz w:val="15"/>
                <w:szCs w:val="15"/>
                <w:color w:val="auto"/>
              </w:rPr>
            </w:pPr>
          </w:p>
        </w:tc>
      </w:tr>
      <w:tr>
        <w:trPr>
          <w:trHeight w:val="209"/>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42,609</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139,987</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301,578</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73,024</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359,208</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1, 2025, 591,925 shares remained available for grant under the Non-Employee Director Compensation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Retirement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Casual Male Corp. in May 2002, the Company assumed the assets and liabilities of the frozen Casual Male Noncontributory Pension Plan “Casual Male Corp. Retirement Plan,” which was previously known as the J. Baker, Inc. Qualified Plan (the “Pension Plan”) and the frozen Casual Male Supplemental Executive Retirement Plan ("SERP"). In the second quarter of fiscal 2023, the Company's Board of Directors (the "Board") approved the termination of these frozen plans.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2023, the Audit Committee approved the termination of the Pension Plan, which was then approved and ratified by the Board on May 4, 2023 with a final termination approval on June 8, 2023. By the end of fiscal 2023, the Company completed the settlement of all plan assets. Results for fiscal 2023 included a charge of $5.6 million, representing recognition of the unrealized loss in "Accumulated Other Comprehensive Loss" on the Consolidated Balance Sheet.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SERP</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3, 2023, the Audit Committee approved the termination of the SERP, which was then approved and ratified by the Board on May 4,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fiscal 2023, the Company completed the termination of the SERP through the purchase of a nonparticipating annuity. In connection with that termination, the Company made a cash contribution of $0.4 million and recognized a loss on the termination of the plan of $57,000, which included the recognition of the unrealized loss of $31,000 in Accumulated Other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Under the 401(k) Plan, the Company offers a qualified automatic contribution arrangement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Company match after one year of employment and 1,000 hours.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$2.3 million, $2.4 million and $2.1 million of expense under the 401(k) Plan in fiscal 2024, 2023 and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FAIR VALUE MEASUREMENT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February 1, 2025 and February 3, 2024, the Company held U.S. treasury bills, which were classified as held-to maturity and carried at amortized cost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4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Quoted Prices in Active</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6"/>
                <w:szCs w:val="16"/>
                <w:color w:val="auto"/>
              </w:rPr>
            </w:pPr>
          </w:p>
        </w:tc>
      </w:tr>
      <w:tr>
        <w:trPr>
          <w:trHeight w:val="216"/>
        </w:trPr>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Markets for Identical</w:t>
            </w:r>
          </w:p>
        </w:tc>
        <w:tc>
          <w:tcPr>
            <w:tcW w:w="260" w:type="dxa"/>
            <w:vAlign w:val="bottom"/>
          </w:tcPr>
          <w:p>
            <w:pPr>
              <w:spacing w:after="0"/>
              <w:rPr>
                <w:sz w:val="18"/>
                <w:szCs w:val="18"/>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Significant</w:t>
            </w:r>
          </w:p>
        </w:tc>
        <w:tc>
          <w:tcPr>
            <w:tcW w:w="20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Observable Inputs</w:t>
            </w:r>
          </w:p>
        </w:tc>
        <w:tc>
          <w:tcPr>
            <w:tcW w:w="20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Inputs</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Carrying value</w:t>
            </w:r>
          </w:p>
        </w:tc>
        <w:tc>
          <w:tcPr>
            <w:tcW w:w="220" w:type="dxa"/>
            <w:vAlign w:val="bottom"/>
          </w:tcPr>
          <w:p>
            <w:pPr>
              <w:spacing w:after="0"/>
              <w:rPr>
                <w:sz w:val="20"/>
                <w:szCs w:val="20"/>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0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February 1, 2025:</w:t>
            </w: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260" w:type="dxa"/>
            <w:vAlign w:val="bottom"/>
          </w:tcPr>
          <w:p>
            <w:pPr>
              <w:spacing w:after="0"/>
              <w:rPr>
                <w:sz w:val="18"/>
                <w:szCs w:val="18"/>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February 3, 2024:</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32,479</w:t>
            </w:r>
          </w:p>
        </w:tc>
        <w:tc>
          <w:tcPr>
            <w:tcW w:w="260" w:type="dxa"/>
            <w:vAlign w:val="bottom"/>
          </w:tcPr>
          <w:p>
            <w:pPr>
              <w:spacing w:after="0"/>
              <w:rPr>
                <w:sz w:val="18"/>
                <w:szCs w:val="18"/>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675"/>
        </w:trPr>
        <w:tc>
          <w:tcPr>
            <w:tcW w:w="4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L. STOCK REPURCHASE PROGRAM</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2024, the Company repurchased 52,802 shares at a total cost, including fees, of $211,182, completing its stock repurchase program that was approved by the Board in March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2024, the Board approved a new stock repurchase program pursuant to which the Company was authorized to repurchase up to $15.0 million of its common stock, including excise tax, through open market and privately negotiated transactions. The stock repurchase program expired on February 1, 2025. During fiscal 2024, the Company repurchased 4.8 million shares at a total cost, including fees, of $13.5 million under this stock repurchase program.</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Inflation Reduction Act of 2022 imposed a nondeductible 1% excise tax on the net value of certain share repurchases made after December 31, 2022. The applicable excise tax is charged to additional paid-in capital in the Company's Consolidated Balance Sheet as part of the cost basis of the shares repurchased, with the corresponding liability for the excise tax payable recorded in accrued expenses and other current liabilities until paid. This liability is partially offset by a 1% credit permitted under the rules for the fair value of shares issued by the Company. At February 1, 2025, the Company had accrued $0.1 million for the payment of excise taxes.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SEGMENT DISCLOSURES</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sells clothing, footwear and accessories to big + tall men through its 288 store locations and its direct business, which includes its website, mobile app and certain marketplaces. The Company has identified its stores and its direct business as two separate operating segments. Resources are allocated and performance is assessed by our President and Chief Executive Officer, whom we have determined to be our Chief Operating Decision Maker (the "CODM").</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CODM evaluates the performance of its operating segments and allocates resources based on sales performance, merchandise margins and 4-wall contribution (a Non-GAAP measure). The accounting policies are the same as those described in the “Summary of Significant Accounting Policies” for the Company. The Company defines 4-wall contribution, which the CODM considers the performance measure for segment profitability, as segment revenues less cost of goods sold, occupancy costs and selling expenses.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aggregate our two operating segments because they are economically similar. Both segments sell the same merchandise, at the 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segment disclosures and a reconciliation of 4-wall contribution (a Non-GAAP measure) to net income (a GAAP measure):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Fiscal 2024</w:t>
            </w:r>
          </w:p>
        </w:tc>
        <w:tc>
          <w:tcPr>
            <w:tcW w:w="240" w:type="dxa"/>
            <w:vAlign w:val="bottom"/>
          </w:tcPr>
          <w:p>
            <w:pPr>
              <w:spacing w:after="0"/>
              <w:rPr>
                <w:sz w:val="20"/>
                <w:szCs w:val="20"/>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Fiscal 2023</w:t>
            </w:r>
          </w:p>
        </w:tc>
        <w:tc>
          <w:tcPr>
            <w:tcW w:w="24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Fiscal 2022</w:t>
            </w: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545,838</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(186,235 )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(210,340 )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(215,857 )</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(63,585 )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(59,053 )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(57,383 )</w:t>
            </w:r>
          </w:p>
        </w:tc>
      </w:tr>
      <w:tr>
        <w:trPr>
          <w:trHeight w:val="216"/>
        </w:trPr>
        <w:tc>
          <w:tcPr>
            <w:tcW w:w="5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Store compensation</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(53,765 )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(54,103 )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(55,423 )</w:t>
            </w:r>
          </w:p>
        </w:tc>
      </w:tr>
      <w:tr>
        <w:trPr>
          <w:trHeight w:val="216"/>
        </w:trPr>
        <w:tc>
          <w:tcPr>
            <w:tcW w:w="5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selling expenses</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(26,928 )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(25,790 )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(25,626 )</w:t>
            </w:r>
          </w:p>
        </w:tc>
      </w:tr>
      <w:tr>
        <w:trPr>
          <w:trHeight w:val="209"/>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4-wall contribution (Non-GAAP)</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136,502</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172,529</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191,549</w:t>
            </w:r>
          </w:p>
        </w:tc>
        <w:tc>
          <w:tcPr>
            <w:tcW w:w="100" w:type="dxa"/>
            <w:vAlign w:val="bottom"/>
            <w:tcBorders>
              <w:top w:val="single" w:sz="8" w:color="CFF0FC"/>
            </w:tcBorders>
          </w:tcPr>
          <w:p>
            <w:pPr>
              <w:spacing w:after="0"/>
              <w:rPr>
                <w:sz w:val="18"/>
                <w:szCs w:val="18"/>
                <w:color w:val="auto"/>
              </w:rPr>
            </w:pPr>
          </w:p>
        </w:tc>
      </w:tr>
      <w:tr>
        <w:trPr>
          <w:trHeight w:val="216"/>
        </w:trPr>
        <w:tc>
          <w:tcPr>
            <w:tcW w:w="5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(31,844 )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(30,932 )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(32,503 )</w:t>
            </w: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(54,374 )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(54,144 )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(56,490 )</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Distributing and supporting G&amp;A</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(31,371 )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(31,560 )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(28,748 )</w:t>
            </w: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(13,878 )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(13,833 )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(15,381 )</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gain of assets</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(1,303 )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termination of retirement plans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(5,690 )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r>
      <w:tr>
        <w:trPr>
          <w:trHeight w:val="209"/>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(benefit) for income taxes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58,335</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(30,788 )</w:t>
            </w: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89,123</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-1945005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-1945005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840"/>
        <w:spacing w:after="0" w:line="260" w:lineRule="auto"/>
        <w:rPr>
          <w:sz w:val="20"/>
          <w:szCs w:val="20"/>
          <w:color w:val="auto"/>
        </w:rPr>
      </w:pPr>
      <w:r>
        <w:rPr>
          <w:rFonts w:ascii="Times New Roman" w:cs="Times New Roman" w:eastAsia="Times New Roman" w:hAnsi="Times New Roman"/>
          <w:sz w:val="18"/>
          <w:szCs w:val="18"/>
          <w:color w:val="auto"/>
        </w:rPr>
        <w:t>The CODM does not receive information about assets at the segment level because the Company's assets are managed at a consolidated level by department as opposed to by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ind w:right="38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Conclusions Regarding the Effectiveness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1, 2025. Based on this evaluation, our Chief Executive Officer and Chief Financial Officer concluded that, as of February 1, 2025, our disclosure controls and procedures were effective.</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72" w:lineRule="exact"/>
        <w:rPr>
          <w:sz w:val="20"/>
          <w:szCs w:val="20"/>
          <w:color w:val="auto"/>
        </w:rPr>
      </w:pPr>
    </w:p>
    <w:p>
      <w:pPr>
        <w:ind w:left="1240" w:hanging="214"/>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520" w:right="60" w:firstLine="506"/>
        <w:spacing w:after="0" w:line="266" w:lineRule="auto"/>
        <w:tabs>
          <w:tab w:leader="none" w:pos="12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520" w:firstLine="506"/>
        <w:spacing w:after="0" w:line="282" w:lineRule="auto"/>
        <w:tabs>
          <w:tab w:leader="none" w:pos="13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financial statements.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assessed the design and effectiveness of our internal control over financial reporting as of February 1, 2025. In making this assessment, management used the criteria set forth by the Committee of Sponsoring Organizations of the Treadway Commission (COSO) in Internal Control-Integrated Framework (2013).</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management’s assessment and the above mentioned criteria, management determined that we maintained effective internal control over financial reporting as of February 1, 2025.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KPMG LLP, our independent registered public accounting firm, has issued an audit report on our internal control over financial reporting as of February 1, 2025, which appears below.</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Destination XL Group, Inc. and subsidiaries' (the Company) internal control over financial reporting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February 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February 1, 2025 and February 3, 2024, the related consolidated statements of operations, comprehensive income, changes in stockholders’ equity, and cash flows for each of the fiscal years in the three-year period ended February 1, 2025, and the related notes (collectively, the consolidated financial statements), and our report dated March 20, 2025 expressed an unqualified opinion on those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fourth quarter of fiscal 2024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Rule 10b5-1 Trading Plans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1, 2025, none of our directors or officers (as defined in Rule 16a-1(f) of the Exchange Act) adopted or terminated a Rule 10b5-1 trading arrangement or non-Rule 10b5-1 trading arrangement (as such terms are defined in Item 408 of Regulation S-K).</w:t>
      </w:r>
    </w:p>
    <w:p>
      <w:pPr>
        <w:spacing w:after="0" w:line="374" w:lineRule="exact"/>
        <w:rPr>
          <w:sz w:val="20"/>
          <w:szCs w:val="20"/>
          <w:color w:val="auto"/>
        </w:rPr>
      </w:pPr>
    </w:p>
    <w:p>
      <w:pPr>
        <w:ind w:right="53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1, 2025 in connection with our 2025 Annual Meeting of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adopted a Securities Trading Policy, which is our insider trading policy governing the purchase, sale and/or other dispositions of our securities by our directors, officers and employees. A copy of the Securities Trading Policy is filed as an exhibit to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incorporated by reference from our definitive proxy statement (or amendment to this Annual Report on Form 10-K) to be filed with the SEC within 120 days of the end of the fiscal year ended February 1, 2025.</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15(a)(1) Financial Statements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list of consolidated financial statements and notes required by this Item 15(a)(1) is set forth in the “Index to Consolidated Financial Statements” on page 37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15(a)(2) Financial Statement Schedules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15(a)(3)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of exhibits required by this Item 15(a)(3) is set forth in the “Index to Exhibits” beginning on page 66 of this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 at registrant’s option.</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5" w:name="page66"/>
    <w:bookmarkEnd w:id="65"/>
    <w:p>
      <w:pPr>
        <w:ind w:left="4920"/>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131" w:lineRule="exact"/>
        <w:rPr>
          <w:sz w:val="20"/>
          <w:szCs w:val="20"/>
          <w:color w:val="auto"/>
        </w:rPr>
      </w:pPr>
    </w:p>
    <w:p>
      <w:pPr>
        <w:ind w:left="60"/>
        <w:spacing w:after="0"/>
        <w:tabs>
          <w:tab w:leader="none" w:pos="5460" w:val="left"/>
        </w:tabs>
        <w:rPr>
          <w:sz w:val="20"/>
          <w:szCs w:val="20"/>
          <w:color w:val="auto"/>
        </w:rPr>
      </w:pPr>
      <w:r>
        <w:rPr>
          <w:rFonts w:ascii="Times New Roman" w:cs="Times New Roman" w:eastAsia="Times New Roman" w:hAnsi="Times New Roman"/>
          <w:sz w:val="29"/>
          <w:szCs w:val="29"/>
          <w:b w:val="1"/>
          <w:bCs w:val="1"/>
          <w:color w:val="auto"/>
          <w:vertAlign w:val="superscript"/>
        </w:rPr>
        <w:t>Exhibits</w:t>
      </w:r>
      <w:r>
        <w:rPr>
          <w:sz w:val="20"/>
          <w:szCs w:val="20"/>
          <w:color w:val="auto"/>
        </w:rPr>
        <w:tab/>
      </w:r>
      <w:r>
        <w:rPr>
          <w:rFonts w:ascii="Times New Roman" w:cs="Times New Roman" w:eastAsia="Times New Roman" w:hAnsi="Times New Roman"/>
          <w:sz w:val="14"/>
          <w:szCs w:val="14"/>
          <w:b w:val="1"/>
          <w:bCs w:val="1"/>
          <w:color w:val="auto"/>
        </w:rPr>
        <w:t>Description</w:t>
      </w:r>
    </w:p>
    <w:p>
      <w:pPr>
        <w:sectPr>
          <w:pgSz w:w="11900" w:h="16838" w:orient="portrait"/>
          <w:cols w:equalWidth="0" w:num="1">
            <w:col w:w="11240"/>
          </w:cols>
          <w:pgMar w:left="320" w:top="1103" w:right="339" w:bottom="1440" w:gutter="0" w:footer="0" w:header="0"/>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60"/>
        <w:spacing w:after="0" w:line="282" w:lineRule="auto"/>
        <w:rPr>
          <w:rFonts w:ascii="Times New Roman" w:cs="Times New Roman" w:eastAsia="Times New Roman" w:hAnsi="Times New Roman"/>
          <w:sz w:val="18"/>
          <w:szCs w:val="18"/>
          <w:color w:val="auto"/>
        </w:rPr>
      </w:pPr>
      <w:hyperlink r:id="rId281">
        <w:r>
          <w:rPr>
            <w:rFonts w:ascii="Times New Roman" w:cs="Times New Roman" w:eastAsia="Times New Roman" w:hAnsi="Times New Roman"/>
            <w:sz w:val="18"/>
            <w:szCs w:val="18"/>
            <w:color w:val="auto"/>
          </w:rPr>
          <w:t>Certificate of Amendment to Restated Certificate of Incorporation, effective as of August 6, 2021 (included as Exhibit 3.1 to the</w:t>
        </w:r>
      </w:hyperlink>
      <w:r>
        <w:rPr>
          <w:rFonts w:ascii="Times New Roman" w:cs="Times New Roman" w:eastAsia="Times New Roman" w:hAnsi="Times New Roman"/>
          <w:sz w:val="18"/>
          <w:szCs w:val="18"/>
          <w:color w:val="auto"/>
        </w:rPr>
        <w:t xml:space="preserve"> </w:t>
      </w:r>
      <w:hyperlink r:id="rId281">
        <w:r>
          <w:rPr>
            <w:rFonts w:ascii="Times New Roman" w:cs="Times New Roman" w:eastAsia="Times New Roman" w:hAnsi="Times New Roman"/>
            <w:sz w:val="18"/>
            <w:szCs w:val="18"/>
            <w:color w:val="auto"/>
          </w:rPr>
          <w:t>Company's Quarterly Report on Form 10-Q filed on August 31, 2021,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58921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58921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49701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4970145" cy="8255"/>
                    </a:xfrm>
                    <a:prstGeom prst="rect">
                      <a:avLst/>
                    </a:prstGeom>
                    <a:noFill/>
                  </pic:spPr>
                </pic:pic>
              </a:graphicData>
            </a:graphic>
          </wp:anchor>
        </w:drawing>
      </w:r>
    </w:p>
    <w:p>
      <w:pPr>
        <w:spacing w:after="0" w:line="61" w:lineRule="exact"/>
        <w:rPr>
          <w:sz w:val="20"/>
          <w:szCs w:val="20"/>
          <w:color w:val="auto"/>
        </w:rPr>
      </w:pPr>
    </w:p>
    <w:p>
      <w:pPr>
        <w:ind w:right="860"/>
        <w:spacing w:after="0" w:line="266" w:lineRule="auto"/>
        <w:rPr>
          <w:rFonts w:ascii="Times New Roman" w:cs="Times New Roman" w:eastAsia="Times New Roman" w:hAnsi="Times New Roman"/>
          <w:sz w:val="18"/>
          <w:szCs w:val="18"/>
          <w:color w:val="auto"/>
        </w:rPr>
      </w:pPr>
      <w:hyperlink r:id="rId284">
        <w:r>
          <w:rPr>
            <w:rFonts w:ascii="Times New Roman" w:cs="Times New Roman" w:eastAsia="Times New Roman" w:hAnsi="Times New Roman"/>
            <w:sz w:val="18"/>
            <w:szCs w:val="18"/>
            <w:color w:val="auto"/>
          </w:rPr>
          <w:t>Restated Certificate of Incorporation of the Company (conformed copy incorporating all amendments through August 6, 2021</w:t>
        </w:r>
      </w:hyperlink>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color w:val="auto"/>
          </w:rPr>
          <w:t>(included as Exhibit 3.2 to the Company's Quarterly Report on Form 10-Q filed on August 31, 2021, and incorporated herein by</w:t>
        </w:r>
      </w:hyperlink>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color w:val="auto"/>
          </w:rPr>
          <w:t>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-2540</wp:posOffset>
            </wp:positionH>
            <wp:positionV relativeFrom="paragraph">
              <wp:posOffset>-313055</wp:posOffset>
            </wp:positionV>
            <wp:extent cx="57905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57905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-175895</wp:posOffset>
            </wp:positionV>
            <wp:extent cx="58845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588454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-38735</wp:posOffset>
            </wp:positionV>
            <wp:extent cx="4629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82" w:lineRule="exact"/>
        <w:rPr>
          <w:rFonts w:ascii="Times New Roman" w:cs="Times New Roman" w:eastAsia="Times New Roman" w:hAnsi="Times New Roman"/>
          <w:sz w:val="18"/>
          <w:szCs w:val="18"/>
          <w:color w:val="auto"/>
        </w:rPr>
      </w:pPr>
    </w:p>
    <w:p>
      <w:pPr>
        <w:sectPr>
          <w:pgSz w:w="11900" w:h="16838" w:orient="portrait"/>
          <w:cols w:equalWidth="0" w:num="2">
            <w:col w:w="440" w:space="720"/>
            <w:col w:w="1008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38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288">
              <w:r>
                <w:rPr>
                  <w:rFonts w:ascii="Times New Roman" w:cs="Times New Roman" w:eastAsia="Times New Roman" w:hAnsi="Times New Roman"/>
                  <w:sz w:val="18"/>
                  <w:szCs w:val="18"/>
                  <w:color w:val="auto"/>
                </w:rPr>
                <w:t>Fourth Amended and Restated By-Laws (included as Exhibit 3.1 to the Company’s Current Report on Form 8-K filed on June 18,</w:t>
              </w:r>
            </w:hyperlink>
          </w:p>
        </w:tc>
        <w:tc>
          <w:tcPr>
            <w:tcW w:w="7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288">
              <w:r>
                <w:rPr>
                  <w:rFonts w:ascii="Times New Roman" w:cs="Times New Roman" w:eastAsia="Times New Roman" w:hAnsi="Times New Roman"/>
                  <w:sz w:val="18"/>
                  <w:szCs w:val="18"/>
                  <w:color w:val="auto"/>
                  <w:w w:val="99"/>
                </w:rPr>
                <w:t>2015, and incorporated herein by reference).</w:t>
              </w:r>
            </w:hyperlink>
          </w:p>
        </w:tc>
        <w:tc>
          <w:tcPr>
            <w:tcW w:w="6180" w:type="dxa"/>
            <w:vAlign w:val="bottom"/>
            <w:gridSpan w:val="21"/>
          </w:tcPr>
          <w:p>
            <w:pPr>
              <w:spacing w:after="0"/>
              <w:rPr>
                <w:sz w:val="17"/>
                <w:szCs w:val="17"/>
                <w:color w:val="auto"/>
              </w:rPr>
            </w:pPr>
          </w:p>
        </w:tc>
        <w:tc>
          <w:tcPr>
            <w:tcW w:w="700" w:type="dxa"/>
            <w:vAlign w:val="bottom"/>
          </w:tcPr>
          <w:p>
            <w:pPr>
              <w:spacing w:after="0"/>
              <w:rPr>
                <w:sz w:val="17"/>
                <w:szCs w:val="17"/>
                <w:color w:val="auto"/>
              </w:rPr>
            </w:pPr>
          </w:p>
        </w:tc>
      </w:tr>
      <w:tr>
        <w:trPr>
          <w:trHeight w:val="34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2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289">
              <w:r>
                <w:rPr>
                  <w:rFonts w:ascii="Times New Roman" w:cs="Times New Roman" w:eastAsia="Times New Roman" w:hAnsi="Times New Roman"/>
                  <w:sz w:val="18"/>
                  <w:szCs w:val="18"/>
                  <w:color w:val="auto"/>
                </w:rPr>
                <w:t>Description of Securities (included as Exhibit 4.1 to the Company's Annual Report on Form 10-K filed on March 17, 2022, and</w:t>
              </w:r>
            </w:hyperlink>
          </w:p>
        </w:tc>
        <w:tc>
          <w:tcPr>
            <w:tcW w:w="16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auto"/>
              </w:rPr>
            </w:pPr>
            <w:hyperlink r:id="rId289">
              <w:r>
                <w:rPr>
                  <w:rFonts w:ascii="Times New Roman" w:cs="Times New Roman" w:eastAsia="Times New Roman" w:hAnsi="Times New Roman"/>
                  <w:sz w:val="18"/>
                  <w:szCs w:val="18"/>
                  <w:color w:val="auto"/>
                </w:rPr>
                <w:t>incorporated herein by reference).</w:t>
              </w:r>
            </w:hyperlink>
          </w:p>
        </w:tc>
        <w:tc>
          <w:tcPr>
            <w:tcW w:w="7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24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290">
              <w:r>
                <w:rPr>
                  <w:rFonts w:ascii="Times New Roman" w:cs="Times New Roman" w:eastAsia="Times New Roman" w:hAnsi="Times New Roman"/>
                  <w:sz w:val="18"/>
                  <w:szCs w:val="18"/>
                  <w:color w:val="auto"/>
                </w:rPr>
                <w:t>2006 Incentive Compensation Plan, as amended (included as Exhibit 10.3 to the Company’s Annual Report on Form 10-K filed</w:t>
              </w:r>
            </w:hyperlink>
          </w:p>
        </w:tc>
        <w:tc>
          <w:tcPr>
            <w:tcW w:w="14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auto"/>
              </w:rPr>
            </w:pPr>
            <w:hyperlink r:id="rId290">
              <w:r>
                <w:rPr>
                  <w:rFonts w:ascii="Times New Roman" w:cs="Times New Roman" w:eastAsia="Times New Roman" w:hAnsi="Times New Roman"/>
                  <w:sz w:val="18"/>
                  <w:szCs w:val="18"/>
                  <w:color w:val="auto"/>
                </w:rPr>
                <w:t>March 17, 2014 (File No. 001-34219), and incorporated herein by reference).</w:t>
              </w:r>
            </w:hyperlink>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4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38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291">
              <w:r>
                <w:rPr>
                  <w:rFonts w:ascii="Times New Roman" w:cs="Times New Roman" w:eastAsia="Times New Roman" w:hAnsi="Times New Roman"/>
                  <w:sz w:val="18"/>
                  <w:szCs w:val="18"/>
                  <w:color w:val="auto"/>
                </w:rPr>
                <w:t>2016 Incentive Compensation Plan, as amended November 2, 2023 (included as Exhibit 10.2 to the Company's Annual Report on</w:t>
              </w:r>
            </w:hyperlink>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auto"/>
              </w:rPr>
            </w:pPr>
            <w:hyperlink r:id="rId291">
              <w:r>
                <w:rPr>
                  <w:rFonts w:ascii="Times New Roman" w:cs="Times New Roman" w:eastAsia="Times New Roman" w:hAnsi="Times New Roman"/>
                  <w:sz w:val="18"/>
                  <w:szCs w:val="18"/>
                  <w:color w:val="auto"/>
                </w:rPr>
                <w:t>Form 10-K filed March 21, 2024, and incorporated herein by reference).</w:t>
              </w:r>
            </w:hyperlink>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3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292">
              <w:r>
                <w:rPr>
                  <w:rFonts w:ascii="Times New Roman" w:cs="Times New Roman" w:eastAsia="Times New Roman" w:hAnsi="Times New Roman"/>
                  <w:sz w:val="18"/>
                  <w:szCs w:val="18"/>
                  <w:color w:val="auto"/>
                </w:rPr>
                <w:t>Second Amended and Restated 2016 Incentive Compensation Plan (included as Exhibit 10.1 to the Company's Current Report on</w:t>
              </w:r>
            </w:hyperlink>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auto"/>
              </w:rPr>
            </w:pPr>
            <w:hyperlink r:id="rId292">
              <w:r>
                <w:rPr>
                  <w:rFonts w:ascii="Times New Roman" w:cs="Times New Roman" w:eastAsia="Times New Roman" w:hAnsi="Times New Roman"/>
                  <w:sz w:val="18"/>
                  <w:szCs w:val="18"/>
                  <w:color w:val="auto"/>
                </w:rPr>
                <w:t>Form 8-K filed August 8, 2024, and incorporated herein as reference).</w:t>
              </w:r>
            </w:hyperlink>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380" w:type="dxa"/>
            <w:vAlign w:val="bottom"/>
            <w:gridSpan w:val="25"/>
          </w:tcPr>
          <w:p>
            <w:pPr>
              <w:spacing w:after="0"/>
              <w:rPr>
                <w:rFonts w:ascii="Times New Roman" w:cs="Times New Roman" w:eastAsia="Times New Roman" w:hAnsi="Times New Roman"/>
                <w:sz w:val="18"/>
                <w:szCs w:val="18"/>
                <w:color w:val="auto"/>
                <w:w w:val="99"/>
              </w:rPr>
            </w:pPr>
            <w:hyperlink r:id="rId293">
              <w:r>
                <w:rPr>
                  <w:rFonts w:ascii="Times New Roman" w:cs="Times New Roman" w:eastAsia="Times New Roman" w:hAnsi="Times New Roman"/>
                  <w:sz w:val="18"/>
                  <w:szCs w:val="18"/>
                  <w:color w:val="auto"/>
                  <w:w w:val="99"/>
                </w:rPr>
                <w:t>Form of Non-Qualified Option Agreement for Associates (included as Exhibit 10.3 to the Company’s Annual Report on Form 10-</w:t>
              </w:r>
            </w:hyperlink>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93">
              <w:r>
                <w:rPr>
                  <w:rFonts w:ascii="Times New Roman" w:cs="Times New Roman" w:eastAsia="Times New Roman" w:hAnsi="Times New Roman"/>
                  <w:sz w:val="18"/>
                  <w:szCs w:val="18"/>
                  <w:color w:val="auto"/>
                  <w:w w:val="99"/>
                </w:rPr>
                <w:t>K filed March 20, 2017, and incorporated herein by reference).</w:t>
              </w:r>
            </w:hyperlink>
          </w:p>
        </w:tc>
        <w:tc>
          <w:tcPr>
            <w:tcW w:w="482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1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294">
              <w:r>
                <w:rPr>
                  <w:rFonts w:ascii="Times New Roman" w:cs="Times New Roman" w:eastAsia="Times New Roman" w:hAnsi="Times New Roman"/>
                  <w:sz w:val="18"/>
                  <w:szCs w:val="18"/>
                  <w:color w:val="auto"/>
                </w:rPr>
                <w:t>Form of Non-Qualified Option Agreement for Associates (pursuant to the Company’s Long-Term Incentive Plan, as amended)</w:t>
              </w:r>
            </w:hyperlink>
          </w:p>
        </w:tc>
        <w:tc>
          <w:tcPr>
            <w:tcW w:w="20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294">
              <w:r>
                <w:rPr>
                  <w:rFonts w:ascii="Times New Roman" w:cs="Times New Roman" w:eastAsia="Times New Roman" w:hAnsi="Times New Roman"/>
                  <w:sz w:val="18"/>
                  <w:szCs w:val="18"/>
                  <w:color w:val="auto"/>
                </w:rPr>
                <w:t>(included as Exhibit 10.3 to the Company’s Quarterly Report on Form 10-Q filed August 27, 2020, and incorporated herein by</w:t>
              </w:r>
            </w:hyperlink>
          </w:p>
        </w:tc>
        <w:tc>
          <w:tcPr>
            <w:tcW w:w="2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82" w:lineRule="exact"/>
              <w:rPr>
                <w:rFonts w:ascii="Times New Roman" w:cs="Times New Roman" w:eastAsia="Times New Roman" w:hAnsi="Times New Roman"/>
                <w:sz w:val="18"/>
                <w:szCs w:val="18"/>
                <w:color w:val="auto"/>
              </w:rPr>
            </w:pPr>
            <w:hyperlink r:id="rId294">
              <w:r>
                <w:rPr>
                  <w:rFonts w:ascii="Times New Roman" w:cs="Times New Roman" w:eastAsia="Times New Roman" w:hAnsi="Times New Roman"/>
                  <w:sz w:val="18"/>
                  <w:szCs w:val="18"/>
                  <w:color w:val="auto"/>
                </w:rPr>
                <w:t>reference).</w:t>
              </w:r>
            </w:hyperlink>
          </w:p>
        </w:tc>
        <w:tc>
          <w:tcPr>
            <w:tcW w:w="70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4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14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295">
              <w:r>
                <w:rPr>
                  <w:rFonts w:ascii="Times New Roman" w:cs="Times New Roman" w:eastAsia="Times New Roman" w:hAnsi="Times New Roman"/>
                  <w:sz w:val="18"/>
                  <w:szCs w:val="18"/>
                  <w:color w:val="auto"/>
                </w:rPr>
                <w:t>Form of Restricted Stock Agreement for Associates (included as Exhibit 10.5 to the Company’s Annual Report on Form 10-K</w:t>
              </w:r>
            </w:hyperlink>
          </w:p>
        </w:tc>
        <w:tc>
          <w:tcPr>
            <w:tcW w:w="24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360" w:type="dxa"/>
            <w:vAlign w:val="bottom"/>
            <w:tcBorders>
              <w:bottom w:val="single" w:sz="8" w:color="0000EE"/>
            </w:tcBorders>
            <w:gridSpan w:val="5"/>
          </w:tcPr>
          <w:p>
            <w:pPr>
              <w:spacing w:after="0" w:line="182" w:lineRule="exact"/>
              <w:rPr>
                <w:rFonts w:ascii="Times New Roman" w:cs="Times New Roman" w:eastAsia="Times New Roman" w:hAnsi="Times New Roman"/>
                <w:sz w:val="18"/>
                <w:szCs w:val="18"/>
                <w:color w:val="auto"/>
                <w:w w:val="99"/>
              </w:rPr>
            </w:pPr>
            <w:hyperlink r:id="rId295">
              <w:r>
                <w:rPr>
                  <w:rFonts w:ascii="Times New Roman" w:cs="Times New Roman" w:eastAsia="Times New Roman" w:hAnsi="Times New Roman"/>
                  <w:sz w:val="18"/>
                  <w:szCs w:val="18"/>
                  <w:color w:val="auto"/>
                  <w:w w:val="99"/>
                </w:rPr>
                <w:t>filed March 20, 2017, and incorporated herein by reference).</w:t>
              </w:r>
            </w:hyperlink>
          </w:p>
        </w:tc>
        <w:tc>
          <w:tcPr>
            <w:tcW w:w="5020" w:type="dxa"/>
            <w:vAlign w:val="bottom"/>
            <w:gridSpan w:val="20"/>
          </w:tcPr>
          <w:p>
            <w:pPr>
              <w:spacing w:after="0"/>
              <w:rPr>
                <w:sz w:val="17"/>
                <w:szCs w:val="17"/>
                <w:color w:val="auto"/>
              </w:rPr>
            </w:pPr>
          </w:p>
        </w:tc>
        <w:tc>
          <w:tcPr>
            <w:tcW w:w="70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35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380" w:type="dxa"/>
            <w:vAlign w:val="bottom"/>
            <w:gridSpan w:val="25"/>
          </w:tcPr>
          <w:p>
            <w:pPr>
              <w:spacing w:after="0"/>
              <w:rPr>
                <w:rFonts w:ascii="Times New Roman" w:cs="Times New Roman" w:eastAsia="Times New Roman" w:hAnsi="Times New Roman"/>
                <w:sz w:val="18"/>
                <w:szCs w:val="18"/>
                <w:color w:val="auto"/>
              </w:rPr>
            </w:pPr>
            <w:hyperlink r:id="rId296">
              <w:r>
                <w:rPr>
                  <w:rFonts w:ascii="Times New Roman" w:cs="Times New Roman" w:eastAsia="Times New Roman" w:hAnsi="Times New Roman"/>
                  <w:sz w:val="18"/>
                  <w:szCs w:val="18"/>
                  <w:color w:val="auto"/>
                </w:rPr>
                <w:t>Form of Restricted Stock Agreement for Associates (pursuant to the Company’s Long-Term Incentive Plan) (included as Exhibit</w:t>
              </w:r>
            </w:hyperlink>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11"/>
          </w:tcPr>
          <w:p>
            <w:pPr>
              <w:spacing w:after="0" w:line="182" w:lineRule="exact"/>
              <w:rPr>
                <w:rFonts w:ascii="Times New Roman" w:cs="Times New Roman" w:eastAsia="Times New Roman" w:hAnsi="Times New Roman"/>
                <w:sz w:val="18"/>
                <w:szCs w:val="18"/>
                <w:color w:val="auto"/>
                <w:w w:val="99"/>
              </w:rPr>
            </w:pPr>
            <w:hyperlink r:id="rId296">
              <w:r>
                <w:rPr>
                  <w:rFonts w:ascii="Times New Roman" w:cs="Times New Roman" w:eastAsia="Times New Roman" w:hAnsi="Times New Roman"/>
                  <w:sz w:val="18"/>
                  <w:szCs w:val="18"/>
                  <w:color w:val="auto"/>
                  <w:w w:val="99"/>
                </w:rPr>
                <w:t>10.6 to the Company’s Annual Report on Form 10-K filed March 20, 2017, and incorporated herein by reference).</w:t>
              </w:r>
            </w:hyperlink>
          </w:p>
        </w:tc>
        <w:tc>
          <w:tcPr>
            <w:tcW w:w="560" w:type="dxa"/>
            <w:vAlign w:val="bottom"/>
            <w:tcBorders>
              <w:top w:val="single" w:sz="8" w:color="0000EE"/>
              <w:bottom w:val="single" w:sz="8" w:color="0000EE"/>
            </w:tcBorders>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200" w:type="dxa"/>
            <w:vAlign w:val="bottom"/>
            <w:tcBorders>
              <w:top w:val="single" w:sz="8" w:color="0000EE"/>
              <w:bottom w:val="single" w:sz="8" w:color="0000EE"/>
            </w:tcBorders>
          </w:tcPr>
          <w:p>
            <w:pPr>
              <w:spacing w:after="0"/>
              <w:rPr>
                <w:sz w:val="17"/>
                <w:szCs w:val="17"/>
                <w:color w:val="auto"/>
              </w:rPr>
            </w:pPr>
          </w:p>
        </w:tc>
        <w:tc>
          <w:tcPr>
            <w:tcW w:w="120" w:type="dxa"/>
            <w:vAlign w:val="bottom"/>
            <w:tcBorders>
              <w:top w:val="single" w:sz="8" w:color="0000EE"/>
              <w:bottom w:val="single" w:sz="8" w:color="0000EE"/>
            </w:tcBorders>
          </w:tcPr>
          <w:p>
            <w:pPr>
              <w:spacing w:after="0"/>
              <w:rPr>
                <w:sz w:val="17"/>
                <w:szCs w:val="17"/>
                <w:color w:val="auto"/>
              </w:rPr>
            </w:pPr>
          </w:p>
        </w:tc>
        <w:tc>
          <w:tcPr>
            <w:tcW w:w="40" w:type="dxa"/>
            <w:vAlign w:val="bottom"/>
            <w:tcBorders>
              <w:top w:val="single" w:sz="8" w:color="0000EE"/>
              <w:bottom w:val="single" w:sz="8" w:color="0000EE"/>
            </w:tcBorders>
            <w:gridSpan w:val="2"/>
          </w:tcPr>
          <w:p>
            <w:pPr>
              <w:spacing w:after="0"/>
              <w:rPr>
                <w:sz w:val="17"/>
                <w:szCs w:val="17"/>
                <w:color w:val="auto"/>
              </w:rPr>
            </w:pPr>
          </w:p>
        </w:tc>
        <w:tc>
          <w:tcPr>
            <w:tcW w:w="100" w:type="dxa"/>
            <w:vAlign w:val="bottom"/>
            <w:tcBorders>
              <w:top w:val="single" w:sz="8" w:color="0000EE"/>
              <w:bottom w:val="single" w:sz="8" w:color="0000EE"/>
            </w:tcBorders>
            <w:gridSpan w:val="4"/>
          </w:tcPr>
          <w:p>
            <w:pPr>
              <w:spacing w:after="0"/>
              <w:rPr>
                <w:sz w:val="17"/>
                <w:szCs w:val="17"/>
                <w:color w:val="auto"/>
              </w:rPr>
            </w:pPr>
          </w:p>
        </w:tc>
        <w:tc>
          <w:tcPr>
            <w:tcW w:w="60" w:type="dxa"/>
            <w:vAlign w:val="bottom"/>
            <w:tcBorders>
              <w:top w:val="single" w:sz="8" w:color="0000EE"/>
              <w:bottom w:val="single" w:sz="8" w:color="0000EE"/>
            </w:tcBorders>
          </w:tcPr>
          <w:p>
            <w:pPr>
              <w:spacing w:after="0"/>
              <w:rPr>
                <w:sz w:val="17"/>
                <w:szCs w:val="17"/>
                <w:color w:val="auto"/>
              </w:rPr>
            </w:pPr>
          </w:p>
        </w:tc>
        <w:tc>
          <w:tcPr>
            <w:tcW w:w="0" w:type="dxa"/>
            <w:vAlign w:val="bottom"/>
            <w:tcBorders>
              <w:top w:val="single" w:sz="8" w:color="0000EE"/>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38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380" w:type="dxa"/>
            <w:vAlign w:val="bottom"/>
            <w:gridSpan w:val="25"/>
          </w:tcPr>
          <w:p>
            <w:pPr>
              <w:spacing w:after="0"/>
              <w:rPr>
                <w:rFonts w:ascii="Times New Roman" w:cs="Times New Roman" w:eastAsia="Times New Roman" w:hAnsi="Times New Roman"/>
                <w:sz w:val="18"/>
                <w:szCs w:val="18"/>
                <w:color w:val="auto"/>
              </w:rPr>
            </w:pPr>
            <w:hyperlink r:id="rId297">
              <w:r>
                <w:rPr>
                  <w:rFonts w:ascii="Times New Roman" w:cs="Times New Roman" w:eastAsia="Times New Roman" w:hAnsi="Times New Roman"/>
                  <w:sz w:val="18"/>
                  <w:szCs w:val="18"/>
                  <w:color w:val="auto"/>
                </w:rPr>
                <w:t>Form of Restricted Stock Unit Agreement for Associates (included as Exhibit 10.7 to the Company’s Annual Report on Form 10-</w:t>
              </w:r>
            </w:hyperlink>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297">
              <w:r>
                <w:rPr>
                  <w:rFonts w:ascii="Times New Roman" w:cs="Times New Roman" w:eastAsia="Times New Roman" w:hAnsi="Times New Roman"/>
                  <w:sz w:val="18"/>
                  <w:szCs w:val="18"/>
                  <w:color w:val="auto"/>
                  <w:w w:val="99"/>
                </w:rPr>
                <w:t>K filed March 20, 2017, and incorporated herein by reference).</w:t>
              </w:r>
            </w:hyperlink>
          </w:p>
        </w:tc>
        <w:tc>
          <w:tcPr>
            <w:tcW w:w="4780" w:type="dxa"/>
            <w:vAlign w:val="bottom"/>
            <w:tcBorders>
              <w:top w:val="single" w:sz="8" w:color="0000EE"/>
            </w:tcBorders>
            <w:gridSpan w:val="17"/>
          </w:tcPr>
          <w:p>
            <w:pPr>
              <w:spacing w:after="0"/>
              <w:rPr>
                <w:sz w:val="17"/>
                <w:szCs w:val="17"/>
                <w:color w:val="auto"/>
              </w:rPr>
            </w:pPr>
          </w:p>
        </w:tc>
        <w:tc>
          <w:tcPr>
            <w:tcW w:w="60" w:type="dxa"/>
            <w:vAlign w:val="bottom"/>
            <w:gridSpan w:val="2"/>
          </w:tcPr>
          <w:p>
            <w:pPr>
              <w:spacing w:after="0"/>
              <w:rPr>
                <w:sz w:val="17"/>
                <w:szCs w:val="17"/>
                <w:color w:val="auto"/>
              </w:rPr>
            </w:pPr>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12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298">
              <w:r>
                <w:rPr>
                  <w:rFonts w:ascii="Times New Roman" w:cs="Times New Roman" w:eastAsia="Times New Roman" w:hAnsi="Times New Roman"/>
                  <w:sz w:val="18"/>
                  <w:szCs w:val="18"/>
                  <w:color w:val="auto"/>
                </w:rPr>
                <w:t>Form of Restricted Stock Unit Agreement for Associates (pursuant to the Company’s Long-Term Incentive Plan) (included as</w:t>
              </w:r>
            </w:hyperlink>
          </w:p>
        </w:tc>
        <w:tc>
          <w:tcPr>
            <w:tcW w:w="26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w w:val="99"/>
              </w:rPr>
            </w:pPr>
            <w:hyperlink r:id="rId298">
              <w:r>
                <w:rPr>
                  <w:rFonts w:ascii="Times New Roman" w:cs="Times New Roman" w:eastAsia="Times New Roman" w:hAnsi="Times New Roman"/>
                  <w:sz w:val="18"/>
                  <w:szCs w:val="18"/>
                  <w:color w:val="auto"/>
                  <w:w w:val="99"/>
                </w:rPr>
                <w:t>Exhibit 10.8 to the Company’s Annual Report on Form 10-K filed March 20, 2017, and incorporated herein by reference).</w:t>
              </w:r>
            </w:hyperlink>
          </w:p>
        </w:tc>
        <w:tc>
          <w:tcPr>
            <w:tcW w:w="580" w:type="dxa"/>
            <w:vAlign w:val="bottom"/>
            <w:gridSpan w:val="12"/>
          </w:tcPr>
          <w:p>
            <w:pPr>
              <w:spacing w:after="0"/>
              <w:rPr>
                <w:sz w:val="17"/>
                <w:szCs w:val="17"/>
                <w:color w:val="auto"/>
              </w:rPr>
            </w:pPr>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00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299">
              <w:r>
                <w:rPr>
                  <w:rFonts w:ascii="Times New Roman" w:cs="Times New Roman" w:eastAsia="Times New Roman" w:hAnsi="Times New Roman"/>
                  <w:sz w:val="18"/>
                  <w:szCs w:val="18"/>
                  <w:color w:val="auto"/>
                </w:rPr>
                <w:t>Form of Deferred Stock Award Agreement for Non-Employee Directors (included as Exhibit 10.9 to the Company’s Annual</w:t>
              </w:r>
            </w:hyperlink>
          </w:p>
        </w:tc>
        <w:tc>
          <w:tcPr>
            <w:tcW w:w="38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auto"/>
              </w:rPr>
            </w:pPr>
            <w:hyperlink r:id="rId299">
              <w:r>
                <w:rPr>
                  <w:rFonts w:ascii="Times New Roman" w:cs="Times New Roman" w:eastAsia="Times New Roman" w:hAnsi="Times New Roman"/>
                  <w:sz w:val="18"/>
                  <w:szCs w:val="18"/>
                  <w:color w:val="auto"/>
                </w:rPr>
                <w:t>Report on Form 10-K filed March 20, 2017, and incorporated herein by reference).</w:t>
              </w:r>
            </w:hyperlink>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286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38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300">
              <w:r>
                <w:rPr>
                  <w:rFonts w:ascii="Times New Roman" w:cs="Times New Roman" w:eastAsia="Times New Roman" w:hAnsi="Times New Roman"/>
                  <w:sz w:val="18"/>
                  <w:szCs w:val="18"/>
                  <w:color w:val="auto"/>
                </w:rPr>
                <w:t>Seventh Amended and Restated Non-Employee Director Compensation Plan (included as Exhibit 10.11 to the Company's Annual</w:t>
              </w:r>
            </w:hyperlink>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auto"/>
              </w:rPr>
            </w:pPr>
            <w:hyperlink r:id="rId300">
              <w:r>
                <w:rPr>
                  <w:rFonts w:ascii="Times New Roman" w:cs="Times New Roman" w:eastAsia="Times New Roman" w:hAnsi="Times New Roman"/>
                  <w:sz w:val="18"/>
                  <w:szCs w:val="18"/>
                  <w:color w:val="auto"/>
                </w:rPr>
                <w:t>Report on Form 10-K filed March 21, 2024, and incorporated herein by reference).</w:t>
              </w:r>
            </w:hyperlink>
          </w:p>
        </w:tc>
        <w:tc>
          <w:tcPr>
            <w:tcW w:w="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16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12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01">
              <w:r>
                <w:rPr>
                  <w:rFonts w:ascii="Times New Roman" w:cs="Times New Roman" w:eastAsia="Times New Roman" w:hAnsi="Times New Roman"/>
                  <w:sz w:val="18"/>
                  <w:szCs w:val="18"/>
                  <w:color w:val="auto"/>
                </w:rPr>
                <w:t>Credit Agreement dated October 28, 2021, by and among Citizens Bank, N.A., as Administrative Agent and Collateral Agent,</w:t>
              </w:r>
            </w:hyperlink>
          </w:p>
        </w:tc>
        <w:tc>
          <w:tcPr>
            <w:tcW w:w="26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2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301">
              <w:r>
                <w:rPr>
                  <w:rFonts w:ascii="Times New Roman" w:cs="Times New Roman" w:eastAsia="Times New Roman" w:hAnsi="Times New Roman"/>
                  <w:sz w:val="18"/>
                  <w:szCs w:val="18"/>
                  <w:color w:val="auto"/>
                </w:rPr>
                <w:t>Other Lenders identified therein, the Company, as lead borrower, and the Borrowers and Guarantors identified therein (included</w:t>
              </w:r>
            </w:hyperlink>
          </w:p>
        </w:tc>
        <w:tc>
          <w:tcPr>
            <w:tcW w:w="1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3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301">
              <w:r>
                <w:rPr>
                  <w:rFonts w:ascii="Times New Roman" w:cs="Times New Roman" w:eastAsia="Times New Roman" w:hAnsi="Times New Roman"/>
                  <w:sz w:val="18"/>
                  <w:szCs w:val="18"/>
                  <w:color w:val="auto"/>
                </w:rPr>
                <w:t>as Exhibit 10.1 to the Company's Current Report on Form 8-K filed on November 2, 2021, and incorporated herein by reference).</w:t>
              </w:r>
            </w:hyperlink>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4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78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302">
              <w:r>
                <w:rPr>
                  <w:rFonts w:ascii="Times New Roman" w:cs="Times New Roman" w:eastAsia="Times New Roman" w:hAnsi="Times New Roman"/>
                  <w:sz w:val="18"/>
                  <w:szCs w:val="18"/>
                  <w:color w:val="auto"/>
                </w:rPr>
                <w:t>First Amendment dated April 20, 2023 to the Credit Agreement dated October 28, 2021, by and among Citizens, N.A., as</w:t>
              </w:r>
            </w:hyperlink>
          </w:p>
        </w:tc>
        <w:tc>
          <w:tcPr>
            <w:tcW w:w="600" w:type="dxa"/>
            <w:vAlign w:val="bottom"/>
            <w:gridSpan w:val="13"/>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3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02">
              <w:r>
                <w:rPr>
                  <w:rFonts w:ascii="Times New Roman" w:cs="Times New Roman" w:eastAsia="Times New Roman" w:hAnsi="Times New Roman"/>
                  <w:sz w:val="18"/>
                  <w:szCs w:val="18"/>
                  <w:color w:val="auto"/>
                </w:rPr>
                <w:t>Administrative Agent and Collateral Agent, Other Lenders identified therein, the Company, as lead borrower, and the Borrowers</w:t>
              </w:r>
            </w:hyperlink>
          </w:p>
        </w:tc>
        <w:tc>
          <w:tcPr>
            <w:tcW w:w="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302">
              <w:r>
                <w:rPr>
                  <w:rFonts w:ascii="Times New Roman" w:cs="Times New Roman" w:eastAsia="Times New Roman" w:hAnsi="Times New Roman"/>
                  <w:sz w:val="18"/>
                  <w:szCs w:val="18"/>
                  <w:color w:val="auto"/>
                </w:rPr>
                <w:t>and Guarantors identified therein (included as Exhibit 10.1 to the Company's Current Report on Form 8-K filed April 24, 2023</w:t>
              </w:r>
            </w:hyperlink>
          </w:p>
        </w:tc>
        <w:tc>
          <w:tcPr>
            <w:tcW w:w="2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auto"/>
              </w:rPr>
            </w:pPr>
            <w:hyperlink r:id="rId302">
              <w:r>
                <w:rPr>
                  <w:rFonts w:ascii="Times New Roman" w:cs="Times New Roman" w:eastAsia="Times New Roman" w:hAnsi="Times New Roman"/>
                  <w:sz w:val="18"/>
                  <w:szCs w:val="18"/>
                  <w:color w:val="auto"/>
                </w:rPr>
                <w:t>and incorporated herein by reference).</w:t>
              </w:r>
            </w:hyperlink>
          </w:p>
        </w:tc>
        <w:tc>
          <w:tcPr>
            <w:tcW w:w="700" w:type="dxa"/>
            <w:vAlign w:val="bottom"/>
          </w:tcPr>
          <w:p>
            <w:pPr>
              <w:spacing w:after="0"/>
              <w:rPr>
                <w:sz w:val="17"/>
                <w:szCs w:val="17"/>
                <w:color w:val="auto"/>
              </w:rPr>
            </w:pPr>
          </w:p>
        </w:tc>
      </w:tr>
      <w:tr>
        <w:trPr>
          <w:trHeight w:val="628"/>
        </w:trPr>
        <w:tc>
          <w:tcPr>
            <w:tcW w:w="1160" w:type="dxa"/>
            <w:vAlign w:val="bottom"/>
          </w:tcPr>
          <w:p>
            <w:pPr>
              <w:spacing w:after="0"/>
              <w:rPr>
                <w:sz w:val="24"/>
                <w:szCs w:val="24"/>
                <w:color w:val="auto"/>
              </w:rPr>
            </w:pPr>
          </w:p>
        </w:tc>
        <w:tc>
          <w:tcPr>
            <w:tcW w:w="2740" w:type="dxa"/>
            <w:vAlign w:val="bottom"/>
            <w:tcBorders>
              <w:top w:val="single" w:sz="8" w:color="0000EE"/>
            </w:tcBorders>
            <w:gridSpan w:val="3"/>
          </w:tcPr>
          <w:p>
            <w:pPr>
              <w:spacing w:after="0"/>
              <w:rPr>
                <w:sz w:val="24"/>
                <w:szCs w:val="24"/>
                <w:color w:val="auto"/>
              </w:rPr>
            </w:pPr>
          </w:p>
        </w:tc>
        <w:tc>
          <w:tcPr>
            <w:tcW w:w="2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10.14</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05">
              <w:r>
                <w:rPr>
                  <w:rFonts w:ascii="Times New Roman" w:cs="Times New Roman" w:eastAsia="Times New Roman" w:hAnsi="Times New Roman"/>
                  <w:sz w:val="18"/>
                  <w:szCs w:val="18"/>
                  <w:color w:val="auto"/>
                </w:rPr>
                <w:t>Amended and Restated Employment Agreement between the Company and Harvey S. Kanter effective April 1, 2022 (included as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05">
              <w:r>
                <w:rPr>
                  <w:rFonts w:ascii="Times New Roman" w:cs="Times New Roman" w:eastAsia="Times New Roman" w:hAnsi="Times New Roman"/>
                  <w:sz w:val="18"/>
                  <w:szCs w:val="18"/>
                  <w:color w:val="auto"/>
                </w:rPr>
                <w:t>Exhibit 10.1 to the Company's Current Report on Form 8-K filed April 5, 2022,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10.15</w:t>
            </w:r>
          </w:p>
        </w:tc>
        <w:tc>
          <w:tcPr>
            <w:tcW w:w="902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06">
              <w:r>
                <w:rPr>
                  <w:rFonts w:ascii="Times New Roman" w:cs="Times New Roman" w:eastAsia="Times New Roman" w:hAnsi="Times New Roman"/>
                  <w:sz w:val="18"/>
                  <w:szCs w:val="18"/>
                  <w:color w:val="auto"/>
                </w:rPr>
                <w:t>First Amendment to the Amended and Restated Employment Agreement between the Company and Harvey S. Kanter, dated</w:t>
              </w:r>
            </w:hyperlink>
          </w:p>
        </w:tc>
        <w:tc>
          <w:tcPr>
            <w:tcW w:w="3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06">
              <w:r>
                <w:rPr>
                  <w:rFonts w:ascii="Times New Roman" w:cs="Times New Roman" w:eastAsia="Times New Roman" w:hAnsi="Times New Roman"/>
                  <w:sz w:val="18"/>
                  <w:szCs w:val="18"/>
                  <w:color w:val="auto"/>
                </w:rPr>
                <w:t>August 11, 2023, which includes the Form of Performance Share Award Agreement (included as Exhibit 10.1 to the Company's</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06">
              <w:r>
                <w:rPr>
                  <w:rFonts w:ascii="Times New Roman" w:cs="Times New Roman" w:eastAsia="Times New Roman" w:hAnsi="Times New Roman"/>
                  <w:sz w:val="18"/>
                  <w:szCs w:val="18"/>
                  <w:color w:val="auto"/>
                </w:rPr>
                <w:t>Current Report on Form 8-K filed August 15, 2023,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10.16</w:t>
            </w:r>
          </w:p>
        </w:tc>
        <w:tc>
          <w:tcPr>
            <w:tcW w:w="9200" w:type="dxa"/>
            <w:vAlign w:val="bottom"/>
            <w:tcBorders>
              <w:bottom w:val="single" w:sz="8" w:color="0000EE"/>
            </w:tcBorders>
            <w:gridSpan w:val="19"/>
          </w:tcPr>
          <w:p>
            <w:pPr>
              <w:spacing w:after="0"/>
              <w:rPr>
                <w:rFonts w:ascii="Times New Roman" w:cs="Times New Roman" w:eastAsia="Times New Roman" w:hAnsi="Times New Roman"/>
                <w:sz w:val="18"/>
                <w:szCs w:val="18"/>
                <w:color w:val="auto"/>
                <w:w w:val="99"/>
              </w:rPr>
            </w:pPr>
            <w:hyperlink r:id="rId307">
              <w:r>
                <w:rPr>
                  <w:rFonts w:ascii="Times New Roman" w:cs="Times New Roman" w:eastAsia="Times New Roman" w:hAnsi="Times New Roman"/>
                  <w:sz w:val="18"/>
                  <w:szCs w:val="18"/>
                  <w:color w:val="auto"/>
                  <w:w w:val="99"/>
                </w:rPr>
                <w:t>Second Amended and Restated Employment Agreement between the Company and Peter H. Stratton, Jr. dated as of November</w:t>
              </w:r>
            </w:hyperlink>
          </w:p>
        </w:tc>
        <w:tc>
          <w:tcPr>
            <w:tcW w:w="1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307">
              <w:r>
                <w:rPr>
                  <w:rFonts w:ascii="Times New Roman" w:cs="Times New Roman" w:eastAsia="Times New Roman" w:hAnsi="Times New Roman"/>
                  <w:sz w:val="18"/>
                  <w:szCs w:val="18"/>
                  <w:color w:val="auto"/>
                </w:rPr>
                <w:t>27, 2017 (included at Exhibit 10.32 to the Company’s Annual Report on Form 10-K filed on March 23, 2018, and incorporated</w:t>
              </w:r>
            </w:hyperlink>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07">
              <w:r>
                <w:rPr>
                  <w:rFonts w:ascii="Times New Roman" w:cs="Times New Roman" w:eastAsia="Times New Roman" w:hAnsi="Times New Roman"/>
                  <w:sz w:val="18"/>
                  <w:szCs w:val="18"/>
                  <w:color w:val="auto"/>
                </w:rPr>
                <w:t>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10.17</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08">
              <w:r>
                <w:rPr>
                  <w:rFonts w:ascii="Times New Roman" w:cs="Times New Roman" w:eastAsia="Times New Roman" w:hAnsi="Times New Roman"/>
                  <w:sz w:val="18"/>
                  <w:szCs w:val="18"/>
                  <w:color w:val="auto"/>
                </w:rPr>
                <w:t>Employment Agreement between the Company and Robert S. Molloy dated as of January 7, 2010 (included as Exhibit 10.2 to the</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w w:val="99"/>
              </w:rPr>
            </w:pPr>
            <w:hyperlink r:id="rId308">
              <w:r>
                <w:rPr>
                  <w:rFonts w:ascii="Times New Roman" w:cs="Times New Roman" w:eastAsia="Times New Roman" w:hAnsi="Times New Roman"/>
                  <w:sz w:val="18"/>
                  <w:szCs w:val="18"/>
                  <w:color w:val="auto"/>
                  <w:w w:val="99"/>
                </w:rPr>
                <w:t>Company’s Current Report on Form 8-K filed on January 11, 2010 (File No. 001-34219), and incorporated herein by reference).</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10.18</w:t>
            </w:r>
          </w:p>
        </w:tc>
        <w:tc>
          <w:tcPr>
            <w:tcW w:w="92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09">
              <w:r>
                <w:rPr>
                  <w:rFonts w:ascii="Times New Roman" w:cs="Times New Roman" w:eastAsia="Times New Roman" w:hAnsi="Times New Roman"/>
                  <w:sz w:val="18"/>
                  <w:szCs w:val="18"/>
                  <w:color w:val="auto"/>
                </w:rPr>
                <w:t>Employment Agreement between the Company and Robert Bogan dated as of November 27, 2023 (included as Exhibit 10.18 to</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309">
              <w:r>
                <w:rPr>
                  <w:rFonts w:ascii="Times New Roman" w:cs="Times New Roman" w:eastAsia="Times New Roman" w:hAnsi="Times New Roman"/>
                  <w:sz w:val="18"/>
                  <w:szCs w:val="18"/>
                  <w:color w:val="auto"/>
                  <w:w w:val="99"/>
                </w:rPr>
                <w:t>the Company's Annual Report on Form 10-K filed on March 21, 2024, and incorporated herein by reference).</w:t>
              </w:r>
            </w:hyperlink>
          </w:p>
        </w:tc>
        <w:tc>
          <w:tcPr>
            <w:tcW w:w="15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10.19</w:t>
            </w:r>
          </w:p>
        </w:tc>
        <w:tc>
          <w:tcPr>
            <w:tcW w:w="904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310">
              <w:r>
                <w:rPr>
                  <w:rFonts w:ascii="Times New Roman" w:cs="Times New Roman" w:eastAsia="Times New Roman" w:hAnsi="Times New Roman"/>
                  <w:sz w:val="18"/>
                  <w:szCs w:val="18"/>
                  <w:color w:val="auto"/>
                </w:rPr>
                <w:t>Second Amended and Restated Employment Agreement between the Company and Antony Gaeta dated as of April 16, 2023</w:t>
              </w:r>
            </w:hyperlink>
          </w:p>
        </w:tc>
        <w:tc>
          <w:tcPr>
            <w:tcW w:w="3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310">
              <w:r>
                <w:rPr>
                  <w:rFonts w:ascii="Times New Roman" w:cs="Times New Roman" w:eastAsia="Times New Roman" w:hAnsi="Times New Roman"/>
                  <w:sz w:val="18"/>
                  <w:szCs w:val="18"/>
                  <w:color w:val="auto"/>
                </w:rPr>
                <w:t>(included as Exhibit 10.1 to the Company's Current Report on Form 8-K filed April 14, 2023 and incorporated herein by</w:t>
              </w:r>
            </w:hyperlink>
          </w:p>
        </w:tc>
        <w:tc>
          <w:tcPr>
            <w:tcW w:w="6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0">
              <w:r>
                <w:rPr>
                  <w:rFonts w:ascii="Times New Roman" w:cs="Times New Roman" w:eastAsia="Times New Roman" w:hAnsi="Times New Roman"/>
                  <w:sz w:val="18"/>
                  <w:szCs w:val="18"/>
                  <w:color w:val="auto"/>
                </w:rPr>
                <w:t>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10.20</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11">
              <w:r>
                <w:rPr>
                  <w:rFonts w:ascii="Times New Roman" w:cs="Times New Roman" w:eastAsia="Times New Roman" w:hAnsi="Times New Roman"/>
                  <w:sz w:val="18"/>
                  <w:szCs w:val="18"/>
                  <w:color w:val="auto"/>
                </w:rPr>
                <w:t>Amended and Restated Employment Agreement between the Company and John F. Cooney effective March 6, 2022 (included as</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1">
              <w:r>
                <w:rPr>
                  <w:rFonts w:ascii="Times New Roman" w:cs="Times New Roman" w:eastAsia="Times New Roman" w:hAnsi="Times New Roman"/>
                  <w:sz w:val="18"/>
                  <w:szCs w:val="18"/>
                  <w:color w:val="auto"/>
                </w:rPr>
                <w:t>Exhibit 10.6 to the Company’s Quarterly Report on Form 10-Q filed on May 26, 2022,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10.21</w:t>
            </w:r>
          </w:p>
        </w:tc>
        <w:tc>
          <w:tcPr>
            <w:tcW w:w="91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12">
              <w:r>
                <w:rPr>
                  <w:rFonts w:ascii="Times New Roman" w:cs="Times New Roman" w:eastAsia="Times New Roman" w:hAnsi="Times New Roman"/>
                  <w:sz w:val="18"/>
                  <w:szCs w:val="18"/>
                  <w:color w:val="auto"/>
                </w:rPr>
                <w:t>Employment Agreement between the Company and Stacey Jones effective February 19, 2021 (included as Exhibit 10.1 to the</w:t>
              </w:r>
            </w:hyperlink>
          </w:p>
        </w:tc>
        <w:tc>
          <w:tcPr>
            <w:tcW w:w="2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6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312">
              <w:r>
                <w:rPr>
                  <w:rFonts w:ascii="Times New Roman" w:cs="Times New Roman" w:eastAsia="Times New Roman" w:hAnsi="Times New Roman"/>
                  <w:sz w:val="18"/>
                  <w:szCs w:val="18"/>
                  <w:color w:val="auto"/>
                  <w:w w:val="99"/>
                </w:rPr>
                <w:t>Company's Quarterly Report on Form 10-Q filed on May 27, 2021, and incorporated herein by reference).</w:t>
              </w:r>
            </w:hyperlink>
          </w:p>
        </w:tc>
        <w:tc>
          <w:tcPr>
            <w:tcW w:w="174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10.22</w:t>
            </w:r>
          </w:p>
        </w:tc>
        <w:tc>
          <w:tcPr>
            <w:tcW w:w="92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13">
              <w:r>
                <w:rPr>
                  <w:rFonts w:ascii="Times New Roman" w:cs="Times New Roman" w:eastAsia="Times New Roman" w:hAnsi="Times New Roman"/>
                  <w:sz w:val="18"/>
                  <w:szCs w:val="18"/>
                  <w:color w:val="auto"/>
                </w:rPr>
                <w:t>Amended and Restated Employment Agreement between the Company and James Reath dated as of May 10, 2023 (included as</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3">
              <w:r>
                <w:rPr>
                  <w:rFonts w:ascii="Times New Roman" w:cs="Times New Roman" w:eastAsia="Times New Roman" w:hAnsi="Times New Roman"/>
                  <w:sz w:val="18"/>
                  <w:szCs w:val="18"/>
                  <w:color w:val="auto"/>
                </w:rPr>
                <w:t>Exhibit 10.1 to the Company's Quarterly Report on Form 10-Q filed on August 24, 2023,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10.23</w:t>
            </w:r>
          </w:p>
        </w:tc>
        <w:tc>
          <w:tcPr>
            <w:tcW w:w="93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14">
              <w:r>
                <w:rPr>
                  <w:rFonts w:ascii="Times New Roman" w:cs="Times New Roman" w:eastAsia="Times New Roman" w:hAnsi="Times New Roman"/>
                  <w:sz w:val="18"/>
                  <w:szCs w:val="18"/>
                  <w:color w:val="auto"/>
                </w:rPr>
                <w:t>Amended and Restated Employment Agreement between the Company and Allison Surette effective March 6, 2022 (included as</w:t>
              </w:r>
            </w:hyperlink>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4">
              <w:r>
                <w:rPr>
                  <w:rFonts w:ascii="Times New Roman" w:cs="Times New Roman" w:eastAsia="Times New Roman" w:hAnsi="Times New Roman"/>
                  <w:sz w:val="18"/>
                  <w:szCs w:val="18"/>
                  <w:color w:val="auto"/>
                </w:rPr>
                <w:t>Exhibit 10.5 to the Company’s Quarterly Report on Form 10-Q filed on May 26, 2022,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10.24</w:t>
            </w:r>
          </w:p>
        </w:tc>
        <w:tc>
          <w:tcPr>
            <w:tcW w:w="932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315">
              <w:r>
                <w:rPr>
                  <w:rFonts w:ascii="Times New Roman" w:cs="Times New Roman" w:eastAsia="Times New Roman" w:hAnsi="Times New Roman"/>
                  <w:sz w:val="18"/>
                  <w:szCs w:val="18"/>
                  <w:color w:val="auto"/>
                </w:rPr>
                <w:t>Stand-alone Inducement Restricted Stock Unit Award Agreement between the Company and James Reath dated October 7, 2022</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315">
              <w:r>
                <w:rPr>
                  <w:rFonts w:ascii="Times New Roman" w:cs="Times New Roman" w:eastAsia="Times New Roman" w:hAnsi="Times New Roman"/>
                  <w:sz w:val="18"/>
                  <w:szCs w:val="18"/>
                  <w:color w:val="auto"/>
                </w:rPr>
                <w:t>(included as Exhibit 10.2 to the Company's Quarterly Report on Form 10-Q filed on November 17, 2022, and incorporated herein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315">
              <w:r>
                <w:rPr>
                  <w:rFonts w:ascii="Times New Roman" w:cs="Times New Roman" w:eastAsia="Times New Roman" w:hAnsi="Times New Roman"/>
                  <w:sz w:val="18"/>
                  <w:szCs w:val="18"/>
                  <w:color w:val="auto"/>
                  <w:w w:val="98"/>
                </w:rPr>
                <w:t>by reference).</w:t>
              </w:r>
            </w:hyperlink>
          </w:p>
        </w:tc>
        <w:tc>
          <w:tcPr>
            <w:tcW w:w="83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10.25</w:t>
            </w:r>
          </w:p>
        </w:tc>
        <w:tc>
          <w:tcPr>
            <w:tcW w:w="924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316">
              <w:r>
                <w:rPr>
                  <w:rFonts w:ascii="Times New Roman" w:cs="Times New Roman" w:eastAsia="Times New Roman" w:hAnsi="Times New Roman"/>
                  <w:sz w:val="18"/>
                  <w:szCs w:val="18"/>
                  <w:color w:val="auto"/>
                </w:rPr>
                <w:t>Stand-alone Inducement Restricted Stock Unit Award Agreement between the Company and Jonathan Sainsbury dated October</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8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316">
              <w:r>
                <w:rPr>
                  <w:rFonts w:ascii="Times New Roman" w:cs="Times New Roman" w:eastAsia="Times New Roman" w:hAnsi="Times New Roman"/>
                  <w:sz w:val="18"/>
                  <w:szCs w:val="18"/>
                  <w:color w:val="auto"/>
                </w:rPr>
                <w:t>26, 2022 (included as Exhibit 10.3 to the Company's Quarterly Report on Form 10-Q filed on November 17, 2022, and</w:t>
              </w:r>
            </w:hyperlink>
          </w:p>
        </w:tc>
        <w:tc>
          <w:tcPr>
            <w:tcW w:w="7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6">
              <w:r>
                <w:rPr>
                  <w:rFonts w:ascii="Times New Roman" w:cs="Times New Roman" w:eastAsia="Times New Roman" w:hAnsi="Times New Roman"/>
                  <w:sz w:val="18"/>
                  <w:szCs w:val="18"/>
                  <w:color w:val="auto"/>
                </w:rPr>
                <w:t>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10.26</w:t>
            </w:r>
          </w:p>
        </w:tc>
        <w:tc>
          <w:tcPr>
            <w:tcW w:w="90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17">
              <w:r>
                <w:rPr>
                  <w:rFonts w:ascii="Times New Roman" w:cs="Times New Roman" w:eastAsia="Times New Roman" w:hAnsi="Times New Roman"/>
                  <w:sz w:val="18"/>
                  <w:szCs w:val="18"/>
                  <w:color w:val="auto"/>
                </w:rPr>
                <w:t>Sixth Amended and Restated Annual Incentive Plan (included as Exhibit 10.1 to the Company’s Current Report on Form 8-K</w:t>
              </w:r>
            </w:hyperlink>
          </w:p>
        </w:tc>
        <w:tc>
          <w:tcPr>
            <w:tcW w:w="3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7">
              <w:r>
                <w:rPr>
                  <w:rFonts w:ascii="Times New Roman" w:cs="Times New Roman" w:eastAsia="Times New Roman" w:hAnsi="Times New Roman"/>
                  <w:sz w:val="18"/>
                  <w:szCs w:val="18"/>
                  <w:color w:val="auto"/>
                </w:rPr>
                <w:t>filed on November 7, 2023,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10.27</w:t>
            </w:r>
          </w:p>
        </w:tc>
        <w:tc>
          <w:tcPr>
            <w:tcW w:w="9360" w:type="dxa"/>
            <w:vAlign w:val="bottom"/>
            <w:tcBorders>
              <w:bottom w:val="single" w:sz="8" w:color="0000EE"/>
            </w:tcBorders>
            <w:gridSpan w:val="26"/>
          </w:tcPr>
          <w:p>
            <w:pPr>
              <w:spacing w:after="0"/>
              <w:rPr>
                <w:rFonts w:ascii="Times New Roman" w:cs="Times New Roman" w:eastAsia="Times New Roman" w:hAnsi="Times New Roman"/>
                <w:sz w:val="18"/>
                <w:szCs w:val="18"/>
                <w:color w:val="auto"/>
                <w:w w:val="99"/>
              </w:rPr>
            </w:pPr>
            <w:hyperlink r:id="rId318">
              <w:r>
                <w:rPr>
                  <w:rFonts w:ascii="Times New Roman" w:cs="Times New Roman" w:eastAsia="Times New Roman" w:hAnsi="Times New Roman"/>
                  <w:sz w:val="18"/>
                  <w:szCs w:val="18"/>
                  <w:color w:val="auto"/>
                  <w:w w:val="99"/>
                </w:rPr>
                <w:t>Second Amended and Restated Long-Term Incentive Plan (included as Exhibit 10.1 to the Company’s Current Report on Form 8-</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8">
              <w:r>
                <w:rPr>
                  <w:rFonts w:ascii="Times New Roman" w:cs="Times New Roman" w:eastAsia="Times New Roman" w:hAnsi="Times New Roman"/>
                  <w:sz w:val="18"/>
                  <w:szCs w:val="18"/>
                  <w:color w:val="auto"/>
                </w:rPr>
                <w:t>K filed on June 22, 2018,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10.28</w:t>
            </w:r>
          </w:p>
        </w:tc>
        <w:tc>
          <w:tcPr>
            <w:tcW w:w="920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19">
              <w:r>
                <w:rPr>
                  <w:rFonts w:ascii="Times New Roman" w:cs="Times New Roman" w:eastAsia="Times New Roman" w:hAnsi="Times New Roman"/>
                  <w:sz w:val="18"/>
                  <w:szCs w:val="18"/>
                  <w:color w:val="auto"/>
                </w:rPr>
                <w:t>First Amendment to the Second Amended and Restated Long-Term Incentive Plan (included as Exhibit 10.1 to the Company’s</w:t>
              </w:r>
            </w:hyperlink>
          </w:p>
        </w:tc>
        <w:tc>
          <w:tcPr>
            <w:tcW w:w="1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19">
              <w:r>
                <w:rPr>
                  <w:rFonts w:ascii="Times New Roman" w:cs="Times New Roman" w:eastAsia="Times New Roman" w:hAnsi="Times New Roman"/>
                  <w:sz w:val="18"/>
                  <w:szCs w:val="18"/>
                  <w:color w:val="auto"/>
                </w:rPr>
                <w:t>Form 10-Q filed on November 30, 2018,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1320" w:type="dxa"/>
            <w:vAlign w:val="bottom"/>
            <w:tcBorders>
              <w:left w:val="single" w:sz="8" w:color="0000EE"/>
            </w:tcBorders>
            <w:gridSpan w:val="3"/>
            <w:shd w:val="clear" w:color="auto" w:fill="0000EE"/>
          </w:tcPr>
          <w:p>
            <w:pPr>
              <w:spacing w:after="0" w:line="20" w:lineRule="exact"/>
              <w:rPr>
                <w:sz w:val="1"/>
                <w:szCs w:val="1"/>
                <w:color w:val="auto"/>
              </w:rPr>
            </w:pPr>
          </w:p>
        </w:tc>
        <w:tc>
          <w:tcPr>
            <w:tcW w:w="362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10.29</w:t>
            </w: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w w:val="99"/>
              </w:rPr>
            </w:pPr>
            <w:hyperlink r:id="rId320">
              <w:r>
                <w:rPr>
                  <w:rFonts w:ascii="Times New Roman" w:cs="Times New Roman" w:eastAsia="Times New Roman" w:hAnsi="Times New Roman"/>
                  <w:sz w:val="18"/>
                  <w:szCs w:val="18"/>
                  <w:color w:val="auto"/>
                  <w:w w:val="99"/>
                </w:rPr>
                <w:t>Third Amended and Restated Long-Term Incentive Plan (included as Exhibit 10.1 to the Company’s Current Report on Form 8-K</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20">
              <w:r>
                <w:rPr>
                  <w:rFonts w:ascii="Times New Roman" w:cs="Times New Roman" w:eastAsia="Times New Roman" w:hAnsi="Times New Roman"/>
                  <w:sz w:val="18"/>
                  <w:szCs w:val="18"/>
                  <w:color w:val="auto"/>
                </w:rPr>
                <w:t>filed on June 12, 2020,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4940" w:type="dxa"/>
            <w:vAlign w:val="bottom"/>
            <w:tcBorders>
              <w:left w:val="single" w:sz="8" w:color="0000EE"/>
            </w:tcBorders>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10.30</w:t>
            </w:r>
          </w:p>
        </w:tc>
        <w:tc>
          <w:tcPr>
            <w:tcW w:w="934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321">
              <w:r>
                <w:rPr>
                  <w:rFonts w:ascii="Times New Roman" w:cs="Times New Roman" w:eastAsia="Times New Roman" w:hAnsi="Times New Roman"/>
                  <w:sz w:val="18"/>
                  <w:szCs w:val="18"/>
                  <w:color w:val="auto"/>
                </w:rPr>
                <w:t>Fourth Amended and Restated Long-Term Incentive Plan (included as Exhibit 10.2 to the Company Current Report on Form 8-K</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gridSpan w:val="27"/>
          </w:tcPr>
          <w:p>
            <w:pPr>
              <w:spacing w:after="0" w:line="196" w:lineRule="exact"/>
              <w:rPr>
                <w:rFonts w:ascii="Times New Roman" w:cs="Times New Roman" w:eastAsia="Times New Roman" w:hAnsi="Times New Roman"/>
                <w:sz w:val="18"/>
                <w:szCs w:val="18"/>
                <w:color w:val="auto"/>
              </w:rPr>
            </w:pPr>
            <w:hyperlink r:id="rId321">
              <w:r>
                <w:rPr>
                  <w:rFonts w:ascii="Times New Roman" w:cs="Times New Roman" w:eastAsia="Times New Roman" w:hAnsi="Times New Roman"/>
                  <w:sz w:val="18"/>
                  <w:szCs w:val="18"/>
                  <w:color w:val="auto"/>
                </w:rPr>
                <w:t>filed on April 5, 2022, and incorporated herein by reference).</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580" w:type="dxa"/>
            <w:vAlign w:val="bottom"/>
            <w:gridSpan w:val="6"/>
          </w:tcPr>
          <w:p>
            <w:pPr>
              <w:ind w:left="4380"/>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540" w:space="360"/>
            <w:col w:w="80"/>
          </w:cols>
          <w:pgMar w:left="340" w:top="878" w:right="57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2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23">
              <w:r>
                <w:rPr>
                  <w:rFonts w:ascii="Times New Roman" w:cs="Times New Roman" w:eastAsia="Times New Roman" w:hAnsi="Times New Roman"/>
                  <w:sz w:val="18"/>
                  <w:szCs w:val="18"/>
                  <w:color w:val="auto"/>
                </w:rPr>
                <w:t>Letter Agreement, dated January 29, 2014, by and between the Company and Red Mountain Capital Partners LLC (included as</w:t>
              </w:r>
            </w:hyperlink>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323">
              <w:r>
                <w:rPr>
                  <w:rFonts w:ascii="Times New Roman" w:cs="Times New Roman" w:eastAsia="Times New Roman" w:hAnsi="Times New Roman"/>
                  <w:sz w:val="18"/>
                  <w:szCs w:val="18"/>
                  <w:color w:val="auto"/>
                </w:rPr>
                <w:t>Exhibit 10.1 to the Company’s Quarterly Report on Form 10-Q filed on November 17, 2017, and incorporated herein by</w:t>
              </w:r>
            </w:hyperlink>
          </w:p>
        </w:tc>
        <w:tc>
          <w:tcPr>
            <w:tcW w:w="64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40" w:type="dxa"/>
            <w:vAlign w:val="bottom"/>
            <w:gridSpan w:val="22"/>
          </w:tcPr>
          <w:p>
            <w:pPr>
              <w:spacing w:after="0" w:line="196" w:lineRule="exact"/>
              <w:rPr>
                <w:rFonts w:ascii="Times New Roman" w:cs="Times New Roman" w:eastAsia="Times New Roman" w:hAnsi="Times New Roman"/>
                <w:sz w:val="18"/>
                <w:szCs w:val="18"/>
                <w:color w:val="auto"/>
              </w:rPr>
            </w:pPr>
            <w:hyperlink r:id="rId323">
              <w:r>
                <w:rPr>
                  <w:rFonts w:ascii="Times New Roman" w:cs="Times New Roman" w:eastAsia="Times New Roman" w:hAnsi="Times New Roman"/>
                  <w:sz w:val="18"/>
                  <w:szCs w:val="18"/>
                  <w:color w:val="auto"/>
                </w:rPr>
                <w:t>reference).</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892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24">
              <w:r>
                <w:rPr>
                  <w:rFonts w:ascii="Times New Roman" w:cs="Times New Roman" w:eastAsia="Times New Roman" w:hAnsi="Times New Roman"/>
                  <w:sz w:val="18"/>
                  <w:szCs w:val="18"/>
                  <w:color w:val="auto"/>
                </w:rPr>
                <w:t>Letter Agreement, dated April 4, 2018, by and between the Company and Red Mountain Capital Partners LLC (included as</w:t>
              </w:r>
            </w:hyperlink>
          </w:p>
        </w:tc>
        <w:tc>
          <w:tcPr>
            <w:tcW w:w="42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40" w:type="dxa"/>
            <w:vAlign w:val="bottom"/>
            <w:gridSpan w:val="22"/>
          </w:tcPr>
          <w:p>
            <w:pPr>
              <w:spacing w:after="0" w:line="196" w:lineRule="exact"/>
              <w:rPr>
                <w:rFonts w:ascii="Times New Roman" w:cs="Times New Roman" w:eastAsia="Times New Roman" w:hAnsi="Times New Roman"/>
                <w:sz w:val="18"/>
                <w:szCs w:val="18"/>
                <w:color w:val="auto"/>
              </w:rPr>
            </w:pPr>
            <w:hyperlink r:id="rId324">
              <w:r>
                <w:rPr>
                  <w:rFonts w:ascii="Times New Roman" w:cs="Times New Roman" w:eastAsia="Times New Roman" w:hAnsi="Times New Roman"/>
                  <w:sz w:val="18"/>
                  <w:szCs w:val="18"/>
                  <w:color w:val="auto"/>
                </w:rPr>
                <w:t>Exhibit 10.38 to the Company’s Annual Report on Form 10-K filed on March 19, 2020, and incorporated herein by reference)</w:t>
              </w:r>
            </w:hyperlink>
            <w:r>
              <w:rPr>
                <w:rFonts w:ascii="Times New Roman" w:cs="Times New Roman" w:eastAsia="Times New Roman" w:hAnsi="Times New Roman"/>
                <w:sz w:val="18"/>
                <w:szCs w:val="18"/>
                <w:color w:val="auto"/>
              </w:rPr>
              <w:t>.</w:t>
            </w: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00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auto"/>
                <w:w w:val="99"/>
              </w:rPr>
            </w:pPr>
            <w:hyperlink r:id="rId325">
              <w:r>
                <w:rPr>
                  <w:rFonts w:ascii="Times New Roman" w:cs="Times New Roman" w:eastAsia="Times New Roman" w:hAnsi="Times New Roman"/>
                  <w:sz w:val="18"/>
                  <w:szCs w:val="18"/>
                  <w:color w:val="auto"/>
                  <w:w w:val="99"/>
                </w:rPr>
                <w:t>Form of Securities Purchase Agreement (included as Exhibit 10.1 to the Company’s Current Report on Form 8-K/A, filed on</w:t>
              </w:r>
            </w:hyperlink>
          </w:p>
        </w:tc>
        <w:tc>
          <w:tcPr>
            <w:tcW w:w="40" w:type="dxa"/>
            <w:vAlign w:val="bottom"/>
            <w:tcBorders>
              <w:bottom w:val="single" w:sz="8" w:color="0000EE"/>
            </w:tcBorders>
          </w:tcPr>
          <w:p>
            <w:pPr>
              <w:spacing w:after="0"/>
              <w:rPr>
                <w:sz w:val="24"/>
                <w:szCs w:val="24"/>
                <w:color w:val="auto"/>
              </w:rPr>
            </w:pPr>
          </w:p>
        </w:tc>
        <w:tc>
          <w:tcPr>
            <w:tcW w:w="30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325">
              <w:r>
                <w:rPr>
                  <w:rFonts w:ascii="Times New Roman" w:cs="Times New Roman" w:eastAsia="Times New Roman" w:hAnsi="Times New Roman"/>
                  <w:sz w:val="18"/>
                  <w:szCs w:val="18"/>
                  <w:color w:val="auto"/>
                  <w:w w:val="99"/>
                </w:rPr>
                <w:t>February 5, 2021, and incorporated herein by reference).</w:t>
              </w:r>
            </w:hyperlink>
          </w:p>
        </w:tc>
        <w:tc>
          <w:tcPr>
            <w:tcW w:w="5260" w:type="dxa"/>
            <w:vAlign w:val="bottom"/>
            <w:gridSpan w:val="15"/>
          </w:tcPr>
          <w:p>
            <w:pPr>
              <w:spacing w:after="0"/>
              <w:rPr>
                <w:sz w:val="17"/>
                <w:szCs w:val="17"/>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880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326">
              <w:r>
                <w:rPr>
                  <w:rFonts w:ascii="Times New Roman" w:cs="Times New Roman" w:eastAsia="Times New Roman" w:hAnsi="Times New Roman"/>
                  <w:sz w:val="18"/>
                  <w:szCs w:val="18"/>
                  <w:color w:val="auto"/>
                </w:rPr>
                <w:t>Contribution Agreement dated January 30, 2006 by and among the Company, Spirit SPE Canton, LLC and Spirit Finance</w:t>
              </w:r>
            </w:hyperlink>
          </w:p>
        </w:tc>
        <w:tc>
          <w:tcPr>
            <w:tcW w:w="54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26">
              <w:r>
                <w:rPr>
                  <w:rFonts w:ascii="Times New Roman" w:cs="Times New Roman" w:eastAsia="Times New Roman" w:hAnsi="Times New Roman"/>
                  <w:sz w:val="18"/>
                  <w:szCs w:val="18"/>
                  <w:color w:val="auto"/>
                </w:rPr>
                <w:t>Acquisitions, LLC (included as Exhibit 10.1 to the Company’s Current Report on Form 8-K filed on February 3, 2006 (File No.</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326">
              <w:r>
                <w:rPr>
                  <w:rFonts w:ascii="Times New Roman" w:cs="Times New Roman" w:eastAsia="Times New Roman" w:hAnsi="Times New Roman"/>
                  <w:sz w:val="18"/>
                  <w:szCs w:val="18"/>
                  <w:color w:val="auto"/>
                  <w:w w:val="99"/>
                </w:rPr>
                <w:t>001-34219), and incorporated herein by reference).</w:t>
              </w:r>
            </w:hyperlink>
          </w:p>
        </w:tc>
        <w:tc>
          <w:tcPr>
            <w:tcW w:w="5660" w:type="dxa"/>
            <w:vAlign w:val="bottom"/>
            <w:gridSpan w:val="16"/>
          </w:tcPr>
          <w:p>
            <w:pPr>
              <w:spacing w:after="0"/>
              <w:rPr>
                <w:sz w:val="17"/>
                <w:szCs w:val="17"/>
                <w:color w:val="auto"/>
              </w:rPr>
            </w:pPr>
          </w:p>
        </w:tc>
      </w:tr>
      <w:tr>
        <w:trPr>
          <w:trHeight w:val="34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27">
              <w:r>
                <w:rPr>
                  <w:rFonts w:ascii="Times New Roman" w:cs="Times New Roman" w:eastAsia="Times New Roman" w:hAnsi="Times New Roman"/>
                  <w:sz w:val="18"/>
                  <w:szCs w:val="18"/>
                  <w:color w:val="auto"/>
                </w:rPr>
                <w:t>Membership Interest Purchase Agreement dated January 30, 2006 by and between the Company and Spirit Finance Acquisitions,</w:t>
              </w:r>
            </w:hyperlink>
          </w:p>
        </w:tc>
      </w:tr>
      <w:tr>
        <w:trPr>
          <w:trHeight w:val="196"/>
        </w:trPr>
        <w:tc>
          <w:tcPr>
            <w:tcW w:w="114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327">
              <w:r>
                <w:rPr>
                  <w:rFonts w:ascii="Times New Roman" w:cs="Times New Roman" w:eastAsia="Times New Roman" w:hAnsi="Times New Roman"/>
                  <w:sz w:val="18"/>
                  <w:szCs w:val="18"/>
                  <w:color w:val="auto"/>
                </w:rPr>
                <w:t>LLC (included as Exhibit 10.2 to the Company’s Current Report on Form 8-K filed on February 3, 2006 (File No. 001-34219),</w:t>
              </w:r>
            </w:hyperlink>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40" w:type="dxa"/>
            <w:vAlign w:val="bottom"/>
            <w:gridSpan w:val="22"/>
          </w:tcPr>
          <w:p>
            <w:pPr>
              <w:spacing w:after="0" w:line="196" w:lineRule="exact"/>
              <w:rPr>
                <w:rFonts w:ascii="Times New Roman" w:cs="Times New Roman" w:eastAsia="Times New Roman" w:hAnsi="Times New Roman"/>
                <w:sz w:val="18"/>
                <w:szCs w:val="18"/>
                <w:color w:val="auto"/>
              </w:rPr>
            </w:pPr>
            <w:hyperlink r:id="rId327">
              <w:r>
                <w:rPr>
                  <w:rFonts w:ascii="Times New Roman" w:cs="Times New Roman" w:eastAsia="Times New Roman" w:hAnsi="Times New Roman"/>
                  <w:sz w:val="18"/>
                  <w:szCs w:val="18"/>
                  <w:color w:val="auto"/>
                </w:rPr>
                <w:t>and incorporated herein by reference).</w:t>
              </w:r>
            </w:hyperlink>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28">
              <w:r>
                <w:rPr>
                  <w:rFonts w:ascii="Times New Roman" w:cs="Times New Roman" w:eastAsia="Times New Roman" w:hAnsi="Times New Roman"/>
                  <w:sz w:val="18"/>
                  <w:szCs w:val="18"/>
                  <w:color w:val="auto"/>
                </w:rPr>
                <w:t>Lease Agreement dated February 1, 2006 by and between the Company and Spirit SPE Canton, LLC (included as Exhibit 10.3 to</w:t>
              </w:r>
            </w:hyperlink>
          </w:p>
        </w:tc>
      </w:tr>
      <w:tr>
        <w:trPr>
          <w:trHeight w:val="196"/>
        </w:trPr>
        <w:tc>
          <w:tcPr>
            <w:tcW w:w="1140" w:type="dxa"/>
            <w:vAlign w:val="bottom"/>
          </w:tcPr>
          <w:p>
            <w:pPr>
              <w:spacing w:after="0"/>
              <w:rPr>
                <w:sz w:val="17"/>
                <w:szCs w:val="17"/>
                <w:color w:val="auto"/>
              </w:rPr>
            </w:pPr>
          </w:p>
        </w:tc>
        <w:tc>
          <w:tcPr>
            <w:tcW w:w="87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328">
              <w:r>
                <w:rPr>
                  <w:rFonts w:ascii="Times New Roman" w:cs="Times New Roman" w:eastAsia="Times New Roman" w:hAnsi="Times New Roman"/>
                  <w:sz w:val="18"/>
                  <w:szCs w:val="18"/>
                  <w:color w:val="auto"/>
                </w:rPr>
                <w:t>the Company’s Current Report on Form 8-K filed on February 3, 2006 (File No. 001-34219), and incorporated herein by</w:t>
              </w:r>
            </w:hyperlink>
          </w:p>
        </w:tc>
        <w:tc>
          <w:tcPr>
            <w:tcW w:w="60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40" w:type="dxa"/>
            <w:vAlign w:val="bottom"/>
            <w:gridSpan w:val="22"/>
          </w:tcPr>
          <w:p>
            <w:pPr>
              <w:spacing w:after="0" w:line="196" w:lineRule="exact"/>
              <w:rPr>
                <w:rFonts w:ascii="Times New Roman" w:cs="Times New Roman" w:eastAsia="Times New Roman" w:hAnsi="Times New Roman"/>
                <w:sz w:val="18"/>
                <w:szCs w:val="18"/>
                <w:color w:val="auto"/>
              </w:rPr>
            </w:pPr>
            <w:hyperlink r:id="rId328">
              <w:r>
                <w:rPr>
                  <w:rFonts w:ascii="Times New Roman" w:cs="Times New Roman" w:eastAsia="Times New Roman" w:hAnsi="Times New Roman"/>
                  <w:sz w:val="18"/>
                  <w:szCs w:val="18"/>
                  <w:color w:val="auto"/>
                </w:rPr>
                <w:t>reference).</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Securities Trading Policy.</w:t>
            </w:r>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Consent of Independent Registered Public Accounting Firm.</w:t>
            </w:r>
          </w:p>
        </w:tc>
        <w:tc>
          <w:tcPr>
            <w:tcW w:w="4980" w:type="dxa"/>
            <w:vAlign w:val="bottom"/>
            <w:gridSpan w:val="14"/>
          </w:tcPr>
          <w:p>
            <w:pPr>
              <w:spacing w:after="0"/>
              <w:rPr>
                <w:sz w:val="24"/>
                <w:szCs w:val="24"/>
                <w:color w:val="auto"/>
              </w:rPr>
            </w:pP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2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w w:val="99"/>
              </w:rPr>
              <w:t>Certification of Chief Executive Officer of the Company pursuant to Rule 13a-14(a) under the Securities Exchange Act of 1934.</w:t>
            </w:r>
          </w:p>
        </w:tc>
        <w:tc>
          <w:tcPr>
            <w:tcW w:w="100" w:type="dxa"/>
            <w:vAlign w:val="bottom"/>
            <w:gridSpan w:val="3"/>
          </w:tcPr>
          <w:p>
            <w:pPr>
              <w:spacing w:after="0"/>
              <w:rPr>
                <w:sz w:val="24"/>
                <w:szCs w:val="24"/>
                <w:color w:val="auto"/>
              </w:rPr>
            </w:pPr>
          </w:p>
        </w:tc>
      </w:tr>
      <w:tr>
        <w:trPr>
          <w:trHeight w:val="42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of the Company pursuant to Rule 13a-14(a) under the Securities Exchange Act of 1934.</w:t>
            </w:r>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680" w:type="dxa"/>
            <w:vAlign w:val="bottom"/>
            <w:gridSpan w:val="7"/>
            <w:shd w:val="clear" w:color="auto" w:fill="0000EE"/>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3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196"/>
        </w:trPr>
        <w:tc>
          <w:tcPr>
            <w:tcW w:w="1140" w:type="dxa"/>
            <w:vAlign w:val="bottom"/>
          </w:tcPr>
          <w:p>
            <w:pPr>
              <w:spacing w:after="0"/>
              <w:rPr>
                <w:sz w:val="17"/>
                <w:szCs w:val="17"/>
                <w:color w:val="auto"/>
              </w:rPr>
            </w:pPr>
          </w:p>
        </w:tc>
        <w:tc>
          <w:tcPr>
            <w:tcW w:w="9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rPr>
              <w:t>Oxley Act of 2002.</w:t>
            </w:r>
          </w:p>
        </w:tc>
        <w:tc>
          <w:tcPr>
            <w:tcW w:w="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2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 Sarbanes-</w:t>
            </w:r>
          </w:p>
        </w:tc>
        <w:tc>
          <w:tcPr>
            <w:tcW w:w="10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Oxley Act of 2002.</w:t>
            </w:r>
          </w:p>
        </w:tc>
      </w:tr>
      <w:tr>
        <w:trPr>
          <w:trHeight w:val="20"/>
        </w:trPr>
        <w:tc>
          <w:tcPr>
            <w:tcW w:w="11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0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329">
              <w:r>
                <w:rPr>
                  <w:rFonts w:ascii="Times New Roman" w:cs="Times New Roman" w:eastAsia="Times New Roman" w:hAnsi="Times New Roman"/>
                  <w:sz w:val="18"/>
                  <w:szCs w:val="18"/>
                  <w:color w:val="auto"/>
                </w:rPr>
                <w:t>Executive Officer Clawback Policy adopted November 2, 2023 (included as Exhibit 97.1 to the Company's Annual Report of</w:t>
              </w:r>
            </w:hyperlink>
          </w:p>
        </w:tc>
        <w:tc>
          <w:tcPr>
            <w:tcW w:w="28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329">
              <w:r>
                <w:rPr>
                  <w:rFonts w:ascii="Times New Roman" w:cs="Times New Roman" w:eastAsia="Times New Roman" w:hAnsi="Times New Roman"/>
                  <w:sz w:val="18"/>
                  <w:szCs w:val="18"/>
                  <w:color w:val="auto"/>
                  <w:w w:val="99"/>
                </w:rPr>
                <w:t>Form 10-K on March 21, 2024, and incorporated herein by reference).</w:t>
              </w:r>
            </w:hyperlink>
          </w:p>
        </w:tc>
        <w:tc>
          <w:tcPr>
            <w:tcW w:w="4280" w:type="dxa"/>
            <w:vAlign w:val="bottom"/>
            <w:gridSpan w:val="13"/>
          </w:tcPr>
          <w:p>
            <w:pPr>
              <w:spacing w:after="0"/>
              <w:rPr>
                <w:sz w:val="17"/>
                <w:szCs w:val="17"/>
                <w:color w:val="auto"/>
              </w:rPr>
            </w:pPr>
          </w:p>
        </w:tc>
      </w:tr>
    </w:tbl>
    <w:p>
      <w:pPr>
        <w:spacing w:after="0" w:line="157" w:lineRule="exact"/>
        <w:rPr>
          <w:sz w:val="20"/>
          <w:szCs w:val="20"/>
          <w:color w:val="auto"/>
        </w:rPr>
      </w:pPr>
    </w:p>
    <w:p>
      <w:pPr>
        <w:ind w:left="1160" w:right="200" w:hanging="1139"/>
        <w:spacing w:after="0" w:line="261"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Annual Report on Form 10-K for the year ended February 1, 2025, formatted in Inline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112" w:lineRule="exact"/>
        <w:rPr>
          <w:sz w:val="20"/>
          <w:szCs w:val="20"/>
          <w:color w:val="auto"/>
        </w:rPr>
      </w:pPr>
    </w:p>
    <w:p>
      <w:pPr>
        <w:ind w:left="1160" w:right="380" w:hanging="1139"/>
        <w:spacing w:after="0" w:line="282" w:lineRule="auto"/>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 or compensatory plan or arrangement.</w:t>
      </w:r>
    </w:p>
    <w:p>
      <w:pPr>
        <w:spacing w:after="0" w:line="234"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10500" w:space="420"/>
            <w:col w:w="80"/>
          </w:cols>
          <w:pgMar w:left="320" w:top="878" w:right="57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20, 2025</w:t>
      </w:r>
    </w:p>
    <w:p>
      <w:pPr>
        <w:spacing w:after="0" w:line="9" w:lineRule="exact"/>
        <w:rPr>
          <w:sz w:val="20"/>
          <w:szCs w:val="20"/>
          <w:color w:val="auto"/>
        </w:rPr>
      </w:pPr>
    </w:p>
    <w:p>
      <w:pPr>
        <w:ind w:left="6660"/>
        <w:spacing w:after="0"/>
        <w:tabs>
          <w:tab w:leader="none" w:pos="8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3"/>
          <w:szCs w:val="13"/>
          <w:color w:val="auto"/>
        </w:rPr>
        <w:t>ARVEY</w:t>
      </w:r>
      <w:r>
        <w:rPr>
          <w:rFonts w:ascii="Times New Roman" w:cs="Times New Roman" w:eastAsia="Times New Roman" w:hAnsi="Times New Roman"/>
          <w:sz w:val="18"/>
          <w:szCs w:val="18"/>
          <w:color w:val="auto"/>
        </w:rPr>
        <w:t xml:space="preserve"> S. K</w:t>
      </w:r>
      <w:r>
        <w:rPr>
          <w:rFonts w:ascii="Times New Roman" w:cs="Times New Roman" w:eastAsia="Times New Roman" w:hAnsi="Times New Roman"/>
          <w:sz w:val="13"/>
          <w:szCs w:val="13"/>
          <w:color w:val="auto"/>
        </w:rPr>
        <w:t>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0" w:type="dxa"/>
            <w:vAlign w:val="bottom"/>
          </w:tcPr>
          <w:p>
            <w:pPr>
              <w:spacing w:after="0"/>
              <w:rPr>
                <w:sz w:val="16"/>
                <w:szCs w:val="16"/>
                <w:color w:val="auto"/>
              </w:rPr>
            </w:pPr>
          </w:p>
        </w:tc>
        <w:tc>
          <w:tcPr>
            <w:tcW w:w="520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3"/>
                <w:szCs w:val="13"/>
                <w:color w:val="auto"/>
              </w:rPr>
              <w:t>ARVEY</w:t>
            </w:r>
            <w:r>
              <w:rPr>
                <w:rFonts w:ascii="Times New Roman" w:cs="Times New Roman" w:eastAsia="Times New Roman" w:hAnsi="Times New Roman"/>
                <w:sz w:val="18"/>
                <w:szCs w:val="18"/>
                <w:color w:val="auto"/>
              </w:rPr>
              <w:t xml:space="preserve"> S. K</w:t>
            </w:r>
            <w:r>
              <w:rPr>
                <w:rFonts w:ascii="Times New Roman" w:cs="Times New Roman" w:eastAsia="Times New Roman" w:hAnsi="Times New Roman"/>
                <w:sz w:val="13"/>
                <w:szCs w:val="13"/>
                <w:color w:val="auto"/>
              </w:rPr>
              <w:t>ANTER</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Harvey S. Kanter</w:t>
            </w:r>
          </w:p>
        </w:tc>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3"/>
                <w:szCs w:val="13"/>
                <w:color w:val="auto"/>
              </w:rPr>
              <w:t>TRATTON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R</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Peter H. Stratton, Jr.</w:t>
            </w:r>
          </w:p>
        </w:tc>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OHN</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3"/>
                <w:szCs w:val="13"/>
                <w:color w:val="auto"/>
              </w:rPr>
              <w:t>OONEY</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Vice President of Finance, Chief Accounting Officer and</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John F. Cooney</w:t>
            </w:r>
          </w:p>
        </w:tc>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Controller (Principal Accounting Officer)</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3"/>
                <w:szCs w:val="13"/>
                <w:color w:val="auto"/>
              </w:rPr>
              <w:t>IONEL</w:t>
            </w:r>
            <w:r>
              <w:rPr>
                <w:rFonts w:ascii="Times New Roman" w:cs="Times New Roman" w:eastAsia="Times New Roman" w:hAnsi="Times New Roman"/>
                <w:sz w:val="18"/>
                <w:szCs w:val="18"/>
                <w:color w:val="auto"/>
              </w:rPr>
              <w:t xml:space="preserve"> F. C</w:t>
            </w:r>
            <w:r>
              <w:rPr>
                <w:rFonts w:ascii="Times New Roman" w:cs="Times New Roman" w:eastAsia="Times New Roman" w:hAnsi="Times New Roman"/>
                <w:sz w:val="13"/>
                <w:szCs w:val="13"/>
                <w:color w:val="auto"/>
              </w:rPr>
              <w:t>ONACHER</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Lionel F. Conacher</w:t>
            </w:r>
          </w:p>
        </w:tc>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3"/>
                <w:szCs w:val="13"/>
                <w:color w:val="auto"/>
              </w:rPr>
              <w:t>ARMEN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AUZA</w:t>
            </w:r>
          </w:p>
        </w:tc>
        <w:tc>
          <w:tcPr>
            <w:tcW w:w="20" w:type="dxa"/>
            <w:vAlign w:val="bottom"/>
            <w:tcBorders>
              <w:bottom w:val="single" w:sz="8" w:color="auto"/>
            </w:tcBorders>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Carmen Bauza</w:t>
            </w:r>
          </w:p>
        </w:tc>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ACK</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3"/>
                <w:szCs w:val="13"/>
                <w:color w:val="auto"/>
              </w:rPr>
              <w:t>OYLE</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Boyle</w:t>
            </w:r>
          </w:p>
        </w:tc>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3"/>
                <w:szCs w:val="13"/>
                <w:color w:val="auto"/>
              </w:rPr>
              <w:t>ILLEM</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3"/>
                <w:szCs w:val="13"/>
                <w:color w:val="auto"/>
              </w:rPr>
              <w:t>ESDAG</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Willem Mesdag</w:t>
            </w:r>
          </w:p>
        </w:tc>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w:t>
            </w:r>
            <w:r>
              <w:rPr>
                <w:rFonts w:ascii="Times New Roman" w:cs="Times New Roman" w:eastAsia="Times New Roman" w:hAnsi="Times New Roman"/>
                <w:sz w:val="13"/>
                <w:szCs w:val="13"/>
                <w:color w:val="auto"/>
              </w:rPr>
              <w:t>VY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OSS</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Ivy Ross</w:t>
            </w:r>
          </w:p>
        </w:tc>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0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3"/>
                <w:szCs w:val="13"/>
                <w:color w:val="auto"/>
              </w:rPr>
              <w:t>LAINE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UBIN</w:t>
            </w:r>
          </w:p>
        </w:tc>
        <w:tc>
          <w:tcPr>
            <w:tcW w:w="20" w:type="dxa"/>
            <w:vAlign w:val="bottom"/>
          </w:tcPr>
          <w:p>
            <w:pPr>
              <w:spacing w:after="0"/>
              <w:rPr>
                <w:sz w:val="24"/>
                <w:szCs w:val="24"/>
                <w:color w:val="auto"/>
              </w:rPr>
            </w:pP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Elaine Rubin</w:t>
            </w:r>
          </w:p>
        </w:tc>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220" w:type="dxa"/>
            <w:vAlign w:val="bottom"/>
            <w:gridSpan w:val="2"/>
          </w:tcPr>
          <w:p>
            <w:pPr>
              <w:jc w:val="right"/>
              <w:ind w:right="3432"/>
              <w:spacing w:after="0"/>
              <w:rPr>
                <w:sz w:val="20"/>
                <w:szCs w:val="20"/>
                <w:color w:val="auto"/>
              </w:rPr>
            </w:pPr>
            <w:r>
              <w:rPr>
                <w:rFonts w:ascii="Times New Roman" w:cs="Times New Roman" w:eastAsia="Times New Roman" w:hAnsi="Times New Roman"/>
                <w:sz w:val="18"/>
                <w:szCs w:val="18"/>
                <w:color w:val="auto"/>
              </w:rPr>
              <w:t>69</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9" w:name="page70"/>
    <w:bookmarkEnd w:id="69"/>
    <w:p>
      <w:pPr>
        <w:ind w:left="10280"/>
        <w:spacing w:after="0"/>
        <w:rPr>
          <w:sz w:val="20"/>
          <w:szCs w:val="20"/>
          <w:color w:val="auto"/>
        </w:rPr>
      </w:pPr>
      <w:r>
        <w:rPr>
          <w:rFonts w:ascii="Calibri" w:cs="Calibri" w:eastAsia="Calibri" w:hAnsi="Calibri"/>
          <w:sz w:val="20"/>
          <w:szCs w:val="20"/>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278130</wp:posOffset>
            </wp:positionV>
            <wp:extent cx="2143125" cy="12001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21431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Updated November 2, 2023</w:t>
      </w:r>
    </w:p>
    <w:p>
      <w:pPr>
        <w:spacing w:after="0" w:line="206"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U.S. federal securities laws prohibit “insider trading.” Specifically, Rule 10b-5 under the Securities Exchange Act of 1934, as amended (the “Exchange Act”), applies to any person, including members of the Board of Directors (“Board Members”), officer and, employees of Destination XL Group, Inc. or its subsidiaries (collectively, “DXLG” or the “Company”), who may have access to material, non-public information concerning the Company or its prospects (“Inside Information”).</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It is a violation of Company policy and federal securities law for persons to trade in the Company’s securities while he or she is aware of Inside Information. It is also illegal and against Company policy to communicate or “tip” Inside Information to others so that they may trade in Company securities based on that information.</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Company’s Board of Directors has adopted this Securities Trading Policy (the “Policy”). This Policy is subject to change from time to time and applies to all securities issued by the Company, including common stock or debt securities, and any other type of security that relates to the Company’s securities, such as derivative securities. The Company’s General Counsel has been designated as Compliance Officer (the “Compliance Officer”) with regard to this Policy.</w:t>
      </w:r>
    </w:p>
    <w:p>
      <w:pPr>
        <w:spacing w:after="0" w:line="17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II.</w:t>
      </w:r>
      <w:r>
        <w:rPr>
          <w:sz w:val="20"/>
          <w:szCs w:val="20"/>
          <w:color w:val="auto"/>
        </w:rPr>
        <w:tab/>
      </w:r>
      <w:r>
        <w:rPr>
          <w:rFonts w:ascii="Times New Roman" w:cs="Times New Roman" w:eastAsia="Times New Roman" w:hAnsi="Times New Roman"/>
          <w:sz w:val="21"/>
          <w:szCs w:val="21"/>
          <w:b w:val="1"/>
          <w:bCs w:val="1"/>
          <w:color w:val="auto"/>
        </w:rPr>
        <w:t>To Whom Does the Policy Apply?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applies to all Board Members, officers, employees and other persons that the Company’s Board of Directors or Compliance Officer determine should be subject to this Policy, such as contractors or consultants who have access to Inside Information (each a “Covered Person”).</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Policy also applies to (i) Covered Persons’ family members who reside with them (including a spouse, a child, a child away at college, stepchildren, grandchildren, parents, stepparents, grandparents, siblings and in-laws), anyone else who lives in your household, and any family members who do not live in your household but whose transactions in the Company’s securities are directed by you or are subject to your influence or control, such as parents or children who consult with you before they trade in the Company’s securities and (ii) trusts, companies or similar entities with respect to which Covered Persons are trustees or in which they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70" w:name="page71"/>
    <w:bookmarkEnd w:id="70"/>
    <w:p>
      <w:pPr>
        <w:jc w:val="both"/>
        <w:spacing w:after="0" w:line="219" w:lineRule="auto"/>
        <w:rPr>
          <w:sz w:val="20"/>
          <w:szCs w:val="20"/>
          <w:color w:val="auto"/>
        </w:rPr>
      </w:pPr>
      <w:r>
        <w:rPr>
          <w:rFonts w:ascii="Times New Roman" w:cs="Times New Roman" w:eastAsia="Times New Roman" w:hAnsi="Times New Roman"/>
          <w:sz w:val="22"/>
          <w:szCs w:val="22"/>
          <w:color w:val="auto"/>
        </w:rPr>
        <w:t>Beneficial Ownership</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You are responsible for the transactions of these other persons, and you should treat all such transactions for the purposes of this Policy and applicable securities laws as if the transactions were for your own account.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Covered Persons may not trade on the basis of Inside Information or tip Inside Information to others for trading even after their relationship with the Company has terminated. If a Covered Person is in possession of Inside Information when his or her service terminates, that person may not engage in transactions in Company securities until that information has become public or is no longer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III. The Policy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You must refrain from trading in Company securities if you have Inside Information. In other words, when you have Inside Information, you must not buy or sell any Company securities, place an order to do so, or recommend or direct the purchase or sale of any Company securities, for your own account or for any account in which you have a direct or indirect Beneficial Ownership interest or for any other account over which you have discretionary authority or power of attorney. Transactions that may be necessary or justifiable for independent reasons (such as the need to raise money for an emergency) are not an exception to the prohibition on insider trading. Covered Persons also may learn material, nonpublic information about other companies from time to time as a result of their jobs, including suppliers, acquisition targets or competitors. Prohibitions against insider trading apply equally to transactions in those companies’ securities while the Covered Person is in possession of their material, nonpublic information.</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You must not share Inside Information with anyone else or advise any person to trade in Company securities or express any opinion as to trading in Company securities, regardless of whether that person is a Covered Person. You may not disclose Inside Information to anyone either within or outside the Company, except when authorized to do so by the Chief Executive Officer, the Chief Financial Officer or the Compliance Officer.</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Policy applies irrespective of whether (a) the Inside Information was acquired from a Covered Person, (b) the Inside Information was acquired during the course of a person’s activities on behalf of the Company, (c) the trading at issue is personal in nature or for the benefit of a client of the Company, or (d) the conduct at issue violates the statutory and legal prohibitions against insider trading.</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Transactions Under Company Plans. </w:t>
      </w:r>
      <w:r>
        <w:rPr>
          <w:rFonts w:ascii="Times New Roman" w:cs="Times New Roman" w:eastAsia="Times New Roman" w:hAnsi="Times New Roman"/>
          <w:sz w:val="22"/>
          <w:szCs w:val="22"/>
          <w:color w:val="auto"/>
        </w:rPr>
        <w:t>This Policy does not apply in the case of the following transactions (except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specifically noted):</w:t>
      </w:r>
    </w:p>
    <w:p>
      <w:pPr>
        <w:spacing w:after="0" w:line="154" w:lineRule="exact"/>
        <w:rPr>
          <w:sz w:val="20"/>
          <w:szCs w:val="20"/>
          <w:color w:val="auto"/>
        </w:rPr>
      </w:pPr>
    </w:p>
    <w:p>
      <w:pPr>
        <w:jc w:val="both"/>
        <w:ind w:left="1500" w:hanging="369"/>
        <w:spacing w:after="0" w:line="261" w:lineRule="auto"/>
        <w:tabs>
          <w:tab w:leader="none" w:pos="15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exercise of options granted by the Company, or to the exercise of a tax withholding right pursuant to which a person has elected to have the Company withhold shares subject to an option to satisfy tax withholding requirements. This Policy </w:t>
      </w:r>
      <w:r>
        <w:rPr>
          <w:rFonts w:ascii="Times New Roman" w:cs="Times New Roman" w:eastAsia="Times New Roman" w:hAnsi="Times New Roman"/>
          <w:sz w:val="21"/>
          <w:szCs w:val="21"/>
          <w:b w:val="1"/>
          <w:bCs w:val="1"/>
          <w:i w:val="1"/>
          <w:iCs w:val="1"/>
          <w:color w:val="auto"/>
        </w:rPr>
        <w:t>does</w:t>
      </w:r>
      <w:r>
        <w:rPr>
          <w:rFonts w:ascii="Times New Roman" w:cs="Times New Roman" w:eastAsia="Times New Roman" w:hAnsi="Times New Roman"/>
          <w:sz w:val="21"/>
          <w:szCs w:val="21"/>
          <w:color w:val="auto"/>
        </w:rPr>
        <w:t xml:space="preserve"> apply to the sale of shares received upon the exercise of those options</w:t>
      </w:r>
    </w:p>
    <w:p>
      <w:pPr>
        <w:spacing w:after="0" w:line="31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See Schedule A for a definition of “Beneficial Ownership” and “Beneficial Interest.”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9" w:lineRule="exact"/>
        <w:rPr>
          <w:rFonts w:ascii="Times New Roman" w:cs="Times New Roman" w:eastAsia="Times New Roman" w:hAnsi="Times New Roman"/>
          <w:sz w:val="21"/>
          <w:szCs w:val="21"/>
          <w:color w:val="auto"/>
        </w:rPr>
      </w:pPr>
    </w:p>
    <w:p>
      <w:pPr>
        <w:ind w:left="5580" w:hanging="115"/>
        <w:spacing w:after="0"/>
        <w:tabs>
          <w:tab w:leader="none" w:pos="5580" w:val="left"/>
        </w:tabs>
        <w:numPr>
          <w:ilvl w:val="2"/>
          <w:numId w:val="17"/>
        </w:numPr>
        <w:rPr>
          <w:rFonts w:ascii="Calibri" w:cs="Calibri" w:eastAsia="Calibri" w:hAnsi="Calibri"/>
          <w:sz w:val="20"/>
          <w:szCs w:val="20"/>
          <w:color w:val="auto"/>
        </w:rPr>
      </w:pPr>
      <w:r>
        <w:rPr>
          <w:rFonts w:ascii="Calibri" w:cs="Calibri" w:eastAsia="Calibri" w:hAnsi="Calibri"/>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1688465"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1688465" cy="514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1" w:name="page72"/>
    <w:bookmarkEnd w:id="71"/>
    <w:p>
      <w:pPr>
        <w:ind w:left="1500"/>
        <w:spacing w:after="0" w:line="258" w:lineRule="auto"/>
        <w:rPr>
          <w:sz w:val="20"/>
          <w:szCs w:val="20"/>
          <w:color w:val="auto"/>
        </w:rPr>
      </w:pPr>
      <w:r>
        <w:rPr>
          <w:rFonts w:ascii="Times New Roman" w:cs="Times New Roman" w:eastAsia="Times New Roman" w:hAnsi="Times New Roman"/>
          <w:sz w:val="22"/>
          <w:szCs w:val="22"/>
          <w:color w:val="auto"/>
        </w:rPr>
        <w:t>(including broker-assisted cashless exercise of options or any other open market sale for the purpose of generating cash to pay the exercise price).</w:t>
      </w:r>
    </w:p>
    <w:p>
      <w:pPr>
        <w:spacing w:after="0" w:line="158" w:lineRule="exact"/>
        <w:rPr>
          <w:sz w:val="20"/>
          <w:szCs w:val="20"/>
          <w:color w:val="auto"/>
        </w:rPr>
      </w:pPr>
    </w:p>
    <w:p>
      <w:pPr>
        <w:jc w:val="both"/>
        <w:ind w:left="1500" w:hanging="369"/>
        <w:spacing w:after="0" w:line="239" w:lineRule="auto"/>
        <w:tabs>
          <w:tab w:leader="none" w:pos="15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vesting of restricted stock or restricted stock units, or the exercise of a tax withholding right pursuant to which a person has elected to have the Company withhold shares of stock to satisfy tax withholding requirements upon the vesting of any restricted stock. This Policy </w:t>
      </w:r>
      <w:r>
        <w:rPr>
          <w:rFonts w:ascii="Times New Roman" w:cs="Times New Roman" w:eastAsia="Times New Roman" w:hAnsi="Times New Roman"/>
          <w:sz w:val="22"/>
          <w:szCs w:val="22"/>
          <w:b w:val="1"/>
          <w:bCs w:val="1"/>
          <w:i w:val="1"/>
          <w:iCs w:val="1"/>
          <w:color w:val="auto"/>
        </w:rPr>
        <w:t>does</w:t>
      </w:r>
      <w:r>
        <w:rPr>
          <w:rFonts w:ascii="Times New Roman" w:cs="Times New Roman" w:eastAsia="Times New Roman" w:hAnsi="Times New Roman"/>
          <w:sz w:val="22"/>
          <w:szCs w:val="22"/>
          <w:color w:val="auto"/>
        </w:rPr>
        <w:t xml:space="preserve"> apply to any market sale of restricted stock or shares of stock received upon vesting of restricted stock or restricted stock units.</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To promote compliance with the applicable laws and this Policy, you should view all of your transactions in the Company’s securities as involving investment decisions rather than speculation. “In-and-out” trading of the Company’s securities is therefore discouraged.</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Rule 10b5-1 Trading Plans</w:t>
      </w:r>
      <w:r>
        <w:rPr>
          <w:rFonts w:ascii="Times New Roman" w:cs="Times New Roman" w:eastAsia="Times New Roman" w:hAnsi="Times New Roman"/>
          <w:sz w:val="22"/>
          <w:szCs w:val="22"/>
          <w:color w:val="auto"/>
        </w:rPr>
        <w:t>. Company Policy permits Covered Persons to trade in Company securities regardless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awareness of Inside Information if the transaction is made pursuant to a pre-arranged trading plan that was entered into when the Covered Person was not in possession of material, non-public information (a “Rule 10b5-1 Plan”). Transactions effected pursuant to a pre-approved Rule 10b5-1 Plan will not be subject to the window periods or pre-clearance procedures described above. All Rule 10b5-1 Plans must be pre-approved by the Compliance Officer.</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Transactions Not Involving a Purchase or a Sale</w:t>
      </w:r>
      <w:r>
        <w:rPr>
          <w:rFonts w:ascii="Times New Roman" w:cs="Times New Roman" w:eastAsia="Times New Roman" w:hAnsi="Times New Roman"/>
          <w:sz w:val="22"/>
          <w:szCs w:val="22"/>
          <w:color w:val="auto"/>
        </w:rPr>
        <w:t>. Bona fide gifts are not transactions subject to this Policy, unless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making the gift has reason to believe that the recipient intends to sell the Company securities while the Covered Person is aware of material, non-public information about the Company, or the person making the gift is a “Covered Person with Access” subject to the trading windows as described below, in which case gifts are subject to the pre-clearance procedures described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Trading Windows Applicable to Certain Covered Persons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Because Board Members, officers and certain employees are likely to have access to non-public information which may be material, to avoid any concern that they may have material non-public information when trading in Company securities, the Company has adopted trading windows during which these specified persons can buy or sell Company securities (a “Trading Window”). These Trading Windows apply to all Board Members, officers and employees of the Company holding the position “director,” “vice president” or a position senior thereto (each a “Covered Person with Access”). All such persons may only trade Company securities during a Trading Window. Specifically, each Trading Window:</w:t>
      </w:r>
    </w:p>
    <w:p>
      <w:pPr>
        <w:spacing w:after="0" w:line="181" w:lineRule="exact"/>
        <w:rPr>
          <w:sz w:val="20"/>
          <w:szCs w:val="20"/>
          <w:color w:val="auto"/>
        </w:rPr>
      </w:pPr>
    </w:p>
    <w:p>
      <w:pPr>
        <w:ind w:left="2260" w:hanging="317"/>
        <w:spacing w:after="0" w:line="258" w:lineRule="auto"/>
        <w:rPr>
          <w:sz w:val="20"/>
          <w:szCs w:val="20"/>
          <w:color w:val="auto"/>
        </w:rPr>
      </w:pPr>
      <w:r>
        <w:rPr>
          <w:rFonts w:ascii="Times New Roman" w:cs="Times New Roman" w:eastAsia="Times New Roman" w:hAnsi="Times New Roman"/>
          <w:sz w:val="22"/>
          <w:szCs w:val="22"/>
          <w:u w:val="single" w:color="auto"/>
          <w:color w:val="auto"/>
        </w:rPr>
        <w:t>Begins</w:t>
      </w:r>
      <w:r>
        <w:rPr>
          <w:rFonts w:ascii="Times New Roman" w:cs="Times New Roman" w:eastAsia="Times New Roman" w:hAnsi="Times New Roman"/>
          <w:sz w:val="22"/>
          <w:szCs w:val="22"/>
          <w:color w:val="auto"/>
        </w:rPr>
        <w:t xml:space="preserve"> at the open of trading on the second full business day following the Company’s release of quarterly or year-end earnings including such quarter; and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Closes</w:t>
      </w:r>
      <w:r>
        <w:rPr>
          <w:rFonts w:ascii="Times New Roman" w:cs="Times New Roman" w:eastAsia="Times New Roman" w:hAnsi="Times New Roman"/>
          <w:sz w:val="22"/>
          <w:szCs w:val="22"/>
          <w:color w:val="auto"/>
        </w:rPr>
        <w:t xml:space="preserve"> ten business days prior to the end of each of the Company’s fiscal quarters.</w:t>
      </w:r>
    </w:p>
    <w:p>
      <w:pPr>
        <w:spacing w:after="0" w:line="200" w:lineRule="exact"/>
        <w:rPr>
          <w:sz w:val="20"/>
          <w:szCs w:val="20"/>
          <w:color w:val="auto"/>
        </w:rPr>
      </w:pPr>
    </w:p>
    <w:p>
      <w:pPr>
        <w:spacing w:after="0" w:line="269" w:lineRule="exact"/>
        <w:rPr>
          <w:sz w:val="20"/>
          <w:szCs w:val="20"/>
          <w:color w:val="auto"/>
        </w:rPr>
      </w:pPr>
    </w:p>
    <w:p>
      <w:pPr>
        <w:ind w:left="5580" w:hanging="115"/>
        <w:spacing w:after="0"/>
        <w:tabs>
          <w:tab w:leader="none" w:pos="55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addition, from time to time, an event may occur that is material to the Company and is known by only a few Board Members, officers and/or employees. So long as the event remains material and non-public, the persons designated by the Compliance Officer may not engage in transactions in Company securities, even though the Trading Window would otherwise be open. The existence of an event-specific restriction on trading will not be announced to the Company as a whole and should not be communicated to any other person.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Trading Windows outlined above are general guidelines only and no inference should be made that trading during a Trading Window is a so-called “safe harbor.” While Covered Persons with Access must refrain from trading in the Company securities outside of a Trading Window (except pursuant to a pre-approved Rule 10b5-1 Plan), it is not necessarily true that they may trade in Company securities during a Trading Window, as insiders in possession of Inside Information must refrain from trading in Company securities at any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of Transactions by Board Members, Officers and Certain Other Employees</w:t>
      </w:r>
    </w:p>
    <w:p>
      <w:pPr>
        <w:spacing w:after="0" w:line="210" w:lineRule="exact"/>
        <w:rPr>
          <w:sz w:val="20"/>
          <w:szCs w:val="20"/>
          <w:color w:val="auto"/>
        </w:rPr>
      </w:pPr>
    </w:p>
    <w:p>
      <w:pPr>
        <w:jc w:val="both"/>
        <w:ind w:firstLine="749"/>
        <w:spacing w:after="0" w:line="228" w:lineRule="auto"/>
        <w:rPr>
          <w:sz w:val="20"/>
          <w:szCs w:val="20"/>
          <w:color w:val="auto"/>
        </w:rPr>
      </w:pPr>
      <w:r>
        <w:rPr>
          <w:rFonts w:ascii="Times New Roman" w:cs="Times New Roman" w:eastAsia="Times New Roman" w:hAnsi="Times New Roman"/>
          <w:sz w:val="22"/>
          <w:szCs w:val="22"/>
          <w:color w:val="auto"/>
        </w:rPr>
        <w:t>Prior to initiating any purchase or sale or other transactions in Company securities (other than pursuant to a pre-approved Rule 10b5-1 Plan), Covered Persons with Access must first obtain pre-clearance from the Compliance Officer.</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This pre-clearance requirement applies to all purchases or sales of Company securities, including open-market purchases and sales of the Company’s common stock, as well as transactions involving derivatives of the Company’s securities. If clearance is given, the trade should be completed by the earlier to occur of (i) the end of the second trading day thereafter or (ii) the end of the then applicable Trading Window. If the transaction order is not completed within this time period, a new request for clearance must be made.</w:t>
      </w:r>
    </w:p>
    <w:p>
      <w:pPr>
        <w:spacing w:after="0" w:line="183" w:lineRule="exact"/>
        <w:rPr>
          <w:sz w:val="20"/>
          <w:szCs w:val="20"/>
          <w:color w:val="auto"/>
        </w:rPr>
      </w:pPr>
    </w:p>
    <w:p>
      <w:pPr>
        <w:jc w:val="both"/>
        <w:ind w:firstLine="656"/>
        <w:spacing w:after="0" w:line="239" w:lineRule="auto"/>
        <w:rPr>
          <w:sz w:val="20"/>
          <w:szCs w:val="20"/>
          <w:color w:val="auto"/>
        </w:rPr>
      </w:pPr>
      <w:r>
        <w:rPr>
          <w:rFonts w:ascii="Times New Roman" w:cs="Times New Roman" w:eastAsia="Times New Roman" w:hAnsi="Times New Roman"/>
          <w:sz w:val="22"/>
          <w:szCs w:val="22"/>
          <w:color w:val="auto"/>
        </w:rPr>
        <w:t>Please note, however, that it is the Covered Person with Access’s sole responsibility to comply with all applicable securities laws. The Company does not undertake any obligation with respect to a Covered Person with Access’s securities law compliance by virtue of pre-clearing any particular trade, and the Company urges each Covered Person with Access to consult his or her legal counsel before engaging in transactions involving Company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Restrictions</w:t>
      </w:r>
    </w:p>
    <w:p>
      <w:pPr>
        <w:spacing w:after="0" w:line="233" w:lineRule="exact"/>
        <w:rPr>
          <w:sz w:val="20"/>
          <w:szCs w:val="20"/>
          <w:color w:val="auto"/>
        </w:rPr>
      </w:pPr>
    </w:p>
    <w:p>
      <w:pPr>
        <w:ind w:right="420" w:firstLine="749"/>
        <w:spacing w:after="0" w:line="252" w:lineRule="auto"/>
        <w:rPr>
          <w:sz w:val="20"/>
          <w:szCs w:val="20"/>
          <w:color w:val="auto"/>
        </w:rPr>
      </w:pPr>
      <w:r>
        <w:rPr>
          <w:rFonts w:ascii="Times New Roman" w:cs="Times New Roman" w:eastAsia="Times New Roman" w:hAnsi="Times New Roman"/>
          <w:sz w:val="21"/>
          <w:szCs w:val="21"/>
          <w:i w:val="1"/>
          <w:iCs w:val="1"/>
          <w:color w:val="auto"/>
        </w:rPr>
        <w:t>Prohibition on Hedging and Pledging</w:t>
      </w:r>
      <w:r>
        <w:rPr>
          <w:rFonts w:ascii="Times New Roman" w:cs="Times New Roman" w:eastAsia="Times New Roman" w:hAnsi="Times New Roman"/>
          <w:sz w:val="21"/>
          <w:szCs w:val="21"/>
          <w:color w:val="auto"/>
        </w:rPr>
        <w:t>. The Company considers it inappropriate for any Covered Person to enter into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speculative transactions in Company securities. Therefore, Covered Persons are prohibited from engaging in any hedging or monetization transactions, such as short selling, forward sale contracts, or purchasing or selling puts, calls, options or other derivative securities, in which the stockholder continues to own the underlying security without all the risks or rewards of ownership. In addition, Covered Persons may not pledge Company securities or purchase Company securities on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1688465"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520" w:firstLine="8"/>
        <w:spacing w:after="0" w:line="215" w:lineRule="auto"/>
        <w:tabs>
          <w:tab w:leader="none" w:pos="432"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Proposed trades to be made by the Compliance Officer must be approved by the Company’s Chief Financial Officer or Chief Executive Officer.</w:t>
      </w:r>
    </w:p>
    <w:p>
      <w:pPr>
        <w:spacing w:after="0" w:line="200" w:lineRule="exact"/>
        <w:rPr>
          <w:rFonts w:ascii="Times New Roman" w:cs="Times New Roman" w:eastAsia="Times New Roman" w:hAnsi="Times New Roman"/>
          <w:sz w:val="29"/>
          <w:szCs w:val="29"/>
          <w:color w:val="auto"/>
          <w:vertAlign w:val="superscript"/>
        </w:rPr>
      </w:pPr>
    </w:p>
    <w:p>
      <w:pPr>
        <w:spacing w:after="0" w:line="239" w:lineRule="exact"/>
        <w:rPr>
          <w:rFonts w:ascii="Times New Roman" w:cs="Times New Roman" w:eastAsia="Times New Roman" w:hAnsi="Times New Roman"/>
          <w:sz w:val="29"/>
          <w:szCs w:val="29"/>
          <w:color w:val="auto"/>
          <w:vertAlign w:val="superscript"/>
        </w:rPr>
      </w:pPr>
    </w:p>
    <w:p>
      <w:pPr>
        <w:ind w:left="5580" w:hanging="115"/>
        <w:spacing w:after="0"/>
        <w:tabs>
          <w:tab w:leader="none" w:pos="558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 w:name="page74"/>
    <w:bookmarkEnd w:id="73"/>
    <w:p>
      <w:pPr>
        <w:ind w:right="180"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Section 16 Compliance</w:t>
      </w:r>
      <w:r>
        <w:rPr>
          <w:rFonts w:ascii="Times New Roman" w:cs="Times New Roman" w:eastAsia="Times New Roman" w:hAnsi="Times New Roman"/>
          <w:sz w:val="22"/>
          <w:szCs w:val="22"/>
          <w:color w:val="auto"/>
        </w:rPr>
        <w:t>. Certain persons are subject to reporting requirements and limitations on their ability to trade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securities. Board Members, officers and 10% beneficial owners are subject to Section 16 of the Exchange Act. Holders of “restricted” securities and affiliates of the Company are subject to Rule 144 under the Securities Act of 1933, as amended, in connection with their sales of Company securities.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The Penalties for Misusing Inside Information</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penalties for unlawful trading in Company securities while in possession of Inside Information or communicating Inside Information to others are likely to be severe, both for the individuals involved in such conduct, their employers, and “controlling persons”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persons who have the right to exercise control over the activities of others). Persons found to have traded on Inside Information or to have passed such Inside Information on to others have been subjected to investigation, civil sanctions, and criminal prosecution. Penalties include:</w:t>
      </w:r>
    </w:p>
    <w:p>
      <w:pPr>
        <w:spacing w:after="0" w:line="177" w:lineRule="exact"/>
        <w:rPr>
          <w:sz w:val="20"/>
          <w:szCs w:val="20"/>
          <w:color w:val="auto"/>
        </w:rPr>
      </w:pPr>
    </w:p>
    <w:p>
      <w:pPr>
        <w:ind w:left="1500" w:hanging="743"/>
        <w:spacing w:after="0"/>
        <w:tabs>
          <w:tab w:leader="none" w:pos="15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injunctions;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profits;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Civil penalties for the persons who committed the violation, regardless of whether the person actually benefited;</w:t>
      </w:r>
    </w:p>
    <w:p>
      <w:pPr>
        <w:spacing w:after="0" w:line="217"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Civil penalties for the employer or other “controlling persons”;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Criminal fines and jail sentences.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will not tolerate any illegal conduct by Covered Persons. If you violate this Policy, you may be subject to internal disciplinary action, up to and including, for example, censure, fine, suspension, restriction on activities, and immediate termination of your employment.</w:t>
      </w:r>
    </w:p>
    <w:p>
      <w:pPr>
        <w:spacing w:after="0" w:line="169"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Investigations of Suspicious Activity</w:t>
      </w:r>
    </w:p>
    <w:p>
      <w:pPr>
        <w:spacing w:after="0" w:line="21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If the Compliance Officer commences any investigation or inquiry into potential insider trading, every Covered Person is required to provide full access to the Compliance Officer to any and all account records and documents which the Compliance Officer considers relevant to the investigation or inquiry and to cooperate fully in all other respects with the Compliance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 Additional Information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will periodically review this Policy to determine if any changes would be appropriate, and recommend such changes to the Company’s Board of Directors for review and adoption, if appropriate.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While most of the situations intended to be covered by this Policy will be self-evident, there may be instances of doubt, and in such cases you should discuss the matter directly with the Compliance Officer.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4" w:name="page75"/>
    <w:bookmarkEnd w:id="74"/>
    <w:p>
      <w:pPr>
        <w:ind w:firstLine="749"/>
        <w:spacing w:after="0" w:line="258" w:lineRule="auto"/>
        <w:rPr>
          <w:sz w:val="20"/>
          <w:szCs w:val="20"/>
          <w:color w:val="auto"/>
        </w:rPr>
      </w:pPr>
      <w:r>
        <w:rPr>
          <w:rFonts w:ascii="Times New Roman" w:cs="Times New Roman" w:eastAsia="Times New Roman" w:hAnsi="Times New Roman"/>
          <w:sz w:val="22"/>
          <w:szCs w:val="22"/>
          <w:color w:val="auto"/>
        </w:rPr>
        <w:t>If you have any questions regarding the content of this Policy, please contact the Compliance Officer. Please review and sign the attached Certification and return it to the Human Resources Department.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I have read and understand the attached Securities Trading Policy, and I have complied and agree to comply with this Policy. To the best of my knowledge, all employees under my direct supervision also have reviewed and agreed to comply with this Policy. I understand that violation of this Policy will result in disciplinary measures, which may include termination of employment.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 understand that such certification and agreement does not constitute or give rise to any contract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employment.</w:t>
      </w:r>
    </w:p>
    <w:p>
      <w:pPr>
        <w:spacing w:after="0" w:line="200" w:lineRule="exact"/>
        <w:rPr>
          <w:sz w:val="20"/>
          <w:szCs w:val="20"/>
          <w:color w:val="auto"/>
        </w:rPr>
      </w:pPr>
    </w:p>
    <w:p>
      <w:pPr>
        <w:spacing w:after="0" w:line="225"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0744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107442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-13970</wp:posOffset>
            </wp:positionV>
            <wp:extent cx="13716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-13970</wp:posOffset>
            </wp:positionV>
            <wp:extent cx="13716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PLEASE SIGN AND RETURN THIS FORM TO</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HUMAN RESOURCES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1301115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Beneficial Ownership</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term “Beneficial Ownership” may include any financial or pecuniary interest. You may be considered to have a pecuniary interest not only in your own single or joint securities account, but also in accounts of:</w:t>
      </w:r>
    </w:p>
    <w:p>
      <w:pPr>
        <w:spacing w:after="0" w:line="158" w:lineRule="exact"/>
        <w:rPr>
          <w:sz w:val="20"/>
          <w:szCs w:val="20"/>
          <w:color w:val="auto"/>
        </w:rPr>
      </w:pPr>
    </w:p>
    <w:p>
      <w:pPr>
        <w:ind w:left="1500" w:hanging="743"/>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partnership of which you are a partner or an investment club in which you are a member;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trust of which you are a beneficiary;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spouse, minor child or relative living in the same household; or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people whose investments you direct or control, whether or not they live with you.</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will interpret the definition of “Beneficial Ownership” in a manner consistent with the definition contained in Section 13(d) and Section 16 of the Exchange Act, the rules and regulations of the SEC and the interpretations of the SEC and its staff. Any determination concerning your direct or indirect Beneficial Ownership will apply to all securities that you own or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20"/>
          <w:szCs w:val="20"/>
          <w:color w:val="5C6F7C"/>
        </w:rPr>
        <w:t>DESTINATION XL GROUP, INC.</w:t>
      </w:r>
      <w:r>
        <w:rPr>
          <w:sz w:val="20"/>
          <w:szCs w:val="20"/>
          <w:color w:val="auto"/>
        </w:rPr>
        <w:tab/>
      </w:r>
      <w:r>
        <w:rPr>
          <w:rFonts w:ascii="Arial" w:cs="Arial" w:eastAsia="Arial" w:hAnsi="Arial"/>
          <w:sz w:val="19"/>
          <w:szCs w:val="19"/>
          <w:color w:val="5C6F7C"/>
        </w:rPr>
        <w:t>555 Turnpike Street, Canton, MA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14"/>
        </w:trPr>
        <w:tc>
          <w:tcPr>
            <w:tcW w:w="890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DESTINATION XL GROUP, INC.</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890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Wholly-owned unless otherwise indicated</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64"/>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Pr>
          <w:p>
            <w:pPr>
              <w:spacing w:after="0"/>
              <w:rPr>
                <w:sz w:val="24"/>
                <w:szCs w:val="24"/>
                <w:color w:val="auto"/>
              </w:rPr>
            </w:pPr>
          </w:p>
        </w:tc>
        <w:tc>
          <w:tcPr>
            <w:tcW w:w="22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191"/>
        </w:trPr>
        <w:tc>
          <w:tcPr>
            <w:tcW w:w="89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Casual Male Retail Store, LLC (f/k/a Designs CMAL Retail Store Inc.)</w:t>
            </w:r>
          </w:p>
        </w:tc>
        <w:tc>
          <w:tcPr>
            <w:tcW w:w="100" w:type="dxa"/>
            <w:vAlign w:val="bottom"/>
          </w:tcPr>
          <w:p>
            <w:pPr>
              <w:spacing w:after="0"/>
              <w:rPr>
                <w:sz w:val="16"/>
                <w:szCs w:val="16"/>
                <w:color w:val="auto"/>
              </w:rPr>
            </w:pPr>
          </w:p>
        </w:tc>
        <w:tc>
          <w:tcPr>
            <w:tcW w:w="22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Direct, LLC (f/k/a Designs CMAL TBD Inc.)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Apparel Management, Inc.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Holdco, LLC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CMXL Apparel, LP (a)</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Apparel, LLC (f/k/a Designs Apparel, Inc.) (b)</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Store, LLC (f/k/a Designs CMAL Store Inc.)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Capture, LLC (c)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RBT, LLC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RBT (U.K.) LLC (d)</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DXLG Wholesale, LLC (e)</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DXL Canada, Inc. (f/k/a Casual Male Canada Inc.)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 Male (EUROPE) LLC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Think Big Products LLC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Canton PL Liquidating Corp. (f/k/a LP Innovations, Inc.)</w:t>
            </w:r>
          </w:p>
        </w:tc>
        <w:tc>
          <w:tcPr>
            <w:tcW w:w="10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Nevada</w:t>
            </w:r>
          </w:p>
        </w:tc>
      </w:tr>
      <w:tr>
        <w:trPr>
          <w:trHeight w:val="23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CMRG Hong Kong Limited</w:t>
            </w:r>
          </w:p>
        </w:tc>
        <w:tc>
          <w:tcPr>
            <w:tcW w:w="100" w:type="dxa"/>
            <w:vAlign w:val="bottom"/>
          </w:tcPr>
          <w:p>
            <w:pPr>
              <w:spacing w:after="0"/>
              <w:rPr>
                <w:sz w:val="20"/>
                <w:szCs w:val="20"/>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20" w:right="420" w:hanging="512"/>
        <w:spacing w:after="0" w:line="261"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partnership in which CMRG Apparel Management, Inc. is a General Partner owning 1% and CMRG Holdco, LLC is a Limited Partner owning 99%. (Both partners are wholly-owned subsidiaries of Destination XL Group, Inc.)</w:t>
      </w: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CMXL Apparel, LP (a wholly-owned subsidiary of Destination XL Group,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Casual Male Store, LLC (a wholly-owned subsidiary of Destination XL Group,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Casual Male RBT, LLC (a wholly-owned subsidiary of Destination XL Group, Inc.)</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owned by 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333-256990) on Form S-3 and the registration statements (Nos. 333-136890, 333-163245, 333-164618, 333-170708, 333-170764, 333-194627, 333-213311, 333-233496, 333-248439, 333-250756, 333-261215, 333-268437, and 333-283409) on Form S-8 of our reports dated March 20, 2025, with respect to the consolidated financial statements of Destination XL Group, Inc. and the effectiveness of internal control over financial reporting.</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2025</w:t>
      </w:r>
    </w:p>
    <w:p>
      <w:pPr>
        <w:spacing w:after="0" w:line="25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Harvey S. Kanter</w:t>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2025</w:t>
      </w:r>
    </w:p>
    <w:p>
      <w:pPr>
        <w:spacing w:after="0" w:line="252"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Peter H. Stratton, Jr.</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Destination XL Group, Inc. (the “Company”) for the period ended February 1, 2025 as filed with the Securities and Exchange Commission on the date hereof (the “Report”), I, Harvey S. Kanter, President and Chief Executive Officer of the Company, certify pursuant to 18 U.S.C. § 1350, as adopted pursuant to § 906 of the Sarbanes-Oxley Act of 2002, that:</w:t>
      </w:r>
    </w:p>
    <w:p>
      <w:pPr>
        <w:spacing w:after="0" w:line="68" w:lineRule="exact"/>
        <w:rPr>
          <w:sz w:val="20"/>
          <w:szCs w:val="20"/>
          <w:color w:val="auto"/>
        </w:rPr>
      </w:pPr>
    </w:p>
    <w:p>
      <w:pPr>
        <w:ind w:left="1020" w:right="7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ind w:left="20"/>
        <w:spacing w:after="0"/>
        <w:tabs>
          <w:tab w:leader="none" w:pos="8280" w:val="left"/>
        </w:tabs>
        <w:rPr>
          <w:sz w:val="20"/>
          <w:szCs w:val="20"/>
          <w:color w:val="auto"/>
        </w:rPr>
      </w:pPr>
      <w:r>
        <w:rPr>
          <w:rFonts w:ascii="Times New Roman" w:cs="Times New Roman" w:eastAsia="Times New Roman" w:hAnsi="Times New Roman"/>
          <w:sz w:val="18"/>
          <w:szCs w:val="18"/>
          <w:color w:val="auto"/>
        </w:rPr>
        <w:t>Dated: March 20, 2025</w:t>
      </w:r>
      <w:r>
        <w:rPr>
          <w:sz w:val="20"/>
          <w:szCs w:val="20"/>
          <w:color w:val="auto"/>
        </w:rPr>
        <w:tab/>
      </w:r>
      <w:r>
        <w:rPr>
          <w:rFonts w:ascii="Times New Roman" w:cs="Times New Roman" w:eastAsia="Times New Roman" w:hAnsi="Times New Roman"/>
          <w:sz w:val="18"/>
          <w:szCs w:val="18"/>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17145</wp:posOffset>
            </wp:positionV>
            <wp:extent cx="27946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Harvey S. Kanter</w:t>
      </w:r>
    </w:p>
    <w:p>
      <w:pPr>
        <w:spacing w:after="0" w:line="23"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82" w:name="page83"/>
    <w:bookmarkEnd w:id="8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Destination XL Group, Inc. (the “Company”) for the period ended February 1, 2025,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8" w:lineRule="exact"/>
        <w:rPr>
          <w:sz w:val="20"/>
          <w:szCs w:val="20"/>
          <w:color w:val="auto"/>
        </w:rPr>
      </w:pPr>
    </w:p>
    <w:p>
      <w:pPr>
        <w:ind w:left="1020" w:right="7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4" w:lineRule="exact"/>
        <w:rPr>
          <w:sz w:val="20"/>
          <w:szCs w:val="20"/>
          <w:color w:val="auto"/>
        </w:rPr>
      </w:pPr>
    </w:p>
    <w:p>
      <w:pPr>
        <w:ind w:left="20"/>
        <w:spacing w:after="0"/>
        <w:tabs>
          <w:tab w:leader="none" w:pos="7980" w:val="left"/>
        </w:tabs>
        <w:rPr>
          <w:sz w:val="20"/>
          <w:szCs w:val="20"/>
          <w:color w:val="auto"/>
        </w:rPr>
      </w:pPr>
      <w:r>
        <w:rPr>
          <w:rFonts w:ascii="Times New Roman" w:cs="Times New Roman" w:eastAsia="Times New Roman" w:hAnsi="Times New Roman"/>
          <w:sz w:val="18"/>
          <w:szCs w:val="18"/>
          <w:color w:val="auto"/>
        </w:rPr>
        <w:t>Dated: March 20, 2025</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Peter H. Stratton, Jr.</w:t>
      </w:r>
    </w:p>
    <w:p>
      <w:pPr>
        <w:spacing w:after="0" w:line="23"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20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lowerRoman"/>
      <w:start w:val="1"/>
    </w:lvl>
  </w:abstractNum>
  <w:abstractNum w:abstractNumId="13">
    <w:nsid w:val="628C895D"/>
    <w:multiLevelType w:val="hybridMultilevel"/>
    <w:lvl w:ilvl="0">
      <w:lvlJc w:val="left"/>
      <w:lvlText w:val="%1"/>
      <w:numFmt w:val="decimal"/>
      <w:start w:val="101"/>
    </w:lvl>
  </w:abstractNum>
  <w:abstractNum w:abstractNumId="14">
    <w:nsid w:val="333AB105"/>
    <w:multiLevelType w:val="hybridMultilevel"/>
    <w:lvl w:ilvl="0">
      <w:lvlJc w:val="left"/>
      <w:lvlText w:val="*"/>
      <w:numFmt w:val="bullet"/>
      <w:start w:val="1"/>
    </w:lvl>
    <w:lvl w:ilvl="1">
      <w:lvlJc w:val="left"/>
      <w:lvlText w:val="%2"/>
      <w:numFmt w:val="decimal"/>
      <w:start w:val="104"/>
    </w:lvl>
  </w:abstractNum>
  <w:abstractNum w:abstractNumId="15">
    <w:nsid w:val="721DA317"/>
    <w:multiLevelType w:val="hybridMultilevel"/>
    <w:lvl w:ilvl="0">
      <w:lvlJc w:val="left"/>
      <w:lvlText w:val="%1."/>
      <w:numFmt w:val="upperLetter"/>
      <w:start w:val="9"/>
    </w:lvl>
  </w:abstractNum>
  <w:abstractNum w:abstractNumId="16">
    <w:nsid w:val="2443A85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
      <w:numFmt w:val="bullet"/>
      <w:start w:val="1"/>
    </w:lvl>
    <w:lvl w:ilvl="1">
      <w:lvlJc w:val="left"/>
      <w:lvlText w:val="-"/>
      <w:numFmt w:val="bullet"/>
      <w:start w:val="1"/>
    </w:lvl>
  </w:abstractNum>
  <w:abstractNum w:abstractNumId="19">
    <w:nsid w:val="75A2A8D4"/>
    <w:multiLevelType w:val="hybridMultilevel"/>
    <w:lvl w:ilvl="0">
      <w:lvlJc w:val="left"/>
      <w:lvlText w:val="2"/>
      <w:numFmt w:val="bullet"/>
      <w:start w:val="1"/>
    </w:lvl>
    <w:lvl w:ilvl="1">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upperLetter"/>
      <w:start w:val="22"/>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22"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jpe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281" Type="http://schemas.openxmlformats.org/officeDocument/2006/relationships/hyperlink" Target="https://www.sec.gov/Archives/edgar/data/813298/000156459021046526/dxlg-ex31_150.htm" TargetMode="External"/><Relationship Id="rId284" Type="http://schemas.openxmlformats.org/officeDocument/2006/relationships/hyperlink" Target="https://www.sec.gov/Archives/edgar/data/813298/000156459021046526/dxlg-ex32_151.htm" TargetMode="External"/><Relationship Id="rId288" Type="http://schemas.openxmlformats.org/officeDocument/2006/relationships/hyperlink" Target="https://www.sec.gov/Archives/edgar/data/813298/000156459015005139/dxlg-ex31_2015061621.htm" TargetMode="External"/><Relationship Id="rId289" Type="http://schemas.openxmlformats.org/officeDocument/2006/relationships/hyperlink" Target="https://www.sec.gov/Archives/edgar/data/813298/000095017022004055/dxlg-ex4_1.htm" TargetMode="External"/><Relationship Id="rId290" Type="http://schemas.openxmlformats.org/officeDocument/2006/relationships/hyperlink" Target="https://www.sec.gov/Archives/edgar/data/813298/000119312514102442/d657704dex103.htm" TargetMode="External"/><Relationship Id="rId291" Type="http://schemas.openxmlformats.org/officeDocument/2006/relationships/hyperlink" Target="https://www.sec.gov/Archives/edgar/data/813298/000095017024034763/dxlg-ex10_2.htm" TargetMode="External"/><Relationship Id="rId292" Type="http://schemas.openxmlformats.org/officeDocument/2006/relationships/hyperlink" Target="https://www.sec.gov/Archives/edgar/data/813298/000095017024094163/dxlg-ex10_1.htm" TargetMode="External"/><Relationship Id="rId293" Type="http://schemas.openxmlformats.org/officeDocument/2006/relationships/hyperlink" Target="https://www.sec.gov/Archives/edgar/data/813298/000156459017004804/dxlg-ex103_69.htm" TargetMode="External"/><Relationship Id="rId294" Type="http://schemas.openxmlformats.org/officeDocument/2006/relationships/hyperlink" Target="https://www.sec.gov/Archives/edgar/data/813298/000156459020041484/dxlg-ex103_14.htm" TargetMode="External"/><Relationship Id="rId295" Type="http://schemas.openxmlformats.org/officeDocument/2006/relationships/hyperlink" Target="https://www.sec.gov/Archives/edgar/data/813298/000156459017004804/dxlg-ex105_67.htm" TargetMode="External"/><Relationship Id="rId296" Type="http://schemas.openxmlformats.org/officeDocument/2006/relationships/hyperlink" Target="https://www.sec.gov/Archives/edgar/data/813298/000156459017004804/dxlg-ex106_66.htm" TargetMode="External"/><Relationship Id="rId297" Type="http://schemas.openxmlformats.org/officeDocument/2006/relationships/hyperlink" Target="https://www.sec.gov/Archives/edgar/data/813298/000156459017004804/dxlg-ex107_65.htm" TargetMode="External"/><Relationship Id="rId298" Type="http://schemas.openxmlformats.org/officeDocument/2006/relationships/hyperlink" Target="https://www.sec.gov/Archives/edgar/data/813298/000156459017004804/dxlg-ex108_64.htm" TargetMode="External"/><Relationship Id="rId299" Type="http://schemas.openxmlformats.org/officeDocument/2006/relationships/hyperlink" Target="https://www.sec.gov/Archives/edgar/data/813298/000156459017004804/dxlg-ex109_63.htm" TargetMode="External"/><Relationship Id="rId300" Type="http://schemas.openxmlformats.org/officeDocument/2006/relationships/hyperlink" Target="https://www.sec.gov/Archives/edgar/data/813298/000095017024034763/dxlg-ex10_11.htm" TargetMode="External"/><Relationship Id="rId301" Type="http://schemas.openxmlformats.org/officeDocument/2006/relationships/hyperlink" Target="https://www.sec.gov/Archives/edgar/data/813298/000095017021002592/dxlg-ex10_1.htm" TargetMode="External"/><Relationship Id="rId302" Type="http://schemas.openxmlformats.org/officeDocument/2006/relationships/hyperlink" Target="https://www.sec.gov/Archives/edgar/data/813298/000095017023013942/dxlg-ex10_1.htm" TargetMode="External"/><Relationship Id="rId305" Type="http://schemas.openxmlformats.org/officeDocument/2006/relationships/hyperlink" Target="https://www.sec.gov/Archives/edgar/data/813298/000095017022005355/dxlg-ex10_1.htm" TargetMode="External"/><Relationship Id="rId306" Type="http://schemas.openxmlformats.org/officeDocument/2006/relationships/hyperlink" Target="https://www.sec.gov/Archives/edgar/data/813298/000095017023042626/dxlg-ex10_1.htm" TargetMode="External"/><Relationship Id="rId307" Type="http://schemas.openxmlformats.org/officeDocument/2006/relationships/hyperlink" Target="https://www.sec.gov/Archives/edgar/data/813298/000156459018006679/dxlg-ex1032_18.htm" TargetMode="External"/><Relationship Id="rId308" Type="http://schemas.openxmlformats.org/officeDocument/2006/relationships/hyperlink" Target="https://www.sec.gov/Archives/edgar/data/813298/000119312510003992/dex102.htm" TargetMode="External"/><Relationship Id="rId309" Type="http://schemas.openxmlformats.org/officeDocument/2006/relationships/hyperlink" Target="https://www.sec.gov/Archives/edgar/data/813298/000095017024034763/dxlg-ex10_18.htm" TargetMode="External"/><Relationship Id="rId310" Type="http://schemas.openxmlformats.org/officeDocument/2006/relationships/hyperlink" Target="https://www.sec.gov/Archives/edgar/data/813298/000095017023012911/dxlg-ex10_1.htm" TargetMode="External"/><Relationship Id="rId311" Type="http://schemas.openxmlformats.org/officeDocument/2006/relationships/hyperlink" Target="https://www.sec.gov/Archives/edgar/data/813298/000095017022010764/dxlg-ex10_6.htm" TargetMode="External"/><Relationship Id="rId312" Type="http://schemas.openxmlformats.org/officeDocument/2006/relationships/hyperlink" Target="https://www.sec.gov/Archives/edgar/data/813298/000156459021030359/dxlg-ex101_30.htm" TargetMode="External"/><Relationship Id="rId313" Type="http://schemas.openxmlformats.org/officeDocument/2006/relationships/hyperlink" Target="https://www.sec.gov/Archives/edgar/data/813298/000095017023044317/dxlg-ex10_1.htm" TargetMode="External"/><Relationship Id="rId314" Type="http://schemas.openxmlformats.org/officeDocument/2006/relationships/hyperlink" Target="https://www.sec.gov/Archives/edgar/data/813298/000095017022010764/dxlg-ex10_5.htm" TargetMode="External"/><Relationship Id="rId315" Type="http://schemas.openxmlformats.org/officeDocument/2006/relationships/hyperlink" Target="https://www.sec.gov/Archives/edgar/data/813298/000095017022025372/dxlg-ex10_2.htm" TargetMode="External"/><Relationship Id="rId316" Type="http://schemas.openxmlformats.org/officeDocument/2006/relationships/hyperlink" Target="https://www.sec.gov/Archives/edgar/data/813298/000095017022025372/dxlg-ex10_3.htm" TargetMode="External"/><Relationship Id="rId317" Type="http://schemas.openxmlformats.org/officeDocument/2006/relationships/hyperlink" Target="https://www.sec.gov/Archives/edgar/data/813298/000095017023059751/dxlg-ex10_1.htm" TargetMode="External"/><Relationship Id="rId318" Type="http://schemas.openxmlformats.org/officeDocument/2006/relationships/hyperlink" Target="https://www.sec.gov/Archives/edgar/data/813298/000156459018016002/dxlg-ex101_6.htm" TargetMode="External"/><Relationship Id="rId319" Type="http://schemas.openxmlformats.org/officeDocument/2006/relationships/hyperlink" Target="https://www.sec.gov/Archives/edgar/data/813298/000156459018030322/dxlg-ex101_13.htm" TargetMode="External"/><Relationship Id="rId320" Type="http://schemas.openxmlformats.org/officeDocument/2006/relationships/hyperlink" Target="https://www.sec.gov/Archives/edgar/data/813298/000156459020029187/dxlg-ex101_6.htm" TargetMode="External"/><Relationship Id="rId321" Type="http://schemas.openxmlformats.org/officeDocument/2006/relationships/hyperlink" Target="https://www.sec.gov/Archives/edgar/data/813298/000095017022005355/dxlg-ex10_2.htm" TargetMode="External"/><Relationship Id="rId323" Type="http://schemas.openxmlformats.org/officeDocument/2006/relationships/hyperlink" Target="https://www.sec.gov/Archives/edgar/data/813298/000156459017023975/dxlg-ex101_8.htm" TargetMode="External"/><Relationship Id="rId324" Type="http://schemas.openxmlformats.org/officeDocument/2006/relationships/hyperlink" Target="https://www.sec.gov/Archives/edgar/data/813298/000156459020011796/dxlg-ex1038_132.htm" TargetMode="External"/><Relationship Id="rId325" Type="http://schemas.openxmlformats.org/officeDocument/2006/relationships/hyperlink" Target="https://www.sec.gov/Archives/edgar/data/813298/000119312521030948/d132525dex101.htm" TargetMode="External"/><Relationship Id="rId326" Type="http://schemas.openxmlformats.org/officeDocument/2006/relationships/hyperlink" Target="https://www.sec.gov/Archives/edgar/data/813298/000119312506019470/dex101.htm" TargetMode="External"/><Relationship Id="rId327" Type="http://schemas.openxmlformats.org/officeDocument/2006/relationships/hyperlink" Target="https://www.sec.gov/Archives/edgar/data/813298/000119312506019470/dex102.htm" TargetMode="External"/><Relationship Id="rId328" Type="http://schemas.openxmlformats.org/officeDocument/2006/relationships/hyperlink" Target="https://www.sec.gov/Archives/edgar/data/813298/000119312506019470/dex103.htm" TargetMode="External"/><Relationship Id="rId329" Type="http://schemas.openxmlformats.org/officeDocument/2006/relationships/hyperlink" Target="https://www.sec.gov/Archives/edgar/data/813298/000095017024034763/dxlg-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2025-03-20T15:55:12Z</dcterms:created>
  <dcterms:modified xsi:type="dcterms:W3CDTF">2025-03-20T15:55:12Z</dcterms:modified>
</cp:coreProperties>
</file>